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2530A"/>
          <w:spacing w:val="20"/>
          <w:sz w:val="22"/>
          <w:szCs w:val="22"/>
        </w:rPr>
        <w:t xml:space="preserve">COURIEROS</w:t>
      </w:r>
    </w:p>
    <w:p>
      <w:pPr>
        <w:spacing w:after="80"/>
      </w:pPr>
      <w:r>
        <w:rPr>
          <w:b/>
          <w:bCs/>
          <w:color w:val="1F1B16"/>
          <w:sz w:val="44"/>
          <w:szCs w:val="44"/>
        </w:rPr>
        <w:t xml:space="preserve">Jamaica Go-to-Market Strategy</w:t>
      </w:r>
    </w:p>
    <w:p>
      <w:pPr>
        <w:spacing w:after="300"/>
      </w:pPr>
      <w:r>
        <w:rPr>
          <w:i/>
          <w:iCs/>
          <w:color w:val="6B6155"/>
          <w:sz w:val="20"/>
          <w:szCs w:val="20"/>
        </w:rPr>
        <w:t xml:space="preserve">Prepared for Shane Bell · August 2026</w:t>
      </w:r>
    </w:p>
    <w:p>
      <w:pPr>
        <w:pStyle w:val="Heading1"/>
        <w:pBdr>
          <w:bottom w:val="single" w:color="E2530A" w:sz="6" w:space="4"/>
        </w:pBdr>
        <w:spacing w:after="160" w:before="360"/>
      </w:pPr>
      <w:r>
        <w:rPr>
          <w:b/>
          <w:bCs/>
          <w:color w:val="1F1B16"/>
          <w:sz w:val="30"/>
          <w:szCs w:val="30"/>
        </w:rPr>
        <w:t xml:space="preserve">1. Executive Summary</w:t>
      </w:r>
    </w:p>
    <w:p>
      <w:pPr>
        <w:spacing w:after="160" w:line="300"/>
      </w:pPr>
      <w:r>
        <w:rPr>
          <w:color w:val="1F1B16"/>
          <w:sz w:val="21"/>
          <w:szCs w:val="21"/>
        </w:rPr>
        <w:t xml:space="preserve">Jamaica already has an active, proven “buy in the US, ship to Jamaica” market — dozens of independent forwarders and courier operators (Courier Jamaica, RSD Shipping Agency, ShipToSure, One Plus Courier JA, Speedz Express, and others) are running this exact business model today, and there is a visible audience of people trying to learn how to start their own version of it. CourierOS is well positioned to sell into this market because it already solves the hardest part — the operations software — that most of these businesses either don’t have or have cobbled together from WhatsApp groups and spreadsheets.</w:t>
      </w:r>
    </w:p>
    <w:p>
      <w:pPr>
        <w:spacing w:after="160" w:line="300"/>
      </w:pPr>
      <w:r>
        <w:rPr>
          <w:color w:val="1F1B16"/>
          <w:sz w:val="21"/>
          <w:szCs w:val="21"/>
        </w:rPr>
        <w:t xml:space="preserve">The recommendation is to pursue two segments in parallel under one product: people who want to start a courier/forwarding business from scratch (“Start”), and people already running one informally who need to professionalize (“Switch”). Both are sold the same core offer — the CourierOS Starter plan, reframed locally as the “Full Package”: a branded website, hosting, admin console, customer portal, pre-alerts, rate calculator, and payments, for $79/month plus a $349 one-time setup fee. Today Shipping, CourierOS’s pilot client, is a real Jamaican courier already live on the platform and should anchor every piece of Jamaica-facing marketing as proof, not a hypothetical.</w:t>
      </w:r>
    </w:p>
    <w:p>
      <w:pPr>
        <w:pStyle w:val="Heading1"/>
        <w:pBdr>
          <w:bottom w:val="single" w:color="E2530A" w:sz="6" w:space="4"/>
        </w:pBdr>
        <w:spacing w:after="160" w:before="360"/>
      </w:pPr>
      <w:r>
        <w:rPr>
          <w:b/>
          <w:bCs/>
          <w:color w:val="1F1B16"/>
          <w:sz w:val="30"/>
          <w:szCs w:val="30"/>
        </w:rPr>
        <w:t xml:space="preserve">2. The Opportunity in Jamaica</w:t>
      </w:r>
    </w:p>
    <w:p>
      <w:pPr>
        <w:spacing w:after="160" w:line="300"/>
      </w:pPr>
      <w:r>
        <w:rPr>
          <w:color w:val="1F1B16"/>
          <w:sz w:val="21"/>
          <w:szCs w:val="21"/>
        </w:rPr>
        <w:t xml:space="preserve">Search and competitor research confirms real, active demand on both sides of this market:</w:t>
      </w:r>
    </w:p>
    <w:p>
      <w:pPr>
        <w:pStyle w:val="ListParagraph"/>
        <w:numPr>
          <w:ilvl w:val="0"/>
          <w:numId w:val="2"/>
        </w:numPr>
        <w:spacing w:after="80" w:line="280"/>
      </w:pPr>
      <w:r>
        <w:rPr>
          <w:color w:val="1F1B16"/>
          <w:sz w:val="21"/>
          <w:szCs w:val="21"/>
        </w:rPr>
        <w:t xml:space="preserve">Established forwarders already operating the model CourierOS supports: Courier Jamaica, RSD Shipping Agency, One Plus Courier JA, Speedz Express, and ShipToSure all offer US warehouse addresses and forward Amazon/Walmart/SHEIN-type purchases to Jamaica — the same workflow CourierOS is built around (pre-alert → warehouse → pickup).</w:t>
      </w:r>
    </w:p>
    <w:p>
      <w:pPr>
        <w:pStyle w:val="ListParagraph"/>
        <w:numPr>
          <w:ilvl w:val="0"/>
          <w:numId w:val="2"/>
        </w:numPr>
        <w:spacing w:after="80" w:line="280"/>
      </w:pPr>
      <w:r>
        <w:rPr>
          <w:color w:val="1F1B16"/>
          <w:sz w:val="21"/>
          <w:szCs w:val="21"/>
        </w:rPr>
        <w:t xml:space="preserve">A visible “how do I start this” audience: ShipToSure runs TikTok content specifically teaching people how to start their own shipping company, and coaching/training offers around this exact business exist locally. That is direct evidence people are actively searching for a way in — today the answer they’re sold is a course, not a working platform.</w:t>
      </w:r>
    </w:p>
    <w:p>
      <w:pPr>
        <w:pStyle w:val="ListParagraph"/>
        <w:numPr>
          <w:ilvl w:val="0"/>
          <w:numId w:val="2"/>
        </w:numPr>
        <w:spacing w:after="80" w:line="280"/>
      </w:pPr>
      <w:r>
        <w:rPr>
          <w:color w:val="1F1B16"/>
          <w:sz w:val="21"/>
          <w:szCs w:val="21"/>
        </w:rPr>
        <w:t xml:space="preserve">A direct packaging competitor: Impression Marketing Jamaica sells a “Shipping and Courier Website Service” — a local agency building one-off websites for this exact industry. This is the closest thing to a competing “full package deal” and the one CourierOS needs to differentiate hardest against (see Section 9).</w:t>
      </w:r>
    </w:p>
    <w:p>
      <w:pPr>
        <w:pStyle w:val="ListParagraph"/>
        <w:numPr>
          <w:ilvl w:val="0"/>
          <w:numId w:val="2"/>
        </w:numPr>
        <w:spacing w:after="80" w:line="280"/>
      </w:pPr>
      <w:r>
        <w:rPr>
          <w:color w:val="1F1B16"/>
          <w:sz w:val="21"/>
          <w:szCs w:val="21"/>
        </w:rPr>
        <w:t xml:space="preserve">Low barrier to entry, which cuts both ways: local guidance pegs a bare-bones bearer/courier startup at roughly J$100,000 in registration and basic setup, which keeps the market easy to enter — and easy for anyone to try to do without proper software.</w:t>
      </w:r>
    </w:p>
    <w:p>
      <w:pPr>
        <w:pStyle w:val="ListParagraph"/>
        <w:numPr>
          <w:ilvl w:val="0"/>
          <w:numId w:val="2"/>
        </w:numPr>
        <w:spacing w:after="80" w:line="280"/>
      </w:pPr>
      <w:r>
        <w:rPr>
          <w:color w:val="1F1B16"/>
          <w:sz w:val="21"/>
          <w:szCs w:val="21"/>
        </w:rPr>
        <w:t xml:space="preserve">An industry body exists: the Shipping Association of Jamaica offers support and training to operators, and is a plausible partnership or sponsorship channel for reaching both segments in one place.</w:t>
      </w:r>
    </w:p>
    <w:p>
      <w:pPr>
        <w:pStyle w:val="Heading1"/>
        <w:pBdr>
          <w:bottom w:val="single" w:color="E2530A" w:sz="6" w:space="4"/>
        </w:pBdr>
        <w:spacing w:after="160" w:before="360"/>
      </w:pPr>
      <w:r>
        <w:rPr>
          <w:b/>
          <w:bCs/>
          <w:color w:val="1F1B16"/>
          <w:sz w:val="30"/>
          <w:szCs w:val="30"/>
        </w:rPr>
        <w:t xml:space="preserve">3. Two Target Segments</w:t>
      </w:r>
    </w:p>
    <w:p>
      <w:pPr>
        <w:pStyle w:val="Heading2"/>
        <w:spacing w:after="120" w:before="260"/>
      </w:pPr>
      <w:r>
        <w:rPr>
          <w:b/>
          <w:bCs/>
          <w:color w:val="E2530A"/>
          <w:sz w:val="24"/>
          <w:szCs w:val="24"/>
        </w:rPr>
        <w:t xml:space="preserve">Segment A — “Start”: aspiring entrepreneurs</w:t>
      </w:r>
    </w:p>
    <w:p>
      <w:pPr>
        <w:spacing w:after="160" w:line="300"/>
      </w:pPr>
      <w:r>
        <w:rPr>
          <w:color w:val="1F1B16"/>
          <w:sz w:val="21"/>
          <w:szCs w:val="21"/>
        </w:rPr>
        <w:t xml:space="preserve">People who want to launch a shopping/forwarding business — often already doing it informally for friends and family — but don’t know how to get a US address relationship, build a site, take payments, or track packages. This is the audience currently being sold courses and coaching calls instead of a working business.</w:t>
      </w:r>
    </w:p>
    <w:p>
      <w:pPr>
        <w:pStyle w:val="Heading2"/>
        <w:spacing w:after="120" w:before="260"/>
      </w:pPr>
      <w:r>
        <w:rPr>
          <w:b/>
          <w:bCs/>
          <w:color w:val="E2530A"/>
          <w:sz w:val="24"/>
          <w:szCs w:val="24"/>
        </w:rPr>
        <w:t xml:space="preserve">Segment B — “Switch”: existing operators running on WhatsApp and spreadsheets</w:t>
      </w:r>
    </w:p>
    <w:p>
      <w:pPr>
        <w:spacing w:after="160" w:line="300"/>
      </w:pPr>
      <w:r>
        <w:rPr>
          <w:color w:val="1F1B16"/>
          <w:sz w:val="21"/>
          <w:szCs w:val="21"/>
        </w:rPr>
        <w:t xml:space="preserve">People already running a courier/forwarding business — possibly for a year or more — out of a WhatsApp group, an Instagram DM inbox, and a spreadsheet, maybe with a static website an agency built them once and never touched again. Pain is chaos and credibility, not “how do I start.” They are the easier near-term sell because they already know the business is viable and already feel the cost of not having real software.</w:t>
      </w:r>
    </w:p>
    <w:p>
      <w:pPr>
        <w:pStyle w:val="Heading1"/>
        <w:pBdr>
          <w:bottom w:val="single" w:color="E2530A" w:sz="6" w:space="4"/>
        </w:pBdr>
        <w:spacing w:after="160" w:before="360"/>
      </w:pPr>
      <w:r>
        <w:rPr>
          <w:b/>
          <w:bCs/>
          <w:color w:val="1F1B16"/>
          <w:sz w:val="30"/>
          <w:szCs w:val="30"/>
        </w:rPr>
        <w:t xml:space="preserve">4. Positioning &amp; Messaging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1F1B16" w:color="auto" w:val="clear"/>
            <w:tcMar>
              <w:top w:type="dxa" w:w="100"/>
              <w:left w:type="dxa" w:w="120"/>
              <w:bottom w:type="dxa" w:w="100"/>
              <w:right w:type="dxa" w:w="120"/>
            </w:tcMar>
          </w:tcPr>
          <w:p>
            <w:r>
              <w:rPr>
                <w:b/>
                <w:bCs/>
                <w:color w:val="FFFFFF"/>
                <w:sz w:val="19"/>
                <w:szCs w:val="19"/>
              </w:rPr>
              <w:t xml:space="preserve"/>
            </w:r>
          </w:p>
        </w:tc>
        <w:tc>
          <w:tcPr>
            <w:tcW w:type="dxa" w:w="3600"/>
            <w:shd w:fill="1F1B16" w:color="auto" w:val="clear"/>
            <w:tcMar>
              <w:top w:type="dxa" w:w="100"/>
              <w:left w:type="dxa" w:w="120"/>
              <w:bottom w:type="dxa" w:w="100"/>
              <w:right w:type="dxa" w:w="120"/>
            </w:tcMar>
          </w:tcPr>
          <w:p>
            <w:r>
              <w:rPr>
                <w:b/>
                <w:bCs/>
                <w:color w:val="FFFFFF"/>
                <w:sz w:val="19"/>
                <w:szCs w:val="19"/>
              </w:rPr>
              <w:t xml:space="preserve">Segment A — Start</w:t>
            </w:r>
          </w:p>
        </w:tc>
        <w:tc>
          <w:tcPr>
            <w:tcW w:type="dxa" w:w="3600"/>
            <w:shd w:fill="1F1B16" w:color="auto" w:val="clear"/>
            <w:tcMar>
              <w:top w:type="dxa" w:w="100"/>
              <w:left w:type="dxa" w:w="120"/>
              <w:bottom w:type="dxa" w:w="100"/>
              <w:right w:type="dxa" w:w="120"/>
            </w:tcMar>
          </w:tcPr>
          <w:p>
            <w:r>
              <w:rPr>
                <w:b/>
                <w:bCs/>
                <w:color w:val="FFFFFF"/>
                <w:sz w:val="19"/>
                <w:szCs w:val="19"/>
              </w:rPr>
              <w:t xml:space="preserve">Segment B — Switch</w:t>
            </w:r>
          </w:p>
        </w:tc>
      </w:tr>
      <w:tr>
        <w:tc>
          <w:tcPr>
            <w:tcW w:type="dxa" w:w="2000"/>
            <w:tcMar>
              <w:top w:type="dxa" w:w="100"/>
              <w:left w:type="dxa" w:w="120"/>
              <w:bottom w:type="dxa" w:w="100"/>
              <w:right w:type="dxa" w:w="120"/>
            </w:tcMar>
          </w:tcPr>
          <w:p>
            <w:r>
              <w:rPr>
                <w:b w:val="false"/>
                <w:bCs w:val="false"/>
                <w:color w:val="1F1B16"/>
                <w:sz w:val="19"/>
                <w:szCs w:val="19"/>
              </w:rPr>
              <w:t xml:space="preserve">Core message</w:t>
            </w:r>
          </w:p>
        </w:tc>
        <w:tc>
          <w:tcPr>
            <w:tcW w:type="dxa" w:w="3600"/>
            <w:tcMar>
              <w:top w:type="dxa" w:w="100"/>
              <w:left w:type="dxa" w:w="120"/>
              <w:bottom w:type="dxa" w:w="100"/>
              <w:right w:type="dxa" w:w="120"/>
            </w:tcMar>
          </w:tcPr>
          <w:p>
            <w:r>
              <w:rPr>
                <w:b w:val="false"/>
                <w:bCs w:val="false"/>
                <w:color w:val="1F1B16"/>
                <w:sz w:val="19"/>
                <w:szCs w:val="19"/>
              </w:rPr>
              <w:t xml:space="preserve">“Your shipping business, built for you — no developer, no course required.”</w:t>
            </w:r>
          </w:p>
        </w:tc>
        <w:tc>
          <w:tcPr>
            <w:tcW w:type="dxa" w:w="3600"/>
            <w:tcMar>
              <w:top w:type="dxa" w:w="100"/>
              <w:left w:type="dxa" w:w="120"/>
              <w:bottom w:type="dxa" w:w="100"/>
              <w:right w:type="dxa" w:w="120"/>
            </w:tcMar>
          </w:tcPr>
          <w:p>
            <w:r>
              <w:rPr>
                <w:b w:val="false"/>
                <w:bCs w:val="false"/>
                <w:color w:val="1F1B16"/>
                <w:sz w:val="19"/>
                <w:szCs w:val="19"/>
              </w:rPr>
              <w:t xml:space="preserve">“Stop running your shipping business out of WhatsApp.”</w:t>
            </w:r>
          </w:p>
        </w:tc>
      </w:tr>
      <w:tr>
        <w:tc>
          <w:tcPr>
            <w:tcW w:type="dxa" w:w="2000"/>
            <w:shd w:fill="F7EFE4" w:color="auto" w:val="clear"/>
            <w:tcMar>
              <w:top w:type="dxa" w:w="100"/>
              <w:left w:type="dxa" w:w="120"/>
              <w:bottom w:type="dxa" w:w="100"/>
              <w:right w:type="dxa" w:w="120"/>
            </w:tcMar>
          </w:tcPr>
          <w:p>
            <w:r>
              <w:rPr>
                <w:b w:val="false"/>
                <w:bCs w:val="false"/>
                <w:color w:val="1F1B16"/>
                <w:sz w:val="19"/>
                <w:szCs w:val="19"/>
              </w:rPr>
              <w:t xml:space="preserve">What they’re buying</w:t>
            </w:r>
          </w:p>
        </w:tc>
        <w:tc>
          <w:tcPr>
            <w:tcW w:type="dxa" w:w="3600"/>
            <w:shd w:fill="F7EFE4" w:color="auto" w:val="clear"/>
            <w:tcMar>
              <w:top w:type="dxa" w:w="100"/>
              <w:left w:type="dxa" w:w="120"/>
              <w:bottom w:type="dxa" w:w="100"/>
              <w:right w:type="dxa" w:w="120"/>
            </w:tcMar>
          </w:tcPr>
          <w:p>
            <w:r>
              <w:rPr>
                <w:b w:val="false"/>
                <w:bCs w:val="false"/>
                <w:color w:val="1F1B16"/>
                <w:sz w:val="19"/>
                <w:szCs w:val="19"/>
              </w:rPr>
              <w:t xml:space="preserve">A complete business-in-a-box: brand, site, hosting, and the operations behind it.</w:t>
            </w:r>
          </w:p>
        </w:tc>
        <w:tc>
          <w:tcPr>
            <w:tcW w:type="dxa" w:w="3600"/>
            <w:shd w:fill="F7EFE4" w:color="auto" w:val="clear"/>
            <w:tcMar>
              <w:top w:type="dxa" w:w="100"/>
              <w:left w:type="dxa" w:w="120"/>
              <w:bottom w:type="dxa" w:w="100"/>
              <w:right w:type="dxa" w:w="120"/>
            </w:tcMar>
          </w:tcPr>
          <w:p>
            <w:r>
              <w:rPr>
                <w:b w:val="false"/>
                <w:bCs w:val="false"/>
                <w:color w:val="1F1B16"/>
                <w:sz w:val="19"/>
                <w:szCs w:val="19"/>
              </w:rPr>
              <w:t xml:space="preserve">A professional upgrade that keeps their existing customers and brand.</w:t>
            </w:r>
          </w:p>
        </w:tc>
      </w:tr>
      <w:tr>
        <w:tc>
          <w:tcPr>
            <w:tcW w:type="dxa" w:w="2000"/>
            <w:tcMar>
              <w:top w:type="dxa" w:w="100"/>
              <w:left w:type="dxa" w:w="120"/>
              <w:bottom w:type="dxa" w:w="100"/>
              <w:right w:type="dxa" w:w="120"/>
            </w:tcMar>
          </w:tcPr>
          <w:p>
            <w:r>
              <w:rPr>
                <w:b w:val="false"/>
                <w:bCs w:val="false"/>
                <w:color w:val="1F1B16"/>
                <w:sz w:val="19"/>
                <w:szCs w:val="19"/>
              </w:rPr>
              <w:t xml:space="preserve">Objection to pre-empt</w:t>
            </w:r>
          </w:p>
        </w:tc>
        <w:tc>
          <w:tcPr>
            <w:tcW w:type="dxa" w:w="3600"/>
            <w:tcMar>
              <w:top w:type="dxa" w:w="100"/>
              <w:left w:type="dxa" w:w="120"/>
              <w:bottom w:type="dxa" w:w="100"/>
              <w:right w:type="dxa" w:w="120"/>
            </w:tcMar>
          </w:tcPr>
          <w:p>
            <w:r>
              <w:rPr>
                <w:b w:val="false"/>
                <w:bCs w:val="false"/>
                <w:color w:val="1F1B16"/>
                <w:sz w:val="19"/>
                <w:szCs w:val="19"/>
              </w:rPr>
              <w:t xml:space="preserve">“I don’t even have a US warehouse relationship yet.”</w:t>
            </w:r>
          </w:p>
        </w:tc>
        <w:tc>
          <w:tcPr>
            <w:tcW w:type="dxa" w:w="3600"/>
            <w:tcMar>
              <w:top w:type="dxa" w:w="100"/>
              <w:left w:type="dxa" w:w="120"/>
              <w:bottom w:type="dxa" w:w="100"/>
              <w:right w:type="dxa" w:w="120"/>
            </w:tcMar>
          </w:tcPr>
          <w:p>
            <w:r>
              <w:rPr>
                <w:b w:val="false"/>
                <w:bCs w:val="false"/>
                <w:color w:val="1F1B16"/>
                <w:sz w:val="19"/>
                <w:szCs w:val="19"/>
              </w:rPr>
              <w:t xml:space="preserve">“Switching sounds like a migration headache.”</w:t>
            </w:r>
          </w:p>
        </w:tc>
      </w:tr>
      <w:tr>
        <w:tc>
          <w:tcPr>
            <w:tcW w:type="dxa" w:w="2000"/>
            <w:shd w:fill="F7EFE4" w:color="auto" w:val="clear"/>
            <w:tcMar>
              <w:top w:type="dxa" w:w="100"/>
              <w:left w:type="dxa" w:w="120"/>
              <w:bottom w:type="dxa" w:w="100"/>
              <w:right w:type="dxa" w:w="120"/>
            </w:tcMar>
          </w:tcPr>
          <w:p>
            <w:r>
              <w:rPr>
                <w:b w:val="false"/>
                <w:bCs w:val="false"/>
                <w:color w:val="1F1B16"/>
                <w:sz w:val="19"/>
                <w:szCs w:val="19"/>
              </w:rPr>
              <w:t xml:space="preserve">Proof point to use</w:t>
            </w:r>
          </w:p>
        </w:tc>
        <w:tc>
          <w:tcPr>
            <w:tcW w:type="dxa" w:w="3600"/>
            <w:shd w:fill="F7EFE4" w:color="auto" w:val="clear"/>
            <w:tcMar>
              <w:top w:type="dxa" w:w="100"/>
              <w:left w:type="dxa" w:w="120"/>
              <w:bottom w:type="dxa" w:w="100"/>
              <w:right w:type="dxa" w:w="120"/>
            </w:tcMar>
          </w:tcPr>
          <w:p>
            <w:r>
              <w:rPr>
                <w:b w:val="false"/>
                <w:bCs w:val="false"/>
                <w:color w:val="1F1B16"/>
                <w:sz w:val="19"/>
                <w:szCs w:val="19"/>
              </w:rPr>
              <w:t xml:space="preserve">Today Shipping went from idea to a live, branded operation on CourierOS.</w:t>
            </w:r>
          </w:p>
        </w:tc>
        <w:tc>
          <w:tcPr>
            <w:tcW w:type="dxa" w:w="3600"/>
            <w:shd w:fill="F7EFE4" w:color="auto" w:val="clear"/>
            <w:tcMar>
              <w:top w:type="dxa" w:w="100"/>
              <w:left w:type="dxa" w:w="120"/>
              <w:bottom w:type="dxa" w:w="100"/>
              <w:right w:type="dxa" w:w="120"/>
            </w:tcMar>
          </w:tcPr>
          <w:p>
            <w:r>
              <w:rPr>
                <w:b w:val="false"/>
                <w:bCs w:val="false"/>
                <w:color w:val="1F1B16"/>
                <w:sz w:val="19"/>
                <w:szCs w:val="19"/>
              </w:rPr>
              <w:t xml:space="preserve">Today Shipping’s reporting shows real volume and revenue trends, not guesswork.</w:t>
            </w:r>
          </w:p>
        </w:tc>
      </w:tr>
    </w:tbl>
    <w:p>
      <w:pPr>
        <w:spacing w:after="200"/>
      </w:pPr>
    </w:p>
    <w:p>
      <w:pPr>
        <w:pStyle w:val="Heading1"/>
        <w:pBdr>
          <w:bottom w:val="single" w:color="E2530A" w:sz="6" w:space="4"/>
        </w:pBdr>
        <w:spacing w:after="160" w:before="360"/>
      </w:pPr>
      <w:r>
        <w:rPr>
          <w:b/>
          <w:bCs/>
          <w:color w:val="1F1B16"/>
          <w:sz w:val="30"/>
          <w:szCs w:val="30"/>
        </w:rPr>
        <w:t xml:space="preserve">5. The Offer: “The Full Package”</w:t>
      </w:r>
    </w:p>
    <w:p>
      <w:pPr>
        <w:spacing w:after="160" w:line="300"/>
      </w:pPr>
      <w:r>
        <w:rPr>
          <w:color w:val="1F1B16"/>
          <w:sz w:val="21"/>
          <w:szCs w:val="21"/>
        </w:rPr>
        <w:t xml:space="preserve">Rename the existing Starter plan — not the product — for Jamaica-facing marketing. “Starter” undersells it to someone comparing it against a $0 Instagram page; “Full Package” matches how the audience is already framing the ask.</w:t>
      </w:r>
    </w:p>
    <w:p>
      <w:pPr>
        <w:pStyle w:val="ListParagraph"/>
        <w:numPr>
          <w:ilvl w:val="0"/>
          <w:numId w:val="2"/>
        </w:numPr>
        <w:spacing w:after="80" w:line="280"/>
      </w:pPr>
      <w:r>
        <w:rPr>
          <w:color w:val="1F1B16"/>
          <w:sz w:val="21"/>
          <w:szCs w:val="21"/>
        </w:rPr>
        <w:t xml:space="preserve">Their own branded website (subdomain or, on Enterprise, a custom domain)</w:t>
      </w:r>
    </w:p>
    <w:p>
      <w:pPr>
        <w:pStyle w:val="ListParagraph"/>
        <w:numPr>
          <w:ilvl w:val="0"/>
          <w:numId w:val="2"/>
        </w:numPr>
        <w:spacing w:after="80" w:line="280"/>
      </w:pPr>
      <w:r>
        <w:rPr>
          <w:color w:val="1F1B16"/>
          <w:sz w:val="21"/>
          <w:szCs w:val="21"/>
        </w:rPr>
        <w:t xml:space="preserve">Hosting included — no separate hosting bill to shop for, which first-time founders don’t expect to need</w:t>
      </w:r>
    </w:p>
    <w:p>
      <w:pPr>
        <w:pStyle w:val="ListParagraph"/>
        <w:numPr>
          <w:ilvl w:val="0"/>
          <w:numId w:val="2"/>
        </w:numPr>
        <w:spacing w:after="80" w:line="280"/>
      </w:pPr>
      <w:r>
        <w:rPr>
          <w:color w:val="1F1B16"/>
          <w:sz w:val="21"/>
          <w:szCs w:val="21"/>
        </w:rPr>
        <w:t xml:space="preserve">Admin portal to run intake, packages, and staff</w:t>
      </w:r>
    </w:p>
    <w:p>
      <w:pPr>
        <w:pStyle w:val="ListParagraph"/>
        <w:numPr>
          <w:ilvl w:val="0"/>
          <w:numId w:val="2"/>
        </w:numPr>
        <w:spacing w:after="80" w:line="280"/>
      </w:pPr>
      <w:r>
        <w:rPr>
          <w:color w:val="1F1B16"/>
          <w:sz w:val="21"/>
          <w:szCs w:val="21"/>
        </w:rPr>
        <w:t xml:space="preserve">Customer self-serve portal with a personal Florida warehouse address</w:t>
      </w:r>
    </w:p>
    <w:p>
      <w:pPr>
        <w:pStyle w:val="ListParagraph"/>
        <w:numPr>
          <w:ilvl w:val="0"/>
          <w:numId w:val="2"/>
        </w:numPr>
        <w:spacing w:after="80" w:line="280"/>
      </w:pPr>
      <w:r>
        <w:rPr>
          <w:color w:val="1F1B16"/>
          <w:sz w:val="21"/>
          <w:szCs w:val="21"/>
        </w:rPr>
        <w:t xml:space="preserve">Pre-alerts with automatic package matching</w:t>
      </w:r>
    </w:p>
    <w:p>
      <w:pPr>
        <w:pStyle w:val="ListParagraph"/>
        <w:numPr>
          <w:ilvl w:val="0"/>
          <w:numId w:val="2"/>
        </w:numPr>
        <w:spacing w:after="80" w:line="280"/>
      </w:pPr>
      <w:r>
        <w:rPr>
          <w:color w:val="1F1B16"/>
          <w:sz w:val="21"/>
          <w:szCs w:val="21"/>
        </w:rPr>
        <w:t xml:space="preserve">Weight-based rate calculator</w:t>
      </w:r>
    </w:p>
    <w:p>
      <w:pPr>
        <w:pStyle w:val="ListParagraph"/>
        <w:numPr>
          <w:ilvl w:val="0"/>
          <w:numId w:val="2"/>
        </w:numPr>
        <w:spacing w:after="80" w:line="280"/>
      </w:pPr>
      <w:r>
        <w:rPr>
          <w:color w:val="1F1B16"/>
          <w:sz w:val="21"/>
          <w:szCs w:val="21"/>
        </w:rPr>
        <w:t xml:space="preserve">Email &amp; WhatsApp status notifications</w:t>
      </w:r>
    </w:p>
    <w:p>
      <w:pPr>
        <w:pStyle w:val="ListParagraph"/>
        <w:numPr>
          <w:ilvl w:val="0"/>
          <w:numId w:val="2"/>
        </w:numPr>
        <w:spacing w:after="80" w:line="280"/>
      </w:pPr>
      <w:r>
        <w:rPr>
          <w:color w:val="1F1B16"/>
          <w:sz w:val="21"/>
          <w:szCs w:val="21"/>
        </w:rPr>
        <w:t xml:space="preserve">Stripe-powered online payments, plus manual/in-person payment recording</w:t>
      </w:r>
    </w:p>
    <w:p>
      <w:pPr>
        <w:pStyle w:val="ListParagraph"/>
        <w:numPr>
          <w:ilvl w:val="0"/>
          <w:numId w:val="2"/>
        </w:numPr>
        <w:spacing w:after="80" w:line="280"/>
      </w:pPr>
      <w:r>
        <w:rPr>
          <w:color w:val="1F1B16"/>
          <w:sz w:val="21"/>
          <w:szCs w:val="21"/>
        </w:rPr>
        <w:t xml:space="preserve">Revenue and volume reporting</w:t>
      </w:r>
    </w:p>
    <w:p>
      <w:pPr>
        <w:spacing w:after="80"/>
      </w:pPr>
    </w:p>
    <w:p>
      <w:pPr>
        <w:spacing w:after="160" w:line="300"/>
      </w:pPr>
      <w:r>
        <w:rPr>
          <w:b/>
          <w:bCs/>
          <w:color w:val="1F1B16"/>
          <w:sz w:val="21"/>
          <w:szCs w:val="21"/>
        </w:rPr>
        <w:t xml:space="preserve">Gap the software doesn’t close: </w:t>
      </w:r>
      <w:r>
        <w:rPr>
          <w:color w:val="1F1B16"/>
          <w:sz w:val="21"/>
          <w:szCs w:val="21"/>
        </w:rPr>
        <w:t xml:space="preserve">Segment A still needs an actual US/Florida warehouse relationship, which CourierOS doesn’t provide. Close this with a short, admin-editable “How to get your Florida address” guide at signup, and explore a referral arrangement with a Miami-based consolidator or mailbox provider so “Start” customers aren’t stuck after they’ve paid.</w:t>
      </w:r>
    </w:p>
    <w:p>
      <w:pPr>
        <w:pStyle w:val="Heading1"/>
        <w:pBdr>
          <w:bottom w:val="single" w:color="E2530A" w:sz="6" w:space="4"/>
        </w:pBdr>
        <w:spacing w:after="160" w:before="360"/>
      </w:pPr>
      <w:r>
        <w:rPr>
          <w:b/>
          <w:bCs/>
          <w:color w:val="1F1B16"/>
          <w:sz w:val="30"/>
          <w:szCs w:val="30"/>
        </w:rPr>
        <w:t xml:space="preserve">6. Pricing for the Jamaica Launch</w:t>
      </w:r>
    </w:p>
    <w:p>
      <w:pPr>
        <w:spacing w:after="160" w:line="300"/>
      </w:pPr>
      <w:r>
        <w:rPr>
          <w:color w:val="1F1B16"/>
          <w:sz w:val="21"/>
          <w:szCs w:val="21"/>
        </w:rPr>
        <w:t xml:space="preserve">Keep list pricing as-is ($79/mo + $349 one-time setup, unlimited customers/packages/staff) — changing the core price is unnecessary and complicates the Stripe/reporting setup described in the codebase. Adjust the entry motion instead:</w:t>
      </w:r>
    </w:p>
    <w:p>
      <w:pPr>
        <w:pStyle w:val="ListParagraph"/>
        <w:numPr>
          <w:ilvl w:val="0"/>
          <w:numId w:val="2"/>
        </w:numPr>
        <w:spacing w:after="80" w:line="280"/>
      </w:pPr>
      <w:r>
        <w:rPr>
          <w:color w:val="1F1B16"/>
          <w:sz w:val="21"/>
          <w:szCs w:val="21"/>
        </w:rPr>
        <w:t xml:space="preserve">Founding Jamaica Cohort: waive or discount the $349 setup fee for the first 10–15 sign-ups, in exchange for a testimonial and permission to use their name/logo. $349 in setup is a meaningful slice of a typical J$100,000 bootstrap budget — removing it removes the single biggest hesitation for Segment A.</w:t>
      </w:r>
    </w:p>
    <w:p>
      <w:pPr>
        <w:pStyle w:val="ListParagraph"/>
        <w:numPr>
          <w:ilvl w:val="0"/>
          <w:numId w:val="2"/>
        </w:numPr>
        <w:spacing w:after="80" w:line="280"/>
      </w:pPr>
      <w:r>
        <w:rPr>
          <w:color w:val="1F1B16"/>
          <w:sz w:val="21"/>
          <w:szCs w:val="21"/>
        </w:rPr>
        <w:t xml:space="preserve">Split-pay the setup fee over the first 2–3 invoices instead of billing it all upfront, for anyone outside the founding cohort.</w:t>
      </w:r>
    </w:p>
    <w:p>
      <w:pPr>
        <w:pStyle w:val="ListParagraph"/>
        <w:numPr>
          <w:ilvl w:val="0"/>
          <w:numId w:val="2"/>
        </w:numPr>
        <w:spacing w:after="80" w:line="280"/>
      </w:pPr>
      <w:r>
        <w:rPr>
          <w:color w:val="1F1B16"/>
          <w:sz w:val="21"/>
          <w:szCs w:val="21"/>
        </w:rPr>
        <w:t xml:space="preserve">Keep the Enterprise tier as the landing spot for the largest existing operators (multi-warehouse, custom domain, migration) — this is squarely Segment B’s ceiling, not Segment A’s starting point.</w:t>
      </w:r>
    </w:p>
    <w:p>
      <w:pPr>
        <w:pStyle w:val="Heading1"/>
        <w:pBdr>
          <w:bottom w:val="single" w:color="E2530A" w:sz="6" w:space="4"/>
        </w:pBdr>
        <w:spacing w:after="160" w:before="360"/>
      </w:pPr>
      <w:r>
        <w:rPr>
          <w:b/>
          <w:bCs/>
          <w:color w:val="1F1B16"/>
          <w:sz w:val="30"/>
          <w:szCs w:val="30"/>
        </w:rPr>
        <w:t xml:space="preserve">7. Channels &amp; Tactics</w:t>
      </w:r>
    </w:p>
    <w:p>
      <w:pPr>
        <w:pStyle w:val="ListParagraph"/>
        <w:numPr>
          <w:ilvl w:val="0"/>
          <w:numId w:val="2"/>
        </w:numPr>
        <w:spacing w:after="80" w:line="280"/>
      </w:pPr>
      <w:r>
        <w:rPr>
          <w:color w:val="1F1B16"/>
          <w:sz w:val="21"/>
          <w:szCs w:val="21"/>
        </w:rPr>
        <w:t xml:space="preserve">WhatsApp: the dominant channel for Jamaican classifieds and shipping updates. Direct outreach into shipping/deals groups, plus using WhatsApp notifications inside the product itself as a visible feature in demos.</w:t>
      </w:r>
    </w:p>
    <w:p>
      <w:pPr>
        <w:pStyle w:val="ListParagraph"/>
        <w:numPr>
          <w:ilvl w:val="0"/>
          <w:numId w:val="2"/>
        </w:numPr>
        <w:spacing w:after="80" w:line="280"/>
      </w:pPr>
      <w:r>
        <w:rPr>
          <w:color w:val="1F1B16"/>
          <w:sz w:val="21"/>
          <w:szCs w:val="21"/>
        </w:rPr>
        <w:t xml:space="preserve">Instagram &amp; TikTok: ShipToSure is already running “how to start a shipping business” content there — CourierOS should run “what running it actually looks like” demo content in the same space, and explore an affiliate/referral arrangement with existing educators so CourierOS becomes the tool they recommend after the course.</w:t>
      </w:r>
    </w:p>
    <w:p>
      <w:pPr>
        <w:pStyle w:val="ListParagraph"/>
        <w:numPr>
          <w:ilvl w:val="0"/>
          <w:numId w:val="2"/>
        </w:numPr>
        <w:spacing w:after="80" w:line="280"/>
      </w:pPr>
      <w:r>
        <w:rPr>
          <w:color w:val="1F1B16"/>
          <w:sz w:val="21"/>
          <w:szCs w:val="21"/>
        </w:rPr>
        <w:t xml:space="preserve">Facebook Groups: Jamaican online-shopping and shipping groups are active and a natural place for both organic posts and a small paid test.</w:t>
      </w:r>
    </w:p>
    <w:p>
      <w:pPr>
        <w:pStyle w:val="ListParagraph"/>
        <w:numPr>
          <w:ilvl w:val="0"/>
          <w:numId w:val="2"/>
        </w:numPr>
        <w:spacing w:after="80" w:line="280"/>
      </w:pPr>
      <w:r>
        <w:rPr>
          <w:color w:val="1F1B16"/>
          <w:sz w:val="21"/>
          <w:szCs w:val="21"/>
        </w:rPr>
        <w:t xml:space="preserve">Referral from Today Shipping: Segment B operators know each other. A direct referral ask from the pilot client is likely the highest-trust, lowest-cost channel available.</w:t>
      </w:r>
    </w:p>
    <w:p>
      <w:pPr>
        <w:pStyle w:val="ListParagraph"/>
        <w:numPr>
          <w:ilvl w:val="0"/>
          <w:numId w:val="2"/>
        </w:numPr>
        <w:spacing w:after="80" w:line="280"/>
      </w:pPr>
      <w:r>
        <w:rPr>
          <w:color w:val="1F1B16"/>
          <w:sz w:val="21"/>
          <w:szCs w:val="21"/>
        </w:rPr>
        <w:t xml:space="preserve">Shipping Association of Jamaica: explore a sponsorship or partner conversation — one channel reaching both segments at once.</w:t>
      </w:r>
    </w:p>
    <w:p>
      <w:pPr>
        <w:pStyle w:val="ListParagraph"/>
        <w:numPr>
          <w:ilvl w:val="0"/>
          <w:numId w:val="2"/>
        </w:numPr>
        <w:spacing w:after="80" w:line="280"/>
      </w:pPr>
      <w:r>
        <w:rPr>
          <w:color w:val="1F1B16"/>
          <w:sz w:val="21"/>
          <w:szCs w:val="21"/>
        </w:rPr>
        <w:t xml:space="preserve">A Jamaica-based point of contact: even as a remote SaaS, having one named local contact for onboarding calls and support adds trust that a US-billed subscription alone won’t — doesn’t need to be a hire, a part-time or affiliate arrangement is enough to start.</w:t>
      </w:r>
    </w:p>
    <w:p>
      <w:pPr>
        <w:pStyle w:val="Heading1"/>
        <w:pBdr>
          <w:bottom w:val="single" w:color="E2530A" w:sz="6" w:space="4"/>
        </w:pBdr>
        <w:spacing w:after="160" w:before="360"/>
      </w:pPr>
      <w:r>
        <w:rPr>
          <w:b/>
          <w:bCs/>
          <w:color w:val="1F1B16"/>
          <w:sz w:val="30"/>
          <w:szCs w:val="30"/>
        </w:rPr>
        <w:t xml:space="preserve">8. 90-Day Launch Plan</w:t>
      </w:r>
    </w:p>
    <w:p>
      <w:pPr>
        <w:pStyle w:val="Heading2"/>
        <w:spacing w:after="120" w:before="260"/>
      </w:pPr>
      <w:r>
        <w:rPr>
          <w:b/>
          <w:bCs/>
          <w:color w:val="E2530A"/>
          <w:sz w:val="24"/>
          <w:szCs w:val="24"/>
        </w:rPr>
        <w:t xml:space="preserve">Days 1–30 — Proof and foundation</w:t>
      </w:r>
    </w:p>
    <w:p>
      <w:pPr>
        <w:pStyle w:val="ListParagraph"/>
        <w:numPr>
          <w:ilvl w:val="0"/>
          <w:numId w:val="2"/>
        </w:numPr>
        <w:spacing w:after="80" w:line="280"/>
      </w:pPr>
      <w:r>
        <w:rPr>
          <w:color w:val="1F1B16"/>
          <w:sz w:val="21"/>
          <w:szCs w:val="21"/>
        </w:rPr>
        <w:t xml:space="preserve">Turn Today Shipping into a documented case study: packages/month, time saved vs. spreadsheets, revenue trend, in their own words.</w:t>
      </w:r>
    </w:p>
    <w:p>
      <w:pPr>
        <w:pStyle w:val="ListParagraph"/>
        <w:numPr>
          <w:ilvl w:val="0"/>
          <w:numId w:val="2"/>
        </w:numPr>
        <w:spacing w:after="80" w:line="280"/>
      </w:pPr>
      <w:r>
        <w:rPr>
          <w:color w:val="1F1B16"/>
          <w:sz w:val="21"/>
          <w:szCs w:val="21"/>
        </w:rPr>
        <w:t xml:space="preserve">Add a Jamaica-specific section to courieros.co (or a dedicated landing page) using that case study, JMD-relatable framing, and FAQs specific to starting a courier business in Jamaica.</w:t>
      </w:r>
    </w:p>
    <w:p>
      <w:pPr>
        <w:pStyle w:val="ListParagraph"/>
        <w:numPr>
          <w:ilvl w:val="0"/>
          <w:numId w:val="2"/>
        </w:numPr>
        <w:spacing w:after="80" w:line="280"/>
      </w:pPr>
      <w:r>
        <w:rPr>
          <w:color w:val="1F1B16"/>
          <w:sz w:val="21"/>
          <w:szCs w:val="21"/>
        </w:rPr>
        <w:t xml:space="preserve">Identify 15–20 target accounts across both segments and begin direct outreach.</w:t>
      </w:r>
    </w:p>
    <w:p>
      <w:pPr>
        <w:pStyle w:val="Heading2"/>
        <w:spacing w:after="120" w:before="260"/>
      </w:pPr>
      <w:r>
        <w:rPr>
          <w:b/>
          <w:bCs/>
          <w:color w:val="E2530A"/>
          <w:sz w:val="24"/>
          <w:szCs w:val="24"/>
        </w:rPr>
        <w:t xml:space="preserve">Days 31–60 — Push</w:t>
      </w:r>
    </w:p>
    <w:p>
      <w:pPr>
        <w:pStyle w:val="ListParagraph"/>
        <w:numPr>
          <w:ilvl w:val="0"/>
          <w:numId w:val="2"/>
        </w:numPr>
        <w:spacing w:after="80" w:line="280"/>
      </w:pPr>
      <w:r>
        <w:rPr>
          <w:color w:val="1F1B16"/>
          <w:sz w:val="21"/>
          <w:szCs w:val="21"/>
        </w:rPr>
        <w:t xml:space="preserve">Launch the Founding Jamaica Cohort offer and promote it through WhatsApp groups, Facebook groups, and IG/TikTok content.</w:t>
      </w:r>
    </w:p>
    <w:p>
      <w:pPr>
        <w:pStyle w:val="ListParagraph"/>
        <w:numPr>
          <w:ilvl w:val="0"/>
          <w:numId w:val="2"/>
        </w:numPr>
        <w:spacing w:after="80" w:line="280"/>
      </w:pPr>
      <w:r>
        <w:rPr>
          <w:color w:val="1F1B16"/>
          <w:sz w:val="21"/>
          <w:szCs w:val="21"/>
        </w:rPr>
        <w:t xml:space="preserve">Open conversations with 1–2 creators/educators already teaching “how to start a shipping business” about an affiliate arrangement.</w:t>
      </w:r>
    </w:p>
    <w:p>
      <w:pPr>
        <w:pStyle w:val="ListParagraph"/>
        <w:numPr>
          <w:ilvl w:val="0"/>
          <w:numId w:val="2"/>
        </w:numPr>
        <w:spacing w:after="80" w:line="280"/>
      </w:pPr>
      <w:r>
        <w:rPr>
          <w:color w:val="1F1B16"/>
          <w:sz w:val="21"/>
          <w:szCs w:val="21"/>
        </w:rPr>
        <w:t xml:space="preserve">Reach out to the Shipping Association of Jamaica.</w:t>
      </w:r>
    </w:p>
    <w:p>
      <w:pPr>
        <w:pStyle w:val="Heading2"/>
        <w:spacing w:after="120" w:before="260"/>
      </w:pPr>
      <w:r>
        <w:rPr>
          <w:b/>
          <w:bCs/>
          <w:color w:val="E2530A"/>
          <w:sz w:val="24"/>
          <w:szCs w:val="24"/>
        </w:rPr>
        <w:t xml:space="preserve">Days 61–90 — Convert and measure</w:t>
      </w:r>
    </w:p>
    <w:p>
      <w:pPr>
        <w:pStyle w:val="ListParagraph"/>
        <w:numPr>
          <w:ilvl w:val="0"/>
          <w:numId w:val="2"/>
        </w:numPr>
        <w:spacing w:after="80" w:line="280"/>
      </w:pPr>
      <w:r>
        <w:rPr>
          <w:color w:val="1F1B16"/>
          <w:sz w:val="21"/>
          <w:szCs w:val="21"/>
        </w:rPr>
        <w:t xml:space="preserve">Close the founding cohort, collect testimonials and logo usage rights.</w:t>
      </w:r>
    </w:p>
    <w:p>
      <w:pPr>
        <w:pStyle w:val="ListParagraph"/>
        <w:numPr>
          <w:ilvl w:val="0"/>
          <w:numId w:val="2"/>
        </w:numPr>
        <w:spacing w:after="80" w:line="280"/>
      </w:pPr>
      <w:r>
        <w:rPr>
          <w:color w:val="1F1B16"/>
          <w:sz w:val="21"/>
          <w:szCs w:val="21"/>
        </w:rPr>
        <w:t xml:space="preserve">Formalize a referral program based on what actually drove sign-ups in the first 60 days.</w:t>
      </w:r>
    </w:p>
    <w:p>
      <w:pPr>
        <w:pStyle w:val="ListParagraph"/>
        <w:numPr>
          <w:ilvl w:val="0"/>
          <w:numId w:val="2"/>
        </w:numPr>
        <w:spacing w:after="80" w:line="280"/>
      </w:pPr>
      <w:r>
        <w:rPr>
          <w:color w:val="1F1B16"/>
          <w:sz w:val="21"/>
          <w:szCs w:val="21"/>
        </w:rPr>
        <w:t xml:space="preserve">Review CAC by channel and decide whether Segment A needs a paid “Launch Concierge” add-on (guided setup, rate-sheet help, warehouse referral) beyond the software.</w:t>
      </w:r>
    </w:p>
    <w:p>
      <w:pPr>
        <w:pStyle w:val="Heading1"/>
        <w:pBdr>
          <w:bottom w:val="single" w:color="E2530A" w:sz="6" w:space="4"/>
        </w:pBdr>
        <w:spacing w:after="160" w:before="360"/>
      </w:pPr>
      <w:r>
        <w:rPr>
          <w:b/>
          <w:bCs/>
          <w:color w:val="1F1B16"/>
          <w:sz w:val="30"/>
          <w:szCs w:val="30"/>
        </w:rPr>
        <w:t xml:space="preserve">9. Competitive Landscape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1B16" w:color="auto" w:val="clear"/>
            <w:tcMar>
              <w:top w:type="dxa" w:w="100"/>
              <w:left w:type="dxa" w:w="120"/>
              <w:bottom w:type="dxa" w:w="100"/>
              <w:right w:type="dxa" w:w="120"/>
            </w:tcMar>
          </w:tcPr>
          <w:p>
            <w:r>
              <w:rPr>
                <w:b/>
                <w:bCs/>
                <w:color w:val="FFFFFF"/>
                <w:sz w:val="19"/>
                <w:szCs w:val="19"/>
              </w:rPr>
              <w:t xml:space="preserve">Competitor</w:t>
            </w:r>
          </w:p>
        </w:tc>
        <w:tc>
          <w:tcPr>
            <w:tcW w:type="dxa" w:w="3200"/>
            <w:shd w:fill="1F1B16" w:color="auto" w:val="clear"/>
            <w:tcMar>
              <w:top w:type="dxa" w:w="100"/>
              <w:left w:type="dxa" w:w="120"/>
              <w:bottom w:type="dxa" w:w="100"/>
              <w:right w:type="dxa" w:w="120"/>
            </w:tcMar>
          </w:tcPr>
          <w:p>
            <w:r>
              <w:rPr>
                <w:b/>
                <w:bCs/>
                <w:color w:val="FFFFFF"/>
                <w:sz w:val="19"/>
                <w:szCs w:val="19"/>
              </w:rPr>
              <w:t xml:space="preserve">What they sell</w:t>
            </w:r>
          </w:p>
        </w:tc>
        <w:tc>
          <w:tcPr>
            <w:tcW w:type="dxa" w:w="3400"/>
            <w:shd w:fill="1F1B16" w:color="auto" w:val="clear"/>
            <w:tcMar>
              <w:top w:type="dxa" w:w="100"/>
              <w:left w:type="dxa" w:w="120"/>
              <w:bottom w:type="dxa" w:w="100"/>
              <w:right w:type="dxa" w:w="120"/>
            </w:tcMar>
          </w:tcPr>
          <w:p>
            <w:r>
              <w:rPr>
                <w:b/>
                <w:bCs/>
                <w:color w:val="FFFFFF"/>
                <w:sz w:val="19"/>
                <w:szCs w:val="19"/>
              </w:rPr>
              <w:t xml:space="preserve">How CourierOS wins</w:t>
            </w:r>
          </w:p>
        </w:tc>
      </w:tr>
      <w:tr>
        <w:tc>
          <w:tcPr>
            <w:tcW w:type="dxa" w:w="2600"/>
            <w:tcMar>
              <w:top w:type="dxa" w:w="100"/>
              <w:left w:type="dxa" w:w="120"/>
              <w:bottom w:type="dxa" w:w="100"/>
              <w:right w:type="dxa" w:w="120"/>
            </w:tcMar>
          </w:tcPr>
          <w:p>
            <w:r>
              <w:rPr>
                <w:b w:val="false"/>
                <w:bCs w:val="false"/>
                <w:color w:val="1F1B16"/>
                <w:sz w:val="19"/>
                <w:szCs w:val="19"/>
              </w:rPr>
              <w:t xml:space="preserve">Impression Marketing Jamaica</w:t>
            </w:r>
          </w:p>
        </w:tc>
        <w:tc>
          <w:tcPr>
            <w:tcW w:type="dxa" w:w="3200"/>
            <w:tcMar>
              <w:top w:type="dxa" w:w="100"/>
              <w:left w:type="dxa" w:w="120"/>
              <w:bottom w:type="dxa" w:w="100"/>
              <w:right w:type="dxa" w:w="120"/>
            </w:tcMar>
          </w:tcPr>
          <w:p>
            <w:r>
              <w:rPr>
                <w:b w:val="false"/>
                <w:bCs w:val="false"/>
                <w:color w:val="1F1B16"/>
                <w:sz w:val="19"/>
                <w:szCs w:val="19"/>
              </w:rPr>
              <w:t xml:space="preserve">One-off courier/shipping websites</w:t>
            </w:r>
          </w:p>
        </w:tc>
        <w:tc>
          <w:tcPr>
            <w:tcW w:type="dxa" w:w="3400"/>
            <w:tcMar>
              <w:top w:type="dxa" w:w="100"/>
              <w:left w:type="dxa" w:w="120"/>
              <w:bottom w:type="dxa" w:w="100"/>
              <w:right w:type="dxa" w:w="120"/>
            </w:tcMar>
          </w:tcPr>
          <w:p>
            <w:r>
              <w:rPr>
                <w:b w:val="false"/>
                <w:bCs w:val="false"/>
                <w:color w:val="1F1B16"/>
                <w:sz w:val="19"/>
                <w:szCs w:val="19"/>
              </w:rPr>
              <w:t xml:space="preserve">A website alone doesn’t run the business — no pre-alerts, tracking, portal, or billing after launch.</w:t>
            </w:r>
          </w:p>
        </w:tc>
      </w:tr>
      <w:tr>
        <w:tc>
          <w:tcPr>
            <w:tcW w:type="dxa" w:w="2600"/>
            <w:shd w:fill="F7EFE4" w:color="auto" w:val="clear"/>
            <w:tcMar>
              <w:top w:type="dxa" w:w="100"/>
              <w:left w:type="dxa" w:w="120"/>
              <w:bottom w:type="dxa" w:w="100"/>
              <w:right w:type="dxa" w:w="120"/>
            </w:tcMar>
          </w:tcPr>
          <w:p>
            <w:r>
              <w:rPr>
                <w:b w:val="false"/>
                <w:bCs w:val="false"/>
                <w:color w:val="1F1B16"/>
                <w:sz w:val="19"/>
                <w:szCs w:val="19"/>
              </w:rPr>
              <w:t xml:space="preserve">ShipToSure &amp; similar educators</w:t>
            </w:r>
          </w:p>
        </w:tc>
        <w:tc>
          <w:tcPr>
            <w:tcW w:type="dxa" w:w="3200"/>
            <w:shd w:fill="F7EFE4" w:color="auto" w:val="clear"/>
            <w:tcMar>
              <w:top w:type="dxa" w:w="100"/>
              <w:left w:type="dxa" w:w="120"/>
              <w:bottom w:type="dxa" w:w="100"/>
              <w:right w:type="dxa" w:w="120"/>
            </w:tcMar>
          </w:tcPr>
          <w:p>
            <w:r>
              <w:rPr>
                <w:b w:val="false"/>
                <w:bCs w:val="false"/>
                <w:color w:val="1F1B16"/>
                <w:sz w:val="19"/>
                <w:szCs w:val="19"/>
              </w:rPr>
              <w:t xml:space="preserve">Courses/coaching on starting a shipping business</w:t>
            </w:r>
          </w:p>
        </w:tc>
        <w:tc>
          <w:tcPr>
            <w:tcW w:type="dxa" w:w="3400"/>
            <w:shd w:fill="F7EFE4" w:color="auto" w:val="clear"/>
            <w:tcMar>
              <w:top w:type="dxa" w:w="100"/>
              <w:left w:type="dxa" w:w="120"/>
              <w:bottom w:type="dxa" w:w="100"/>
              <w:right w:type="dxa" w:w="120"/>
            </w:tcMar>
          </w:tcPr>
          <w:p>
            <w:r>
              <w:rPr>
                <w:b w:val="false"/>
                <w:bCs w:val="false"/>
                <w:color w:val="1F1B16"/>
                <w:sz w:val="19"/>
                <w:szCs w:val="19"/>
              </w:rPr>
              <w:t xml:space="preserve">Complementary, not head-on — they teach the business; CourierOS is what they recommend to actually run it.</w:t>
            </w:r>
          </w:p>
        </w:tc>
      </w:tr>
      <w:tr>
        <w:tc>
          <w:tcPr>
            <w:tcW w:type="dxa" w:w="2600"/>
            <w:tcMar>
              <w:top w:type="dxa" w:w="100"/>
              <w:left w:type="dxa" w:w="120"/>
              <w:bottom w:type="dxa" w:w="100"/>
              <w:right w:type="dxa" w:w="120"/>
            </w:tcMar>
          </w:tcPr>
          <w:p>
            <w:r>
              <w:rPr>
                <w:b w:val="false"/>
                <w:bCs w:val="false"/>
                <w:color w:val="1F1B16"/>
                <w:sz w:val="19"/>
                <w:szCs w:val="19"/>
              </w:rPr>
              <w:t xml:space="preserve">DIY (Wix/Squarespace + spreadsheets)</w:t>
            </w:r>
          </w:p>
        </w:tc>
        <w:tc>
          <w:tcPr>
            <w:tcW w:type="dxa" w:w="3200"/>
            <w:tcMar>
              <w:top w:type="dxa" w:w="100"/>
              <w:left w:type="dxa" w:w="120"/>
              <w:bottom w:type="dxa" w:w="100"/>
              <w:right w:type="dxa" w:w="120"/>
            </w:tcMar>
          </w:tcPr>
          <w:p>
            <w:r>
              <w:rPr>
                <w:b w:val="false"/>
                <w:bCs w:val="false"/>
                <w:color w:val="1F1B16"/>
                <w:sz w:val="19"/>
                <w:szCs w:val="19"/>
              </w:rPr>
              <w:t xml:space="preserve">A cheap or free static site</w:t>
            </w:r>
          </w:p>
        </w:tc>
        <w:tc>
          <w:tcPr>
            <w:tcW w:type="dxa" w:w="3400"/>
            <w:tcMar>
              <w:top w:type="dxa" w:w="100"/>
              <w:left w:type="dxa" w:w="120"/>
              <w:bottom w:type="dxa" w:w="100"/>
              <w:right w:type="dxa" w:w="120"/>
            </w:tcMar>
          </w:tcPr>
          <w:p>
            <w:r>
              <w:rPr>
                <w:b w:val="false"/>
                <w:bCs w:val="false"/>
                <w:color w:val="1F1B16"/>
                <w:sz w:val="19"/>
                <w:szCs w:val="19"/>
              </w:rPr>
              <w:t xml:space="preserve">No operations behind the site — this is exactly the pain Segment B is already living with.</w:t>
            </w:r>
          </w:p>
        </w:tc>
      </w:tr>
      <w:tr>
        <w:tc>
          <w:tcPr>
            <w:tcW w:type="dxa" w:w="2600"/>
            <w:shd w:fill="F7EFE4" w:color="auto" w:val="clear"/>
            <w:tcMar>
              <w:top w:type="dxa" w:w="100"/>
              <w:left w:type="dxa" w:w="120"/>
              <w:bottom w:type="dxa" w:w="100"/>
              <w:right w:type="dxa" w:w="120"/>
            </w:tcMar>
          </w:tcPr>
          <w:p>
            <w:r>
              <w:rPr>
                <w:b w:val="false"/>
                <w:bCs w:val="false"/>
                <w:color w:val="1F1B16"/>
                <w:sz w:val="19"/>
                <w:szCs w:val="19"/>
              </w:rPr>
              <w:t xml:space="preserve">Global forwarders (Global Shopaholics, EasiParcel, ShipToBox)</w:t>
            </w:r>
          </w:p>
        </w:tc>
        <w:tc>
          <w:tcPr>
            <w:tcW w:type="dxa" w:w="3200"/>
            <w:shd w:fill="F7EFE4" w:color="auto" w:val="clear"/>
            <w:tcMar>
              <w:top w:type="dxa" w:w="100"/>
              <w:left w:type="dxa" w:w="120"/>
              <w:bottom w:type="dxa" w:w="100"/>
              <w:right w:type="dxa" w:w="120"/>
            </w:tcMar>
          </w:tcPr>
          <w:p>
            <w:r>
              <w:rPr>
                <w:b w:val="false"/>
                <w:bCs w:val="false"/>
                <w:color w:val="1F1B16"/>
                <w:sz w:val="19"/>
                <w:szCs w:val="19"/>
              </w:rPr>
              <w:t xml:space="preserve">Consumer-facing US-to-Jamaica forwarding directly</w:t>
            </w:r>
          </w:p>
        </w:tc>
        <w:tc>
          <w:tcPr>
            <w:tcW w:type="dxa" w:w="3400"/>
            <w:shd w:fill="F7EFE4" w:color="auto" w:val="clear"/>
            <w:tcMar>
              <w:top w:type="dxa" w:w="100"/>
              <w:left w:type="dxa" w:w="120"/>
              <w:bottom w:type="dxa" w:w="100"/>
              <w:right w:type="dxa" w:w="120"/>
            </w:tcMar>
          </w:tcPr>
          <w:p>
            <w:r>
              <w:rPr>
                <w:b w:val="false"/>
                <w:bCs w:val="false"/>
                <w:color w:val="1F1B16"/>
                <w:sz w:val="19"/>
                <w:szCs w:val="19"/>
              </w:rPr>
              <w:t xml:space="preserve">Not a competitor to CourierOS — potential warehouse/consolidator partner for the Segment A gap in Section 5.</w:t>
            </w:r>
          </w:p>
        </w:tc>
      </w:tr>
    </w:tbl>
    <w:p>
      <w:pPr>
        <w:spacing w:after="200"/>
      </w:pPr>
    </w:p>
    <w:p>
      <w:pPr>
        <w:pStyle w:val="Heading1"/>
        <w:pBdr>
          <w:bottom w:val="single" w:color="E2530A" w:sz="6" w:space="4"/>
        </w:pBdr>
        <w:spacing w:after="160" w:before="360"/>
      </w:pPr>
      <w:r>
        <w:rPr>
          <w:b/>
          <w:bCs/>
          <w:color w:val="1F1B16"/>
          <w:sz w:val="30"/>
          <w:szCs w:val="30"/>
        </w:rPr>
        <w:t xml:space="preserve">10. Risks &amp; Mitigations</w:t>
      </w:r>
    </w:p>
    <w:p>
      <w:pPr>
        <w:pStyle w:val="ListParagraph"/>
        <w:numPr>
          <w:ilvl w:val="0"/>
          <w:numId w:val="2"/>
        </w:numPr>
        <w:spacing w:after="80" w:line="280"/>
      </w:pPr>
      <w:r>
        <w:rPr>
          <w:color w:val="1F1B16"/>
          <w:sz w:val="21"/>
          <w:szCs w:val="21"/>
        </w:rPr>
        <w:t xml:space="preserve">Upfront trust in a US-billed subscription: mitigate with the Today Shipping proof point and a named local contact for onboarding.</w:t>
      </w:r>
    </w:p>
    <w:p>
      <w:pPr>
        <w:pStyle w:val="ListParagraph"/>
        <w:numPr>
          <w:ilvl w:val="0"/>
          <w:numId w:val="2"/>
        </w:numPr>
        <w:spacing w:after="80" w:line="280"/>
      </w:pPr>
      <w:r>
        <w:rPr>
          <w:color w:val="1F1B16"/>
          <w:sz w:val="21"/>
          <w:szCs w:val="21"/>
        </w:rPr>
        <w:t xml:space="preserve">Segment A can’t get past “I don’t have a Florida address yet”: mitigate with the admin-editable setup guide and a warehouse-partner referral (Section 5).</w:t>
      </w:r>
    </w:p>
    <w:p>
      <w:pPr>
        <w:pStyle w:val="ListParagraph"/>
        <w:numPr>
          <w:ilvl w:val="0"/>
          <w:numId w:val="2"/>
        </w:numPr>
        <w:spacing w:after="80" w:line="280"/>
      </w:pPr>
      <w:r>
        <w:rPr>
          <w:color w:val="1F1B16"/>
          <w:sz w:val="21"/>
          <w:szCs w:val="21"/>
        </w:rPr>
        <w:t xml:space="preserve">Price sensitivity on the setup fee against a small local startup budget: mitigate with the founding-cohort waiver and split-pay option (Section 6).</w:t>
      </w:r>
    </w:p>
    <w:p>
      <w:pPr>
        <w:pStyle w:val="ListParagraph"/>
        <w:numPr>
          <w:ilvl w:val="0"/>
          <w:numId w:val="2"/>
        </w:numPr>
        <w:spacing w:after="80" w:line="280"/>
      </w:pPr>
      <w:r>
        <w:rPr>
          <w:color w:val="1F1B16"/>
          <w:sz w:val="21"/>
          <w:szCs w:val="21"/>
        </w:rPr>
        <w:t xml:space="preserve">Small-market channel dependency (word of mouth, a handful of WhatsApp groups) caps reach: mitigate by moving early on the creator/affiliate route so growth isn’t solely organic.</w:t>
      </w:r>
    </w:p>
    <w:p>
      <w:pPr>
        <w:pStyle w:val="Heading1"/>
        <w:pBdr>
          <w:bottom w:val="single" w:color="E2530A" w:sz="6" w:space="4"/>
        </w:pBdr>
        <w:spacing w:after="160" w:before="360"/>
      </w:pPr>
      <w:r>
        <w:rPr>
          <w:b/>
          <w:bCs/>
          <w:color w:val="1F1B16"/>
          <w:sz w:val="30"/>
          <w:szCs w:val="30"/>
        </w:rPr>
        <w:t xml:space="preserve">11. Next Steps</w:t>
      </w:r>
    </w:p>
    <w:p>
      <w:pPr>
        <w:pStyle w:val="ListParagraph"/>
        <w:numPr>
          <w:ilvl w:val="0"/>
          <w:numId w:val="2"/>
        </w:numPr>
        <w:spacing w:after="80" w:line="280"/>
      </w:pPr>
      <w:r>
        <w:rPr>
          <w:color w:val="1F1B16"/>
          <w:sz w:val="21"/>
          <w:szCs w:val="21"/>
        </w:rPr>
        <w:t xml:space="preserve">Decide the founding-cohort size and discount/waiver terms.</w:t>
      </w:r>
    </w:p>
    <w:p>
      <w:pPr>
        <w:pStyle w:val="ListParagraph"/>
        <w:numPr>
          <w:ilvl w:val="0"/>
          <w:numId w:val="2"/>
        </w:numPr>
        <w:spacing w:after="80" w:line="280"/>
      </w:pPr>
      <w:r>
        <w:rPr>
          <w:color w:val="1F1B16"/>
          <w:sz w:val="21"/>
          <w:szCs w:val="21"/>
        </w:rPr>
        <w:t xml:space="preserve">Greenlight the Today Shipping case study and the Jamaica landing page.</w:t>
      </w:r>
    </w:p>
    <w:p>
      <w:pPr>
        <w:pStyle w:val="ListParagraph"/>
        <w:numPr>
          <w:ilvl w:val="0"/>
          <w:numId w:val="2"/>
        </w:numPr>
        <w:spacing w:after="80" w:line="280"/>
      </w:pPr>
      <w:r>
        <w:rPr>
          <w:color w:val="1F1B16"/>
          <w:sz w:val="21"/>
          <w:szCs w:val="21"/>
        </w:rPr>
        <w:t xml:space="preserve">Approve outreach to one educator/creator for an affiliate conversation.</w:t>
      </w:r>
    </w:p>
    <w:p>
      <w:pPr>
        <w:pStyle w:val="ListParagraph"/>
        <w:numPr>
          <w:ilvl w:val="0"/>
          <w:numId w:val="2"/>
        </w:numPr>
        <w:spacing w:after="80" w:line="280"/>
      </w:pPr>
      <w:r>
        <w:rPr>
          <w:color w:val="1F1B16"/>
          <w:sz w:val="21"/>
          <w:szCs w:val="21"/>
        </w:rPr>
        <w:t xml:space="preserve">Set a target sign-up number for the first 90 days to measure against.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2026-08-10T08:24:51.590Z</dcterms:created>
  <dcterms:modified xsi:type="dcterms:W3CDTF">2026-08-10T08:24:51.590Z</dcterms:modified>
</cp:coreProperties>
</file>

<file path=docProps/custom.xml><?xml version="1.0" encoding="utf-8"?>
<Properties xmlns="http://schemas.openxmlformats.org/officeDocument/2006/custom-properties" xmlns:vt="http://schemas.openxmlformats.org/officeDocument/2006/docPropsVTypes"/>
</file>