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CourierOS — Customer-Ready Pre-Launch Audit</w:t>
      </w:r>
    </w:p>
    <w:p>
      <w:pPr>
        <w:spacing w:after="320"/>
      </w:pPr>
      <w:r>
        <w:rPr>
          <w:i/>
          <w:iCs/>
          <w:color w:val="555555"/>
        </w:rPr>
        <w:t xml:space="preserve">Brutal audit against 5 gates · 20 areas · conducted 11 August 2026, updated 12 August 2026 after same-day fixes</w:t>
      </w:r>
    </w:p>
    <w:p>
      <w:pPr>
        <w:pStyle w:val="Heading1"/>
        <w:spacing w:after="160" w:before="360"/>
      </w:pPr>
      <w:r>
        <w:t xml:space="preserve">Verdict (updated 12 August)</w:t>
      </w:r>
    </w:p>
    <w:p>
      <w:pPr>
        <w:spacing w:after="120"/>
      </w:pPr>
      <w:r>
        <w:t xml:space="preserve">The 11 August pass found CourierOS could not onboard a real customer at all. Six fixes went in the same day (below) — Stripe itself was deliberately left for later, but every other blocker that didn't depend on it is now closed. Where things stand now:</w:t>
      </w:r>
    </w:p>
    <w:p>
      <w:pPr>
        <w:pStyle w:val="ListParagraph"/>
        <w:numPr>
          <w:ilvl w:val="0"/>
          <w:numId w:val="1"/>
        </w:numPr>
        <w:spacing w:after="60"/>
      </w:pPr>
      <w:r>
        <w:t xml:space="preserve">You can onboard someone today without touching code. The platform console can create an active tenant with a working owner login in under a minute — verified end-to-end, including logging in as the new owner. Public self-serve signup still dead-ends at Stripe checkout (by choice), but it now fails with a branded page instead of leaking a stack trace, and there's a real manual path around it.</w:t>
      </w:r>
    </w:p>
    <w:p>
      <w:pPr>
        <w:pStyle w:val="ListParagraph"/>
        <w:numPr>
          <w:ilvl w:val="0"/>
          <w:numId w:val="1"/>
        </w:numPr>
        <w:spacing w:after="60"/>
      </w:pPr>
      <w:r>
        <w:t xml:space="preserve">The product-scope question is unchanged and is the one thing on this list that isn't a bug to fix. The product as built is a package-forwarding platform (pre-alerts, a warehouse intake address, package pickup) — the same shape as its predecessor, Ship’d JM. Driver/rider management, delivery-job assignment, a public tracking link, and proof-of-delivery do not exist anywhere in the codebase. Confirm with the target Jamaican courier company whether package-forwarding is what they actually want before building any of that.</w:t>
      </w:r>
    </w:p>
    <w:p>
      <w:pPr>
        <w:spacing w:after="120"/>
      </w:pPr>
      <w:r>
        <w:t xml:space="preserve">Everything below the funnel — branding, customer records, delivery pricing, error pages, tenant isolation — remains in genuinely solid shape.</w:t>
      </w:r>
    </w:p>
    <w:p>
      <w:pPr>
        <w:pStyle w:val="Heading1"/>
        <w:spacing w:after="160" w:before="360"/>
      </w:pPr>
      <w:r>
        <w:t xml:space="preserve">Scorecard — the 5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1600"/>
        <w:gridCol w:w="1860"/>
      </w:tblGrid>
      <w:tr>
        <w:trPr>
          <w:tblHeader/>
        </w:trPr>
        <w:tc>
          <w:tcPr>
            <w:tcW w:type="dxa" w:w="700"/>
            <w:shd w:fill="1F2937" w:val="clear"/>
            <w:tcMar>
              <w:top w:type="dxa" w:w="100"/>
              <w:left w:type="dxa" w:w="120"/>
              <w:bottom w:type="dxa" w:w="100"/>
              <w:right w:type="dxa" w:w="120"/>
            </w:tcMar>
            <w:vAlign w:val="center"/>
          </w:tcPr>
          <w:p>
            <w:r>
              <w:rPr>
                <w:b/>
                <w:bCs/>
                <w:color w:val="FFFFFF"/>
              </w:rPr>
              <w:t xml:space="preserve">#</w:t>
            </w:r>
          </w:p>
        </w:tc>
        <w:tc>
          <w:tcPr>
            <w:tcW w:type="dxa" w:w="5200"/>
            <w:shd w:fill="1F2937" w:val="clear"/>
            <w:tcMar>
              <w:top w:type="dxa" w:w="100"/>
              <w:left w:type="dxa" w:w="120"/>
              <w:bottom w:type="dxa" w:w="100"/>
              <w:right w:type="dxa" w:w="120"/>
            </w:tcMar>
            <w:vAlign w:val="center"/>
          </w:tcPr>
          <w:p>
            <w:r>
              <w:rPr>
                <w:b/>
                <w:bCs/>
                <w:color w:val="FFFFFF"/>
              </w:rPr>
              <w:t xml:space="preserve">Gate</w:t>
            </w:r>
          </w:p>
        </w:tc>
        <w:tc>
          <w:tcPr>
            <w:tcW w:type="dxa" w:w="1600"/>
            <w:shd w:fill="1F2937" w:val="clear"/>
            <w:tcMar>
              <w:top w:type="dxa" w:w="100"/>
              <w:left w:type="dxa" w:w="120"/>
              <w:bottom w:type="dxa" w:w="100"/>
              <w:right w:type="dxa" w:w="120"/>
            </w:tcMar>
            <w:vAlign w:val="center"/>
          </w:tcPr>
          <w:p>
            <w:r>
              <w:rPr>
                <w:b/>
                <w:bCs/>
                <w:color w:val="FFFFFF"/>
              </w:rPr>
              <w:t xml:space="preserve">Result</w:t>
            </w:r>
          </w:p>
        </w:tc>
        <w:tc>
          <w:tcPr>
            <w:tcW w:type="dxa" w:w="1860"/>
            <w:shd w:fill="1F2937" w:val="clear"/>
            <w:tcMar>
              <w:top w:type="dxa" w:w="100"/>
              <w:left w:type="dxa" w:w="120"/>
              <w:bottom w:type="dxa" w:w="100"/>
              <w:right w:type="dxa" w:w="120"/>
            </w:tcMar>
            <w:vAlign w:val="center"/>
          </w:tcPr>
          <w:p>
            <w:r>
              <w:rPr>
                <w:b/>
                <w:bCs/>
                <w:color w:val="FFFFFF"/>
              </w:rPr>
              <w:t xml:space="preserve">One-liner</w:t>
            </w:r>
          </w:p>
        </w:tc>
      </w:tr>
      <w:tr>
        <w:tc>
          <w:tcPr>
            <w:tcW w:type="dxa" w:w="700"/>
            <w:tcMar>
              <w:top w:type="dxa" w:w="100"/>
              <w:left w:type="dxa" w:w="120"/>
              <w:bottom w:type="dxa" w:w="100"/>
              <w:right w:type="dxa" w:w="120"/>
            </w:tcMar>
            <w:vAlign w:val="center"/>
          </w:tcPr>
          <w:p>
            <w:r>
              <w:t xml:space="preserve">1</w:t>
            </w:r>
          </w:p>
        </w:tc>
        <w:tc>
          <w:tcPr>
            <w:tcW w:type="dxa" w:w="5200"/>
            <w:tcMar>
              <w:top w:type="dxa" w:w="100"/>
              <w:left w:type="dxa" w:w="120"/>
              <w:bottom w:type="dxa" w:w="100"/>
              <w:right w:type="dxa" w:w="120"/>
            </w:tcMar>
            <w:vAlign w:val="center"/>
          </w:tcPr>
          <w:p>
            <w:r>
              <w:t xml:space="preserve">A stranger understands it in ~30 seconds</w:t>
            </w:r>
          </w:p>
        </w:tc>
        <w:tc>
          <w:tcPr>
            <w:tcW w:type="dxa" w:w="1600"/>
            <w:tcMar>
              <w:top w:type="dxa" w:w="100"/>
              <w:left w:type="dxa" w:w="120"/>
              <w:bottom w:type="dxa" w:w="100"/>
              <w:right w:type="dxa" w:w="120"/>
            </w:tcMar>
            <w:vAlign w:val="center"/>
          </w:tcPr>
          <w:p>
            <w:r>
              <w:rPr>
                <w:b/>
                <w:bCs/>
                <w:color w:val="1E8449"/>
              </w:rPr>
              <w:t xml:space="preserve">🟢 LATER / FINE</w:t>
            </w:r>
          </w:p>
        </w:tc>
        <w:tc>
          <w:tcPr>
            <w:tcW w:type="dxa" w:w="1860"/>
            <w:tcMar>
              <w:top w:type="dxa" w:w="100"/>
              <w:left w:type="dxa" w:w="120"/>
              <w:bottom w:type="dxa" w:w="100"/>
              <w:right w:type="dxa" w:w="120"/>
            </w:tcMar>
            <w:vAlign w:val="center"/>
          </w:tcPr>
          <w:p>
            <w:r>
              <w:t xml:space="preserve">Fixed 12 Aug: copy no longer promises a free trial the product doesn't have.</w:t>
            </w:r>
          </w:p>
        </w:tc>
      </w:tr>
      <w:tr>
        <w:tc>
          <w:tcPr>
            <w:tcW w:type="dxa" w:w="700"/>
            <w:tcMar>
              <w:top w:type="dxa" w:w="100"/>
              <w:left w:type="dxa" w:w="120"/>
              <w:bottom w:type="dxa" w:w="100"/>
              <w:right w:type="dxa" w:w="120"/>
            </w:tcMar>
            <w:vAlign w:val="center"/>
          </w:tcPr>
          <w:p>
            <w:r>
              <w:t xml:space="preserve">2</w:t>
            </w:r>
          </w:p>
        </w:tc>
        <w:tc>
          <w:tcPr>
            <w:tcW w:type="dxa" w:w="5200"/>
            <w:tcMar>
              <w:top w:type="dxa" w:w="100"/>
              <w:left w:type="dxa" w:w="120"/>
              <w:bottom w:type="dxa" w:w="100"/>
              <w:right w:type="dxa" w:w="120"/>
            </w:tcMar>
            <w:vAlign w:val="center"/>
          </w:tcPr>
          <w:p>
            <w:r>
              <w:t xml:space="preserve">Someone can actually sign up</w:t>
            </w:r>
          </w:p>
        </w:tc>
        <w:tc>
          <w:tcPr>
            <w:tcW w:type="dxa" w:w="1600"/>
            <w:tcMar>
              <w:top w:type="dxa" w:w="100"/>
              <w:left w:type="dxa" w:w="120"/>
              <w:bottom w:type="dxa" w:w="100"/>
              <w:right w:type="dxa" w:w="120"/>
            </w:tcMar>
            <w:vAlign w:val="center"/>
          </w:tcPr>
          <w:p>
            <w:r>
              <w:rPr>
                <w:b/>
                <w:bCs/>
                <w:color w:val="C0392B"/>
              </w:rPr>
              <w:t xml:space="preserve">🔴 BLOCKER</w:t>
            </w:r>
          </w:p>
        </w:tc>
        <w:tc>
          <w:tcPr>
            <w:tcW w:type="dxa" w:w="1860"/>
            <w:tcMar>
              <w:top w:type="dxa" w:w="100"/>
              <w:left w:type="dxa" w:w="120"/>
              <w:bottom w:type="dxa" w:w="100"/>
              <w:right w:type="dxa" w:w="120"/>
            </w:tcMar>
            <w:vAlign w:val="center"/>
          </w:tcPr>
          <w:p>
            <w:r>
              <w:t xml:space="preserve">Still blocked — Stripe stays unconfigured for now, by request. It now fails politely instead of leaking a stack trace.</w:t>
            </w:r>
          </w:p>
        </w:tc>
      </w:tr>
      <w:tr>
        <w:tc>
          <w:tcPr>
            <w:tcW w:type="dxa" w:w="700"/>
            <w:tcMar>
              <w:top w:type="dxa" w:w="100"/>
              <w:left w:type="dxa" w:w="120"/>
              <w:bottom w:type="dxa" w:w="100"/>
              <w:right w:type="dxa" w:w="120"/>
            </w:tcMar>
            <w:vAlign w:val="center"/>
          </w:tcPr>
          <w:p>
            <w:r>
              <w:t xml:space="preserve">3</w:t>
            </w:r>
          </w:p>
        </w:tc>
        <w:tc>
          <w:tcPr>
            <w:tcW w:type="dxa" w:w="5200"/>
            <w:tcMar>
              <w:top w:type="dxa" w:w="100"/>
              <w:left w:type="dxa" w:w="120"/>
              <w:bottom w:type="dxa" w:w="100"/>
              <w:right w:type="dxa" w:w="120"/>
            </w:tcMar>
            <w:vAlign w:val="center"/>
          </w:tcPr>
          <w:p>
            <w:r>
              <w:t xml:space="preserve">The customer can become operational</w:t>
            </w:r>
          </w:p>
        </w:tc>
        <w:tc>
          <w:tcPr>
            <w:tcW w:type="dxa" w:w="1600"/>
            <w:tcMar>
              <w:top w:type="dxa" w:w="100"/>
              <w:left w:type="dxa" w:w="120"/>
              <w:bottom w:type="dxa" w:w="100"/>
              <w:right w:type="dxa" w:w="120"/>
            </w:tcMar>
            <w:vAlign w:val="center"/>
          </w:tcPr>
          <w:p>
            <w:r>
              <w:rPr>
                <w:b/>
                <w:bCs/>
                <w:color w:val="C0392B"/>
              </w:rPr>
              <w:t xml:space="preserve">🔴 BLOCKER</w:t>
            </w:r>
          </w:p>
        </w:tc>
        <w:tc>
          <w:tcPr>
            <w:tcW w:type="dxa" w:w="1860"/>
            <w:tcMar>
              <w:top w:type="dxa" w:w="100"/>
              <w:left w:type="dxa" w:w="120"/>
              <w:bottom w:type="dxa" w:w="100"/>
              <w:right w:type="dxa" w:w="120"/>
            </w:tcMar>
            <w:vAlign w:val="center"/>
          </w:tcPr>
          <w:p>
            <w:r>
              <w:t xml:space="preserve">Core “courier” features (drivers, dispatch, tracking, POD) still don’t exist in the product — a scope question, not a bug.</w:t>
            </w:r>
          </w:p>
        </w:tc>
      </w:tr>
      <w:tr>
        <w:tc>
          <w:tcPr>
            <w:tcW w:type="dxa" w:w="700"/>
            <w:tcMar>
              <w:top w:type="dxa" w:w="100"/>
              <w:left w:type="dxa" w:w="120"/>
              <w:bottom w:type="dxa" w:w="100"/>
              <w:right w:type="dxa" w:w="120"/>
            </w:tcMar>
            <w:vAlign w:val="center"/>
          </w:tcPr>
          <w:p>
            <w:r>
              <w:t xml:space="preserve">4</w:t>
            </w:r>
          </w:p>
        </w:tc>
        <w:tc>
          <w:tcPr>
            <w:tcW w:type="dxa" w:w="5200"/>
            <w:tcMar>
              <w:top w:type="dxa" w:w="100"/>
              <w:left w:type="dxa" w:w="120"/>
              <w:bottom w:type="dxa" w:w="100"/>
              <w:right w:type="dxa" w:w="120"/>
            </w:tcMar>
            <w:vAlign w:val="center"/>
          </w:tcPr>
          <w:p>
            <w:r>
              <w:t xml:space="preserve">You can onboard them without touching code</w:t>
            </w:r>
          </w:p>
        </w:tc>
        <w:tc>
          <w:tcPr>
            <w:tcW w:type="dxa" w:w="1600"/>
            <w:tcMar>
              <w:top w:type="dxa" w:w="100"/>
              <w:left w:type="dxa" w:w="120"/>
              <w:bottom w:type="dxa" w:w="100"/>
              <w:right w:type="dxa" w:w="120"/>
            </w:tcMar>
            <w:vAlign w:val="center"/>
          </w:tcPr>
          <w:p>
            <w:r>
              <w:rPr>
                <w:b/>
                <w:bCs/>
                <w:color w:val="1E8449"/>
              </w:rPr>
              <w:t xml:space="preserve">🟢 LATER / FINE</w:t>
            </w:r>
          </w:p>
        </w:tc>
        <w:tc>
          <w:tcPr>
            <w:tcW w:type="dxa" w:w="1860"/>
            <w:tcMar>
              <w:top w:type="dxa" w:w="100"/>
              <w:left w:type="dxa" w:w="120"/>
              <w:bottom w:type="dxa" w:w="100"/>
              <w:right w:type="dxa" w:w="120"/>
            </w:tcMar>
            <w:vAlign w:val="center"/>
          </w:tcPr>
          <w:p>
            <w:r>
              <w:t xml:space="preserve">Fixed 12 Aug: platform console can create an active tenant + owner login by hand, verified end-to-end.</w:t>
            </w:r>
          </w:p>
        </w:tc>
      </w:tr>
    </w:tbl>
    <w:p>
      <w:pPr>
        <w:spacing w:after="200"/>
      </w:pPr>
    </w:p>
    <w:p>
      <w:pPr>
        <w:pStyle w:val="Heading1"/>
        <w:spacing w:after="160" w:before="360"/>
      </w:pPr>
      <w:r>
        <w:t xml:space="preserve">Checklist — all 20 areas</w:t>
      </w:r>
    </w:p>
    <w:p>
      <w:pPr>
        <w:spacing w:after="120"/>
      </w:pPr>
      <w:r>
        <w:rPr>
          <w:color w:val="555555"/>
          <w:sz w:val="18"/>
          <w:szCs w:val="18"/>
        </w:rPr>
        <w:t xml:space="preserve">🔴 BLOCKER — customer cannot operate · 🟡 IMPORTANT — fix before serious rollout · 🟢 LATER / fine as-is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500"/>
        <w:gridCol w:w="4400"/>
        <w:gridCol w:w="1660"/>
      </w:tblGrid>
      <w:tr>
        <w:trPr>
          <w:tblHeader/>
        </w:trPr>
        <w:tc>
          <w:tcPr>
            <w:tcW w:type="dxa" w:w="400"/>
            <w:shd w:fill="1F2937" w:val="clear"/>
            <w:tcMar>
              <w:top w:type="dxa" w:w="100"/>
              <w:left w:type="dxa" w:w="120"/>
              <w:bottom w:type="dxa" w:w="100"/>
              <w:right w:type="dxa" w:w="120"/>
            </w:tcMar>
            <w:vAlign w:val="center"/>
          </w:tcPr>
          <w:p>
            <w:r>
              <w:rPr>
                <w:b/>
                <w:bCs/>
                <w:color w:val="FFFFFF"/>
              </w:rPr>
              <w:t xml:space="preserve">#</w:t>
            </w:r>
          </w:p>
        </w:tc>
        <w:tc>
          <w:tcPr>
            <w:tcW w:type="dxa" w:w="1900"/>
            <w:shd w:fill="1F2937" w:val="clear"/>
            <w:tcMar>
              <w:top w:type="dxa" w:w="100"/>
              <w:left w:type="dxa" w:w="120"/>
              <w:bottom w:type="dxa" w:w="100"/>
              <w:right w:type="dxa" w:w="120"/>
            </w:tcMar>
            <w:vAlign w:val="center"/>
          </w:tcPr>
          <w:p>
            <w:r>
              <w:rPr>
                <w:b/>
                <w:bCs/>
                <w:color w:val="FFFFFF"/>
              </w:rPr>
              <w:t xml:space="preserve">Area</w:t>
            </w:r>
          </w:p>
        </w:tc>
        <w:tc>
          <w:tcPr>
            <w:tcW w:type="dxa" w:w="1500"/>
            <w:shd w:fill="1F2937" w:val="clear"/>
            <w:tcMar>
              <w:top w:type="dxa" w:w="100"/>
              <w:left w:type="dxa" w:w="120"/>
              <w:bottom w:type="dxa" w:w="100"/>
              <w:right w:type="dxa" w:w="120"/>
            </w:tcMar>
            <w:vAlign w:val="center"/>
          </w:tcPr>
          <w:p>
            <w:r>
              <w:rPr>
                <w:b/>
                <w:bCs/>
                <w:color w:val="FFFFFF"/>
              </w:rPr>
              <w:t xml:space="preserve">Status</w:t>
            </w:r>
          </w:p>
        </w:tc>
        <w:tc>
          <w:tcPr>
            <w:tcW w:type="dxa" w:w="4400"/>
            <w:shd w:fill="1F2937" w:val="clear"/>
            <w:tcMar>
              <w:top w:type="dxa" w:w="100"/>
              <w:left w:type="dxa" w:w="120"/>
              <w:bottom w:type="dxa" w:w="100"/>
              <w:right w:type="dxa" w:w="120"/>
            </w:tcMar>
            <w:vAlign w:val="center"/>
          </w:tcPr>
          <w:p>
            <w:r>
              <w:rPr>
                <w:b/>
                <w:bCs/>
                <w:color w:val="FFFFFF"/>
              </w:rPr>
              <w:t xml:space="preserve">Finding</w:t>
            </w:r>
          </w:p>
        </w:tc>
        <w:tc>
          <w:tcPr>
            <w:tcW w:type="dxa" w:w="1660"/>
            <w:shd w:fill="1F2937" w:val="clear"/>
            <w:tcMar>
              <w:top w:type="dxa" w:w="100"/>
              <w:left w:type="dxa" w:w="120"/>
              <w:bottom w:type="dxa" w:w="100"/>
              <w:right w:type="dxa" w:w="120"/>
            </w:tcMar>
            <w:vAlign w:val="center"/>
          </w:tcPr>
          <w:p>
            <w:r>
              <w:rPr>
                <w:b/>
                <w:bCs/>
                <w:color w:val="FFFFFF"/>
              </w:rPr>
              <w:t xml:space="preserve">Evidence</w:t>
            </w:r>
          </w:p>
        </w:tc>
      </w:tr>
      <w:tr>
        <w:tc>
          <w:tcPr>
            <w:tcW w:type="dxa" w:w="400"/>
            <w:tcMar>
              <w:top w:type="dxa" w:w="100"/>
              <w:left w:type="dxa" w:w="120"/>
              <w:bottom w:type="dxa" w:w="100"/>
              <w:right w:type="dxa" w:w="120"/>
            </w:tcMar>
            <w:vAlign w:val="center"/>
          </w:tcPr>
          <w:p>
            <w:r>
              <w:t xml:space="preserve">1</w:t>
            </w:r>
          </w:p>
        </w:tc>
        <w:tc>
          <w:tcPr>
            <w:tcW w:type="dxa" w:w="1900"/>
            <w:tcMar>
              <w:top w:type="dxa" w:w="100"/>
              <w:left w:type="dxa" w:w="120"/>
              <w:bottom w:type="dxa" w:w="100"/>
              <w:right w:type="dxa" w:w="120"/>
            </w:tcMar>
            <w:vAlign w:val="center"/>
          </w:tcPr>
          <w:p>
            <w:r>
              <w:rPr>
                <w:b/>
                <w:bCs/>
              </w:rPr>
              <w:t xml:space="preserve">Landing page</w:t>
            </w:r>
          </w:p>
        </w:tc>
        <w:tc>
          <w:tcPr>
            <w:tcW w:type="dxa" w:w="1500"/>
            <w:tcMar>
              <w:top w:type="dxa" w:w="100"/>
              <w:left w:type="dxa" w:w="120"/>
              <w:bottom w:type="dxa" w:w="100"/>
              <w:right w:type="dxa" w:w="120"/>
            </w:tcMar>
            <w:vAlign w:val="center"/>
          </w:tcPr>
          <w:p>
            <w:r>
              <w:rPr>
                <w:b/>
                <w:bCs/>
                <w:color w:val="1E8449"/>
              </w:rPr>
              <w:t xml:space="preserve">🟢 LATER / FINE</w:t>
            </w:r>
          </w:p>
        </w:tc>
        <w:tc>
          <w:tcPr>
            <w:tcW w:type="dxa" w:w="4400"/>
            <w:tcMar>
              <w:top w:type="dxa" w:w="100"/>
              <w:left w:type="dxa" w:w="120"/>
              <w:bottom w:type="dxa" w:w="100"/>
              <w:right w:type="dxa" w:w="120"/>
            </w:tcMar>
            <w:vAlign w:val="center"/>
          </w:tcPr>
          <w:p>
            <w:r>
              <w:t xml:space="preserve">Value prop, audience, problem, and CTA are all clear within ~30 seconds. Fixed 12 Aug: the hero, final CTA, and pricing card previously promised “Start Free Trial” / “No card required to explore,” which the actual signup flow (payment required immediately, no free-look mode) contradicted. Copy across Home, Product and Pricing now says what actually happens.</w:t>
            </w:r>
          </w:p>
        </w:tc>
        <w:tc>
          <w:tcPr>
            <w:tcW w:type="dxa" w:w="1660"/>
            <w:tcMar>
              <w:top w:type="dxa" w:w="100"/>
              <w:left w:type="dxa" w:w="120"/>
              <w:bottom w:type="dxa" w:w="100"/>
              <w:right w:type="dxa" w:w="120"/>
            </w:tcMar>
            <w:vAlign w:val="center"/>
          </w:tcPr>
          <w:p>
            <w:r>
              <w:rPr>
                <w:i/>
                <w:iCs/>
                <w:color w:val="555555"/>
                <w:sz w:val="18"/>
                <w:szCs w:val="18"/>
              </w:rPr>
              <w:t xml:space="preserve">marketing/HeroSection.vue, FinalCta.vue, PricingSection.vue</w:t>
            </w:r>
          </w:p>
        </w:tc>
      </w:tr>
      <w:tr>
        <w:tc>
          <w:tcPr>
            <w:tcW w:type="dxa" w:w="400"/>
            <w:shd w:fill="F3F4F6" w:val="clear"/>
            <w:tcMar>
              <w:top w:type="dxa" w:w="100"/>
              <w:left w:type="dxa" w:w="120"/>
              <w:bottom w:type="dxa" w:w="100"/>
              <w:right w:type="dxa" w:w="120"/>
            </w:tcMar>
            <w:vAlign w:val="center"/>
          </w:tcPr>
          <w:p>
            <w:r>
              <w:t xml:space="preserve">2</w:t>
            </w:r>
          </w:p>
        </w:tc>
        <w:tc>
          <w:tcPr>
            <w:tcW w:type="dxa" w:w="1900"/>
            <w:shd w:fill="F3F4F6" w:val="clear"/>
            <w:tcMar>
              <w:top w:type="dxa" w:w="100"/>
              <w:left w:type="dxa" w:w="120"/>
              <w:bottom w:type="dxa" w:w="100"/>
              <w:right w:type="dxa" w:w="120"/>
            </w:tcMar>
            <w:vAlign w:val="center"/>
          </w:tcPr>
          <w:p>
            <w:r>
              <w:rPr>
                <w:b/>
                <w:bCs/>
              </w:rPr>
              <w:t xml:space="preserve">Pricing</w:t>
            </w:r>
          </w:p>
        </w:tc>
        <w:tc>
          <w:tcPr>
            <w:tcW w:type="dxa" w:w="1500"/>
            <w:shd w:fill="F3F4F6" w:val="clear"/>
            <w:tcMar>
              <w:top w:type="dxa" w:w="100"/>
              <w:left w:type="dxa" w:w="120"/>
              <w:bottom w:type="dxa" w:w="100"/>
              <w:right w:type="dxa" w:w="120"/>
            </w:tcMar>
            <w:vAlign w:val="center"/>
          </w:tcPr>
          <w:p>
            <w:r>
              <w:rPr>
                <w:b/>
                <w:bCs/>
                <w:color w:val="1E8449"/>
              </w:rPr>
              <w:t xml:space="preserve">🟢 LATER / FINE</w:t>
            </w:r>
          </w:p>
        </w:tc>
        <w:tc>
          <w:tcPr>
            <w:tcW w:type="dxa" w:w="4400"/>
            <w:shd w:fill="F3F4F6" w:val="clear"/>
            <w:tcMar>
              <w:top w:type="dxa" w:w="100"/>
              <w:left w:type="dxa" w:w="120"/>
              <w:bottom w:type="dxa" w:w="100"/>
              <w:right w:type="dxa" w:w="120"/>
            </w:tcMar>
            <w:vAlign w:val="center"/>
          </w:tcPr>
          <w:p>
            <w:r>
              <w:t xml:space="preserve">$79/mo + $349 one-time setup fee is stated plainly on the landing page and a dedicated pricing page. No hidden-cost surprise.</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central/Pricing.vue</w:t>
            </w:r>
          </w:p>
        </w:tc>
      </w:tr>
      <w:tr>
        <w:tc>
          <w:tcPr>
            <w:tcW w:type="dxa" w:w="400"/>
            <w:tcMar>
              <w:top w:type="dxa" w:w="100"/>
              <w:left w:type="dxa" w:w="120"/>
              <w:bottom w:type="dxa" w:w="100"/>
              <w:right w:type="dxa" w:w="120"/>
            </w:tcMar>
            <w:vAlign w:val="center"/>
          </w:tcPr>
          <w:p>
            <w:r>
              <w:t xml:space="preserve">3</w:t>
            </w:r>
          </w:p>
        </w:tc>
        <w:tc>
          <w:tcPr>
            <w:tcW w:type="dxa" w:w="1900"/>
            <w:tcMar>
              <w:top w:type="dxa" w:w="100"/>
              <w:left w:type="dxa" w:w="120"/>
              <w:bottom w:type="dxa" w:w="100"/>
              <w:right w:type="dxa" w:w="120"/>
            </w:tcMar>
            <w:vAlign w:val="center"/>
          </w:tcPr>
          <w:p>
            <w:r>
              <w:rPr>
                <w:b/>
                <w:bCs/>
              </w:rPr>
              <w:t xml:space="preserve">Registration / signup</w:t>
            </w:r>
          </w:p>
        </w:tc>
        <w:tc>
          <w:tcPr>
            <w:tcW w:type="dxa" w:w="1500"/>
            <w:tcMar>
              <w:top w:type="dxa" w:w="100"/>
              <w:left w:type="dxa" w:w="120"/>
              <w:bottom w:type="dxa" w:w="100"/>
              <w:right w:type="dxa" w:w="120"/>
            </w:tcMar>
            <w:vAlign w:val="center"/>
          </w:tcPr>
          <w:p>
            <w:r>
              <w:rPr>
                <w:b/>
                <w:bCs/>
                <w:color w:val="C0392B"/>
              </w:rPr>
              <w:t xml:space="preserve">🔴 BLOCKER</w:t>
            </w:r>
          </w:p>
        </w:tc>
        <w:tc>
          <w:tcPr>
            <w:tcW w:type="dxa" w:w="4400"/>
            <w:tcMar>
              <w:top w:type="dxa" w:w="100"/>
              <w:left w:type="dxa" w:w="120"/>
              <w:bottom w:type="dxa" w:w="100"/>
              <w:right w:type="dxa" w:w="120"/>
            </w:tcMar>
            <w:vAlign w:val="center"/>
          </w:tcPr>
          <w:p>
            <w:r>
              <w:t xml:space="preserve">Signup form itself is well-scoped (business name, subdomain, currency, owner details) — nothing a new owner wouldn't have on hand. Submitting it still redirects to Stripe checkout, which still fails — Stripe configuration was deliberately left for later. Fixed 12 Aug: that failure now shows a branded “we couldn't start checkout” page with a support email instead of a raw Laravel debug page (stack trace, file paths, versions). No tenant account is created either way — public signup remains a dead end until Stripe is configured. Use the platform console (#18) to onboard someone in the meantime.</w:t>
            </w:r>
          </w:p>
        </w:tc>
        <w:tc>
          <w:tcPr>
            <w:tcW w:type="dxa" w:w="1660"/>
            <w:tcMar>
              <w:top w:type="dxa" w:w="100"/>
              <w:left w:type="dxa" w:w="120"/>
              <w:bottom w:type="dxa" w:w="100"/>
              <w:right w:type="dxa" w:w="120"/>
            </w:tcMar>
            <w:vAlign w:val="center"/>
          </w:tcPr>
          <w:p>
            <w:r>
              <w:rPr>
                <w:i/>
                <w:iCs/>
                <w:color w:val="555555"/>
                <w:sz w:val="18"/>
                <w:szCs w:val="18"/>
              </w:rPr>
              <w:t xml:space="preserve">BillingController.php; live test</w:t>
            </w:r>
          </w:p>
        </w:tc>
      </w:tr>
      <w:tr>
        <w:tc>
          <w:tcPr>
            <w:tcW w:type="dxa" w:w="400"/>
            <w:shd w:fill="F3F4F6" w:val="clear"/>
            <w:tcMar>
              <w:top w:type="dxa" w:w="100"/>
              <w:left w:type="dxa" w:w="120"/>
              <w:bottom w:type="dxa" w:w="100"/>
              <w:right w:type="dxa" w:w="120"/>
            </w:tcMar>
            <w:vAlign w:val="center"/>
          </w:tcPr>
          <w:p>
            <w:r>
              <w:t xml:space="preserve">4</w:t>
            </w:r>
          </w:p>
        </w:tc>
        <w:tc>
          <w:tcPr>
            <w:tcW w:type="dxa" w:w="1900"/>
            <w:shd w:fill="F3F4F6" w:val="clear"/>
            <w:tcMar>
              <w:top w:type="dxa" w:w="100"/>
              <w:left w:type="dxa" w:w="120"/>
              <w:bottom w:type="dxa" w:w="100"/>
              <w:right w:type="dxa" w:w="120"/>
            </w:tcMar>
            <w:vAlign w:val="center"/>
          </w:tcPr>
          <w:p>
            <w:r>
              <w:rPr>
                <w:b/>
                <w:bCs/>
              </w:rPr>
              <w:t xml:space="preserve">Onboarding</w:t>
            </w:r>
          </w:p>
        </w:tc>
        <w:tc>
          <w:tcPr>
            <w:tcW w:type="dxa" w:w="1500"/>
            <w:shd w:fill="F3F4F6" w:val="clear"/>
            <w:tcMar>
              <w:top w:type="dxa" w:w="100"/>
              <w:left w:type="dxa" w:w="120"/>
              <w:bottom w:type="dxa" w:w="100"/>
              <w:right w:type="dxa" w:w="120"/>
            </w:tcMar>
            <w:vAlign w:val="center"/>
          </w:tcPr>
          <w:p>
            <w:r>
              <w:rPr>
                <w:b/>
                <w:bCs/>
                <w:color w:val="B7950B"/>
              </w:rPr>
              <w:t xml:space="preserve">🟡 IMPORTANT</w:t>
            </w:r>
          </w:p>
        </w:tc>
        <w:tc>
          <w:tcPr>
            <w:tcW w:type="dxa" w:w="4400"/>
            <w:shd w:fill="F3F4F6" w:val="clear"/>
            <w:tcMar>
              <w:top w:type="dxa" w:w="100"/>
              <w:left w:type="dxa" w:w="120"/>
              <w:bottom w:type="dxa" w:w="100"/>
              <w:right w:type="dxa" w:w="120"/>
            </w:tcMar>
            <w:vAlign w:val="center"/>
          </w:tcPr>
          <w:p>
            <w:r>
              <w:t xml:space="preserve">Not reachable today (blocked by #3). By code inspection: there is no setup wizard or “first steps” checklist — a tenant who did get in would land straight on an empty dashboard of stat tiles and have to know what to do next unaided.</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Admin/DashboardController.php</w:t>
            </w:r>
          </w:p>
        </w:tc>
      </w:tr>
      <w:tr>
        <w:tc>
          <w:tcPr>
            <w:tcW w:type="dxa" w:w="400"/>
            <w:tcMar>
              <w:top w:type="dxa" w:w="100"/>
              <w:left w:type="dxa" w:w="120"/>
              <w:bottom w:type="dxa" w:w="100"/>
              <w:right w:type="dxa" w:w="120"/>
            </w:tcMar>
            <w:vAlign w:val="center"/>
          </w:tcPr>
          <w:p>
            <w:r>
              <w:t xml:space="preserve">5</w:t>
            </w:r>
          </w:p>
        </w:tc>
        <w:tc>
          <w:tcPr>
            <w:tcW w:type="dxa" w:w="1900"/>
            <w:tcMar>
              <w:top w:type="dxa" w:w="100"/>
              <w:left w:type="dxa" w:w="120"/>
              <w:bottom w:type="dxa" w:w="100"/>
              <w:right w:type="dxa" w:w="120"/>
            </w:tcMar>
            <w:vAlign w:val="center"/>
          </w:tcPr>
          <w:p>
            <w:r>
              <w:rPr>
                <w:b/>
                <w:bCs/>
              </w:rPr>
              <w:t xml:space="preserve">Business configuration</w:t>
            </w:r>
          </w:p>
        </w:tc>
        <w:tc>
          <w:tcPr>
            <w:tcW w:type="dxa" w:w="1500"/>
            <w:tcMar>
              <w:top w:type="dxa" w:w="100"/>
              <w:left w:type="dxa" w:w="120"/>
              <w:bottom w:type="dxa" w:w="100"/>
              <w:right w:type="dxa" w:w="120"/>
            </w:tcMar>
            <w:vAlign w:val="center"/>
          </w:tcPr>
          <w:p>
            <w:r>
              <w:rPr>
                <w:b/>
                <w:bCs/>
                <w:color w:val="B7950B"/>
              </w:rPr>
              <w:t xml:space="preserve">🟡 IMPORTANT</w:t>
            </w:r>
          </w:p>
        </w:tc>
        <w:tc>
          <w:tcPr>
            <w:tcW w:type="dxa" w:w="4400"/>
            <w:tcMar>
              <w:top w:type="dxa" w:w="100"/>
              <w:left w:type="dxa" w:w="120"/>
              <w:bottom w:type="dxa" w:w="100"/>
              <w:right w:type="dxa" w:w="120"/>
            </w:tcMar>
            <w:vAlign w:val="center"/>
          </w:tcPr>
          <w:p>
            <w:r>
              <w:t xml:space="preserve">Company profile, logo, and brand colors work end-to-end in the UI. Delivery pricing (flat/weight-tier rates) is fully editable. “Service area” as a geographic coverage concept doesn't exist — the closest analog is a single warehouse intake address. Payment settings (how CourierOS charges the tenant) are .env-only, not tenant-configurable.</w:t>
            </w:r>
          </w:p>
        </w:tc>
        <w:tc>
          <w:tcPr>
            <w:tcW w:type="dxa" w:w="1660"/>
            <w:tcMar>
              <w:top w:type="dxa" w:w="100"/>
              <w:left w:type="dxa" w:w="120"/>
              <w:bottom w:type="dxa" w:w="100"/>
              <w:right w:type="dxa" w:w="120"/>
            </w:tcMar>
            <w:vAlign w:val="center"/>
          </w:tcPr>
          <w:p>
            <w:r>
              <w:rPr>
                <w:i/>
                <w:iCs/>
                <w:color w:val="555555"/>
                <w:sz w:val="18"/>
                <w:szCs w:val="18"/>
              </w:rPr>
              <w:t xml:space="preserve">Settings/BrandingController.php; Admin/ShippingRateController.php</w:t>
            </w:r>
          </w:p>
        </w:tc>
      </w:tr>
      <w:tr>
        <w:tc>
          <w:tcPr>
            <w:tcW w:type="dxa" w:w="400"/>
            <w:shd w:fill="F3F4F6" w:val="clear"/>
            <w:tcMar>
              <w:top w:type="dxa" w:w="100"/>
              <w:left w:type="dxa" w:w="120"/>
              <w:bottom w:type="dxa" w:w="100"/>
              <w:right w:type="dxa" w:w="120"/>
            </w:tcMar>
            <w:vAlign w:val="center"/>
          </w:tcPr>
          <w:p>
            <w:r>
              <w:t xml:space="preserve">6</w:t>
            </w:r>
          </w:p>
        </w:tc>
        <w:tc>
          <w:tcPr>
            <w:tcW w:type="dxa" w:w="1900"/>
            <w:shd w:fill="F3F4F6" w:val="clear"/>
            <w:tcMar>
              <w:top w:type="dxa" w:w="100"/>
              <w:left w:type="dxa" w:w="120"/>
              <w:bottom w:type="dxa" w:w="100"/>
              <w:right w:type="dxa" w:w="120"/>
            </w:tcMar>
            <w:vAlign w:val="center"/>
          </w:tcPr>
          <w:p>
            <w:r>
              <w:rPr>
                <w:b/>
                <w:bCs/>
              </w:rPr>
              <w:t xml:space="preserve">Customer management</w:t>
            </w:r>
          </w:p>
        </w:tc>
        <w:tc>
          <w:tcPr>
            <w:tcW w:type="dxa" w:w="1500"/>
            <w:shd w:fill="F3F4F6" w:val="clear"/>
            <w:tcMar>
              <w:top w:type="dxa" w:w="100"/>
              <w:left w:type="dxa" w:w="120"/>
              <w:bottom w:type="dxa" w:w="100"/>
              <w:right w:type="dxa" w:w="120"/>
            </w:tcMar>
            <w:vAlign w:val="center"/>
          </w:tcPr>
          <w:p>
            <w:r>
              <w:rPr>
                <w:b/>
                <w:bCs/>
                <w:color w:val="1E8449"/>
              </w:rPr>
              <w:t xml:space="preserve">🟢 LATER / FINE</w:t>
            </w:r>
          </w:p>
        </w:tc>
        <w:tc>
          <w:tcPr>
            <w:tcW w:type="dxa" w:w="4400"/>
            <w:shd w:fill="F3F4F6" w:val="clear"/>
            <w:tcMar>
              <w:top w:type="dxa" w:w="100"/>
              <w:left w:type="dxa" w:w="120"/>
              <w:bottom w:type="dxa" w:w="100"/>
              <w:right w:type="dxa" w:w="120"/>
            </w:tcMar>
            <w:vAlign w:val="center"/>
          </w:tcPr>
          <w:p>
            <w:r>
              <w:t xml:space="preserve">Full CRUD in the UI, reachable from the dashboard, sends a welcome notification on creation. This part works.</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Admin/CustomerController.php</w:t>
            </w:r>
          </w:p>
        </w:tc>
      </w:tr>
      <w:tr>
        <w:tc>
          <w:tcPr>
            <w:tcW w:type="dxa" w:w="400"/>
            <w:tcMar>
              <w:top w:type="dxa" w:w="100"/>
              <w:left w:type="dxa" w:w="120"/>
              <w:bottom w:type="dxa" w:w="100"/>
              <w:right w:type="dxa" w:w="120"/>
            </w:tcMar>
            <w:vAlign w:val="center"/>
          </w:tcPr>
          <w:p>
            <w:r>
              <w:t xml:space="preserve">7</w:t>
            </w:r>
          </w:p>
        </w:tc>
        <w:tc>
          <w:tcPr>
            <w:tcW w:type="dxa" w:w="1900"/>
            <w:tcMar>
              <w:top w:type="dxa" w:w="100"/>
              <w:left w:type="dxa" w:w="120"/>
              <w:bottom w:type="dxa" w:w="100"/>
              <w:right w:type="dxa" w:w="120"/>
            </w:tcMar>
            <w:vAlign w:val="center"/>
          </w:tcPr>
          <w:p>
            <w:r>
              <w:rPr>
                <w:b/>
                <w:bCs/>
              </w:rPr>
              <w:t xml:space="preserve">Driver / rider management</w:t>
            </w:r>
          </w:p>
        </w:tc>
        <w:tc>
          <w:tcPr>
            <w:tcW w:type="dxa" w:w="1500"/>
            <w:tcMar>
              <w:top w:type="dxa" w:w="100"/>
              <w:left w:type="dxa" w:w="120"/>
              <w:bottom w:type="dxa" w:w="100"/>
              <w:right w:type="dxa" w:w="120"/>
            </w:tcMar>
            <w:vAlign w:val="center"/>
          </w:tcPr>
          <w:p>
            <w:r>
              <w:rPr>
                <w:b/>
                <w:bCs/>
                <w:color w:val="C0392B"/>
              </w:rPr>
              <w:t xml:space="preserve">🔴 BLOCKER</w:t>
            </w:r>
          </w:p>
        </w:tc>
        <w:tc>
          <w:tcPr>
            <w:tcW w:type="dxa" w:w="4400"/>
            <w:tcMar>
              <w:top w:type="dxa" w:w="100"/>
              <w:left w:type="dxa" w:w="120"/>
              <w:bottom w:type="dxa" w:w="100"/>
              <w:right w:type="dxa" w:w="120"/>
            </w:tcMar>
            <w:vAlign w:val="center"/>
          </w:tcPr>
          <w:p>
            <w:r>
              <w:t xml:space="preserve">Does not exist. No Driver or Rider model, controller, or UI anywhere in the codebase — not unfinished, simply not built.</w:t>
            </w:r>
          </w:p>
        </w:tc>
        <w:tc>
          <w:tcPr>
            <w:tcW w:type="dxa" w:w="1660"/>
            <w:tcMar>
              <w:top w:type="dxa" w:w="100"/>
              <w:left w:type="dxa" w:w="120"/>
              <w:bottom w:type="dxa" w:w="100"/>
              <w:right w:type="dxa" w:w="120"/>
            </w:tcMar>
            <w:vAlign w:val="center"/>
          </w:tcPr>
          <w:p>
            <w:r>
              <w:rPr>
                <w:i/>
                <w:iCs/>
                <w:color w:val="555555"/>
                <w:sz w:val="18"/>
                <w:szCs w:val="18"/>
              </w:rPr>
              <w:t xml:space="preserve">codebase-wide search</w:t>
            </w:r>
          </w:p>
        </w:tc>
      </w:tr>
      <w:tr>
        <w:tc>
          <w:tcPr>
            <w:tcW w:type="dxa" w:w="400"/>
            <w:shd w:fill="F3F4F6" w:val="clear"/>
            <w:tcMar>
              <w:top w:type="dxa" w:w="100"/>
              <w:left w:type="dxa" w:w="120"/>
              <w:bottom w:type="dxa" w:w="100"/>
              <w:right w:type="dxa" w:w="120"/>
            </w:tcMar>
            <w:vAlign w:val="center"/>
          </w:tcPr>
          <w:p>
            <w:r>
              <w:t xml:space="preserve">8</w:t>
            </w:r>
          </w:p>
        </w:tc>
        <w:tc>
          <w:tcPr>
            <w:tcW w:type="dxa" w:w="1900"/>
            <w:shd w:fill="F3F4F6" w:val="clear"/>
            <w:tcMar>
              <w:top w:type="dxa" w:w="100"/>
              <w:left w:type="dxa" w:w="120"/>
              <w:bottom w:type="dxa" w:w="100"/>
              <w:right w:type="dxa" w:w="120"/>
            </w:tcMar>
            <w:vAlign w:val="center"/>
          </w:tcPr>
          <w:p>
            <w:r>
              <w:rPr>
                <w:b/>
                <w:bCs/>
              </w:rPr>
              <w:t xml:space="preserve">Delivery / job workflow</w:t>
            </w:r>
          </w:p>
        </w:tc>
        <w:tc>
          <w:tcPr>
            <w:tcW w:type="dxa" w:w="1500"/>
            <w:shd w:fill="F3F4F6" w:val="clear"/>
            <w:tcMar>
              <w:top w:type="dxa" w:w="100"/>
              <w:left w:type="dxa" w:w="120"/>
              <w:bottom w:type="dxa" w:w="100"/>
              <w:right w:type="dxa" w:w="120"/>
            </w:tcMar>
            <w:vAlign w:val="center"/>
          </w:tcPr>
          <w:p>
            <w:r>
              <w:rPr>
                <w:b/>
                <w:bCs/>
                <w:color w:val="C0392B"/>
              </w:rPr>
              <w:t xml:space="preserve">🔴 BLOCKER</w:t>
            </w:r>
          </w:p>
        </w:tc>
        <w:tc>
          <w:tcPr>
            <w:tcW w:type="dxa" w:w="4400"/>
            <w:shd w:fill="F3F4F6" w:val="clear"/>
            <w:tcMar>
              <w:top w:type="dxa" w:w="100"/>
              <w:left w:type="dxa" w:w="120"/>
              <w:bottom w:type="dxa" w:w="100"/>
              <w:right w:type="dxa" w:w="120"/>
            </w:tcMar>
            <w:vAlign w:val="center"/>
          </w:tcPr>
          <w:p>
            <w:r>
              <w:t xml:space="preserve">There is no dispatch-style “delivery job.” The product's actual unit of work is a Package moving through a forwarding lifecycle (received → shipped → arrived → ready for pickup). No driver assignment or route step exists anywhere in that lifecycle.</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Admin/PackageController.php</w:t>
            </w:r>
          </w:p>
        </w:tc>
      </w:tr>
      <w:tr>
        <w:tc>
          <w:tcPr>
            <w:tcW w:type="dxa" w:w="400"/>
            <w:tcMar>
              <w:top w:type="dxa" w:w="100"/>
              <w:left w:type="dxa" w:w="120"/>
              <w:bottom w:type="dxa" w:w="100"/>
              <w:right w:type="dxa" w:w="120"/>
            </w:tcMar>
            <w:vAlign w:val="center"/>
          </w:tcPr>
          <w:p>
            <w:r>
              <w:t xml:space="preserve">9</w:t>
            </w:r>
          </w:p>
        </w:tc>
        <w:tc>
          <w:tcPr>
            <w:tcW w:type="dxa" w:w="1900"/>
            <w:tcMar>
              <w:top w:type="dxa" w:w="100"/>
              <w:left w:type="dxa" w:w="120"/>
              <w:bottom w:type="dxa" w:w="100"/>
              <w:right w:type="dxa" w:w="120"/>
            </w:tcMar>
            <w:vAlign w:val="center"/>
          </w:tcPr>
          <w:p>
            <w:r>
              <w:rPr>
                <w:b/>
                <w:bCs/>
              </w:rPr>
              <w:t xml:space="preserve">Payments</w:t>
            </w:r>
          </w:p>
        </w:tc>
        <w:tc>
          <w:tcPr>
            <w:tcW w:type="dxa" w:w="1500"/>
            <w:tcMar>
              <w:top w:type="dxa" w:w="100"/>
              <w:left w:type="dxa" w:w="120"/>
              <w:bottom w:type="dxa" w:w="100"/>
              <w:right w:type="dxa" w:w="120"/>
            </w:tcMar>
            <w:vAlign w:val="center"/>
          </w:tcPr>
          <w:p>
            <w:r>
              <w:rPr>
                <w:b/>
                <w:bCs/>
                <w:color w:val="C0392B"/>
              </w:rPr>
              <w:t xml:space="preserve">🔴 BLOCKER</w:t>
            </w:r>
          </w:p>
        </w:tc>
        <w:tc>
          <w:tcPr>
            <w:tcW w:type="dxa" w:w="4400"/>
            <w:tcMar>
              <w:top w:type="dxa" w:w="100"/>
              <w:left w:type="dxa" w:w="120"/>
              <w:bottom w:type="dxa" w:w="100"/>
              <w:right w:type="dxa" w:w="120"/>
            </w:tcMar>
            <w:vAlign w:val="center"/>
          </w:tcPr>
          <w:p>
            <w:r>
              <w:t xml:space="preserve">Stripe price IDs and API key are unset. This is both why signup dead-ends (#3) and why tenants have no billing self-service after signup — same root cause, two symptoms.</w:t>
            </w:r>
          </w:p>
        </w:tc>
        <w:tc>
          <w:tcPr>
            <w:tcW w:type="dxa" w:w="1660"/>
            <w:tcMar>
              <w:top w:type="dxa" w:w="100"/>
              <w:left w:type="dxa" w:w="120"/>
              <w:bottom w:type="dxa" w:w="100"/>
              <w:right w:type="dxa" w:w="120"/>
            </w:tcMar>
            <w:vAlign w:val="center"/>
          </w:tcPr>
          <w:p>
            <w:r>
              <w:rPr>
                <w:i/>
                <w:iCs/>
                <w:color w:val="555555"/>
                <w:sz w:val="18"/>
                <w:szCs w:val="18"/>
              </w:rPr>
              <w:t xml:space="preserve">.env; BillingController.php</w:t>
            </w:r>
          </w:p>
        </w:tc>
      </w:tr>
      <w:tr>
        <w:tc>
          <w:tcPr>
            <w:tcW w:type="dxa" w:w="400"/>
            <w:shd w:fill="F3F4F6" w:val="clear"/>
            <w:tcMar>
              <w:top w:type="dxa" w:w="100"/>
              <w:left w:type="dxa" w:w="120"/>
              <w:bottom w:type="dxa" w:w="100"/>
              <w:right w:type="dxa" w:w="120"/>
            </w:tcMar>
            <w:vAlign w:val="center"/>
          </w:tcPr>
          <w:p>
            <w:r>
              <w:t xml:space="preserve">10</w:t>
            </w:r>
          </w:p>
        </w:tc>
        <w:tc>
          <w:tcPr>
            <w:tcW w:type="dxa" w:w="1900"/>
            <w:shd w:fill="F3F4F6" w:val="clear"/>
            <w:tcMar>
              <w:top w:type="dxa" w:w="100"/>
              <w:left w:type="dxa" w:w="120"/>
              <w:bottom w:type="dxa" w:w="100"/>
              <w:right w:type="dxa" w:w="120"/>
            </w:tcMar>
            <w:vAlign w:val="center"/>
          </w:tcPr>
          <w:p>
            <w:r>
              <w:rPr>
                <w:b/>
                <w:bCs/>
              </w:rPr>
              <w:t xml:space="preserve">Notifications</w:t>
            </w:r>
          </w:p>
        </w:tc>
        <w:tc>
          <w:tcPr>
            <w:tcW w:type="dxa" w:w="1500"/>
            <w:shd w:fill="F3F4F6" w:val="clear"/>
            <w:tcMar>
              <w:top w:type="dxa" w:w="100"/>
              <w:left w:type="dxa" w:w="120"/>
              <w:bottom w:type="dxa" w:w="100"/>
              <w:right w:type="dxa" w:w="120"/>
            </w:tcMar>
            <w:vAlign w:val="center"/>
          </w:tcPr>
          <w:p>
            <w:r>
              <w:rPr>
                <w:b/>
                <w:bCs/>
                <w:color w:val="B7950B"/>
              </w:rPr>
              <w:t xml:space="preserve">🟡 IMPORTANT</w:t>
            </w:r>
          </w:p>
        </w:tc>
        <w:tc>
          <w:tcPr>
            <w:tcW w:type="dxa" w:w="4400"/>
            <w:shd w:fill="F3F4F6" w:val="clear"/>
            <w:tcMar>
              <w:top w:type="dxa" w:w="100"/>
              <w:left w:type="dxa" w:w="120"/>
              <w:bottom w:type="dxa" w:w="100"/>
              <w:right w:type="dxa" w:w="120"/>
            </w:tcMar>
            <w:vAlign w:val="center"/>
          </w:tcPr>
          <w:p>
            <w:r>
              <w:t xml:space="preserve">Package/pre-alert status-change notifications fire via mail (always) and WhatsApp (if configured), but run synchronously on the request — no queue — so a slow mail/WhatsApp API call blocks the admin's UI. No admin-facing settings page to control what triggers a notification.</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app/Notifications/*.php</w:t>
            </w:r>
          </w:p>
        </w:tc>
      </w:tr>
      <w:tr>
        <w:tc>
          <w:tcPr>
            <w:tcW w:type="dxa" w:w="400"/>
            <w:tcMar>
              <w:top w:type="dxa" w:w="100"/>
              <w:left w:type="dxa" w:w="120"/>
              <w:bottom w:type="dxa" w:w="100"/>
              <w:right w:type="dxa" w:w="120"/>
            </w:tcMar>
            <w:vAlign w:val="center"/>
          </w:tcPr>
          <w:p>
            <w:r>
              <w:t xml:space="preserve">11</w:t>
            </w:r>
          </w:p>
        </w:tc>
        <w:tc>
          <w:tcPr>
            <w:tcW w:type="dxa" w:w="1900"/>
            <w:tcMar>
              <w:top w:type="dxa" w:w="100"/>
              <w:left w:type="dxa" w:w="120"/>
              <w:bottom w:type="dxa" w:w="100"/>
              <w:right w:type="dxa" w:w="120"/>
            </w:tcMar>
            <w:vAlign w:val="center"/>
          </w:tcPr>
          <w:p>
            <w:r>
              <w:rPr>
                <w:b/>
                <w:bCs/>
              </w:rPr>
              <w:t xml:space="preserve">Tracking</w:t>
            </w:r>
          </w:p>
        </w:tc>
        <w:tc>
          <w:tcPr>
            <w:tcW w:type="dxa" w:w="1500"/>
            <w:tcMar>
              <w:top w:type="dxa" w:w="100"/>
              <w:left w:type="dxa" w:w="120"/>
              <w:bottom w:type="dxa" w:w="100"/>
              <w:right w:type="dxa" w:w="120"/>
            </w:tcMar>
            <w:vAlign w:val="center"/>
          </w:tcPr>
          <w:p>
            <w:r>
              <w:rPr>
                <w:b/>
                <w:bCs/>
                <w:color w:val="C0392B"/>
              </w:rPr>
              <w:t xml:space="preserve">🔴 BLOCKER</w:t>
            </w:r>
          </w:p>
        </w:tc>
        <w:tc>
          <w:tcPr>
            <w:tcW w:type="dxa" w:w="4400"/>
            <w:tcMar>
              <w:top w:type="dxa" w:w="100"/>
              <w:left w:type="dxa" w:w="120"/>
              <w:bottom w:type="dxa" w:w="100"/>
              <w:right w:type="dxa" w:w="120"/>
            </w:tcMar>
            <w:vAlign w:val="center"/>
          </w:tcPr>
          <w:p>
            <w:r>
              <w:t xml:space="preserve">No public, unauthenticated tracking link exists. A tenant's own customer must log into the portal to see package status — there's no “track your delivery” link to hand someone.</w:t>
            </w:r>
          </w:p>
        </w:tc>
        <w:tc>
          <w:tcPr>
            <w:tcW w:type="dxa" w:w="1660"/>
            <w:tcMar>
              <w:top w:type="dxa" w:w="100"/>
              <w:left w:type="dxa" w:w="120"/>
              <w:bottom w:type="dxa" w:w="100"/>
              <w:right w:type="dxa" w:w="120"/>
            </w:tcMar>
            <w:vAlign w:val="center"/>
          </w:tcPr>
          <w:p>
            <w:r>
              <w:rPr>
                <w:i/>
                <w:iCs/>
                <w:color w:val="555555"/>
                <w:sz w:val="18"/>
                <w:szCs w:val="18"/>
              </w:rPr>
              <w:t xml:space="preserve">routes/web.php (portal routes behind auth)</w:t>
            </w:r>
          </w:p>
        </w:tc>
      </w:tr>
      <w:tr>
        <w:tc>
          <w:tcPr>
            <w:tcW w:type="dxa" w:w="400"/>
            <w:shd w:fill="F3F4F6" w:val="clear"/>
            <w:tcMar>
              <w:top w:type="dxa" w:w="100"/>
              <w:left w:type="dxa" w:w="120"/>
              <w:bottom w:type="dxa" w:w="100"/>
              <w:right w:type="dxa" w:w="120"/>
            </w:tcMar>
            <w:vAlign w:val="center"/>
          </w:tcPr>
          <w:p>
            <w:r>
              <w:t xml:space="preserve">12</w:t>
            </w:r>
          </w:p>
        </w:tc>
        <w:tc>
          <w:tcPr>
            <w:tcW w:type="dxa" w:w="1900"/>
            <w:shd w:fill="F3F4F6" w:val="clear"/>
            <w:tcMar>
              <w:top w:type="dxa" w:w="100"/>
              <w:left w:type="dxa" w:w="120"/>
              <w:bottom w:type="dxa" w:w="100"/>
              <w:right w:type="dxa" w:w="120"/>
            </w:tcMar>
            <w:vAlign w:val="center"/>
          </w:tcPr>
          <w:p>
            <w:r>
              <w:rPr>
                <w:b/>
                <w:bCs/>
              </w:rPr>
              <w:t xml:space="preserve">Proof of delivery</w:t>
            </w:r>
          </w:p>
        </w:tc>
        <w:tc>
          <w:tcPr>
            <w:tcW w:type="dxa" w:w="1500"/>
            <w:shd w:fill="F3F4F6" w:val="clear"/>
            <w:tcMar>
              <w:top w:type="dxa" w:w="100"/>
              <w:left w:type="dxa" w:w="120"/>
              <w:bottom w:type="dxa" w:w="100"/>
              <w:right w:type="dxa" w:w="120"/>
            </w:tcMar>
            <w:vAlign w:val="center"/>
          </w:tcPr>
          <w:p>
            <w:r>
              <w:rPr>
                <w:b/>
                <w:bCs/>
                <w:color w:val="C0392B"/>
              </w:rPr>
              <w:t xml:space="preserve">🔴 BLOCKER</w:t>
            </w:r>
          </w:p>
        </w:tc>
        <w:tc>
          <w:tcPr>
            <w:tcW w:type="dxa" w:w="4400"/>
            <w:shd w:fill="F3F4F6" w:val="clear"/>
            <w:tcMar>
              <w:top w:type="dxa" w:w="100"/>
              <w:left w:type="dxa" w:w="120"/>
              <w:bottom w:type="dxa" w:w="100"/>
              <w:right w:type="dxa" w:w="120"/>
            </w:tcMar>
            <w:vAlign w:val="center"/>
          </w:tcPr>
          <w:p>
            <w:r>
              <w:t xml:space="preserve">Does not exist. No photo/signature capture, no storage, no viewer.</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codebase-wide search</w:t>
            </w:r>
          </w:p>
        </w:tc>
      </w:tr>
      <w:tr>
        <w:tc>
          <w:tcPr>
            <w:tcW w:type="dxa" w:w="400"/>
            <w:tcMar>
              <w:top w:type="dxa" w:w="100"/>
              <w:left w:type="dxa" w:w="120"/>
              <w:bottom w:type="dxa" w:w="100"/>
              <w:right w:type="dxa" w:w="120"/>
            </w:tcMar>
            <w:vAlign w:val="center"/>
          </w:tcPr>
          <w:p>
            <w:r>
              <w:t xml:space="preserve">13</w:t>
            </w:r>
          </w:p>
        </w:tc>
        <w:tc>
          <w:tcPr>
            <w:tcW w:type="dxa" w:w="1900"/>
            <w:tcMar>
              <w:top w:type="dxa" w:w="100"/>
              <w:left w:type="dxa" w:w="120"/>
              <w:bottom w:type="dxa" w:w="100"/>
              <w:right w:type="dxa" w:w="120"/>
            </w:tcMar>
            <w:vAlign w:val="center"/>
          </w:tcPr>
          <w:p>
            <w:r>
              <w:rPr>
                <w:b/>
                <w:bCs/>
              </w:rPr>
              <w:t xml:space="preserve">Account / billing (tenant self-service)</w:t>
            </w:r>
          </w:p>
        </w:tc>
        <w:tc>
          <w:tcPr>
            <w:tcW w:type="dxa" w:w="1500"/>
            <w:tcMar>
              <w:top w:type="dxa" w:w="100"/>
              <w:left w:type="dxa" w:w="120"/>
              <w:bottom w:type="dxa" w:w="100"/>
              <w:right w:type="dxa" w:w="120"/>
            </w:tcMar>
            <w:vAlign w:val="center"/>
          </w:tcPr>
          <w:p>
            <w:r>
              <w:rPr>
                <w:b/>
                <w:bCs/>
                <w:color w:val="C0392B"/>
              </w:rPr>
              <w:t xml:space="preserve">🔴 BLOCKER</w:t>
            </w:r>
          </w:p>
        </w:tc>
        <w:tc>
          <w:tcPr>
            <w:tcW w:type="dxa" w:w="4400"/>
            <w:tcMar>
              <w:top w:type="dxa" w:w="100"/>
              <w:left w:type="dxa" w:w="120"/>
              <w:bottom w:type="dxa" w:w="100"/>
              <w:right w:type="dxa" w:w="120"/>
            </w:tcMar>
            <w:vAlign w:val="center"/>
          </w:tcPr>
          <w:p>
            <w:r>
              <w:t xml:space="preserve">After signup there is no tenant-facing “my plan / payment method / invoices” page. A tenant cannot see or change their own billing without Shane touching Stripe directly on their behalf.</w:t>
            </w:r>
          </w:p>
        </w:tc>
        <w:tc>
          <w:tcPr>
            <w:tcW w:type="dxa" w:w="1660"/>
            <w:tcMar>
              <w:top w:type="dxa" w:w="100"/>
              <w:left w:type="dxa" w:w="120"/>
              <w:bottom w:type="dxa" w:w="100"/>
              <w:right w:type="dxa" w:w="120"/>
            </w:tcMar>
            <w:vAlign w:val="center"/>
          </w:tcPr>
          <w:p>
            <w:r>
              <w:rPr>
                <w:i/>
                <w:iCs/>
                <w:color w:val="555555"/>
                <w:sz w:val="18"/>
                <w:szCs w:val="18"/>
              </w:rPr>
              <w:t xml:space="preserve">routes/central.php</w:t>
            </w:r>
          </w:p>
        </w:tc>
      </w:tr>
      <w:tr>
        <w:tc>
          <w:tcPr>
            <w:tcW w:type="dxa" w:w="400"/>
            <w:shd w:fill="F3F4F6" w:val="clear"/>
            <w:tcMar>
              <w:top w:type="dxa" w:w="100"/>
              <w:left w:type="dxa" w:w="120"/>
              <w:bottom w:type="dxa" w:w="100"/>
              <w:right w:type="dxa" w:w="120"/>
            </w:tcMar>
            <w:vAlign w:val="center"/>
          </w:tcPr>
          <w:p>
            <w:r>
              <w:t xml:space="preserve">14</w:t>
            </w:r>
          </w:p>
        </w:tc>
        <w:tc>
          <w:tcPr>
            <w:tcW w:type="dxa" w:w="1900"/>
            <w:shd w:fill="F3F4F6" w:val="clear"/>
            <w:tcMar>
              <w:top w:type="dxa" w:w="100"/>
              <w:left w:type="dxa" w:w="120"/>
              <w:bottom w:type="dxa" w:w="100"/>
              <w:right w:type="dxa" w:w="120"/>
            </w:tcMar>
            <w:vAlign w:val="center"/>
          </w:tcPr>
          <w:p>
            <w:r>
              <w:rPr>
                <w:b/>
                <w:bCs/>
              </w:rPr>
              <w:t xml:space="preserve">Error handling</w:t>
            </w:r>
          </w:p>
        </w:tc>
        <w:tc>
          <w:tcPr>
            <w:tcW w:type="dxa" w:w="1500"/>
            <w:shd w:fill="F3F4F6" w:val="clear"/>
            <w:tcMar>
              <w:top w:type="dxa" w:w="100"/>
              <w:left w:type="dxa" w:w="120"/>
              <w:bottom w:type="dxa" w:w="100"/>
              <w:right w:type="dxa" w:w="120"/>
            </w:tcMar>
            <w:vAlign w:val="center"/>
          </w:tcPr>
          <w:p>
            <w:r>
              <w:rPr>
                <w:b/>
                <w:bCs/>
                <w:color w:val="B7950B"/>
              </w:rPr>
              <w:t xml:space="preserve">🟡 IMPORTANT</w:t>
            </w:r>
          </w:p>
        </w:tc>
        <w:tc>
          <w:tcPr>
            <w:tcW w:type="dxa" w:w="4400"/>
            <w:shd w:fill="F3F4F6" w:val="clear"/>
            <w:tcMar>
              <w:top w:type="dxa" w:w="100"/>
              <w:left w:type="dxa" w:w="120"/>
              <w:bottom w:type="dxa" w:w="100"/>
              <w:right w:type="dxa" w:w="120"/>
            </w:tcMar>
            <w:vAlign w:val="center"/>
          </w:tcPr>
          <w:p>
            <w:r>
              <w:t xml:space="preserve">Branded 403/404/419/429/500/503 pages exist and are dependency-free — good. Fixed 12 Aug: the checkout exception (Stripe key missing) previously rendered as a raw debug page with a full stack trace and file paths — it's now caught and shown as a branded page. Still worth confirming APP_DEBUG=false in production so no *other* unexpected exception leaks the same way. Correction: the “silent login failure” noted in the first pass didn't reproduce on a direct re-test — a wrong password on a real account shows “These credentials do not match our records” correctly. That finding was inaccurate; likely the original tester's email genuinely didn't exist yet (checkout hadn't finished), which is a different, already-covered issue (#3).</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resources/views/errors/*; BillingController.php; live re-test</w:t>
            </w:r>
          </w:p>
        </w:tc>
      </w:tr>
      <w:tr>
        <w:tc>
          <w:tcPr>
            <w:tcW w:type="dxa" w:w="400"/>
            <w:tcMar>
              <w:top w:type="dxa" w:w="100"/>
              <w:left w:type="dxa" w:w="120"/>
              <w:bottom w:type="dxa" w:w="100"/>
              <w:right w:type="dxa" w:w="120"/>
            </w:tcMar>
            <w:vAlign w:val="center"/>
          </w:tcPr>
          <w:p>
            <w:r>
              <w:t xml:space="preserve">15</w:t>
            </w:r>
          </w:p>
        </w:tc>
        <w:tc>
          <w:tcPr>
            <w:tcW w:type="dxa" w:w="1900"/>
            <w:tcMar>
              <w:top w:type="dxa" w:w="100"/>
              <w:left w:type="dxa" w:w="120"/>
              <w:bottom w:type="dxa" w:w="100"/>
              <w:right w:type="dxa" w:w="120"/>
            </w:tcMar>
            <w:vAlign w:val="center"/>
          </w:tcPr>
          <w:p>
            <w:r>
              <w:rPr>
                <w:b/>
                <w:bCs/>
              </w:rPr>
              <w:t xml:space="preserve">Support</w:t>
            </w:r>
          </w:p>
        </w:tc>
        <w:tc>
          <w:tcPr>
            <w:tcW w:type="dxa" w:w="1500"/>
            <w:tcMar>
              <w:top w:type="dxa" w:w="100"/>
              <w:left w:type="dxa" w:w="120"/>
              <w:bottom w:type="dxa" w:w="100"/>
              <w:right w:type="dxa" w:w="120"/>
            </w:tcMar>
            <w:vAlign w:val="center"/>
          </w:tcPr>
          <w:p>
            <w:r>
              <w:rPr>
                <w:b/>
                <w:bCs/>
                <w:color w:val="B7950B"/>
              </w:rPr>
              <w:t xml:space="preserve">🟡 IMPORTANT</w:t>
            </w:r>
          </w:p>
        </w:tc>
        <w:tc>
          <w:tcPr>
            <w:tcW w:type="dxa" w:w="4400"/>
            <w:tcMar>
              <w:top w:type="dxa" w:w="100"/>
              <w:left w:type="dxa" w:w="120"/>
              <w:bottom w:type="dxa" w:w="100"/>
              <w:right w:type="dxa" w:w="120"/>
            </w:tcMar>
            <w:vAlign w:val="center"/>
          </w:tcPr>
          <w:p>
            <w:r>
              <w:t xml:space="preserve">Platform-side support threads (Shane ↔ tenant) work end-to-end in the admin console. Not verified today: what a tenant's own end customer sees if they need help (no visible contact/help surface was reached before the funnel blocked).</w:t>
            </w:r>
          </w:p>
        </w:tc>
        <w:tc>
          <w:tcPr>
            <w:tcW w:type="dxa" w:w="1660"/>
            <w:tcMar>
              <w:top w:type="dxa" w:w="100"/>
              <w:left w:type="dxa" w:w="120"/>
              <w:bottom w:type="dxa" w:w="100"/>
              <w:right w:type="dxa" w:w="120"/>
            </w:tcMar>
            <w:vAlign w:val="center"/>
          </w:tcPr>
          <w:p>
            <w:r>
              <w:rPr>
                <w:i/>
                <w:iCs/>
                <w:color w:val="555555"/>
                <w:sz w:val="18"/>
                <w:szCs w:val="18"/>
              </w:rPr>
              <w:t xml:space="preserve">PlatformSupportController.php</w:t>
            </w:r>
          </w:p>
        </w:tc>
      </w:tr>
      <w:tr>
        <w:tc>
          <w:tcPr>
            <w:tcW w:type="dxa" w:w="400"/>
            <w:shd w:fill="F3F4F6" w:val="clear"/>
            <w:tcMar>
              <w:top w:type="dxa" w:w="100"/>
              <w:left w:type="dxa" w:w="120"/>
              <w:bottom w:type="dxa" w:w="100"/>
              <w:right w:type="dxa" w:w="120"/>
            </w:tcMar>
            <w:vAlign w:val="center"/>
          </w:tcPr>
          <w:p>
            <w:r>
              <w:t xml:space="preserve">16</w:t>
            </w:r>
          </w:p>
        </w:tc>
        <w:tc>
          <w:tcPr>
            <w:tcW w:type="dxa" w:w="1900"/>
            <w:shd w:fill="F3F4F6" w:val="clear"/>
            <w:tcMar>
              <w:top w:type="dxa" w:w="100"/>
              <w:left w:type="dxa" w:w="120"/>
              <w:bottom w:type="dxa" w:w="100"/>
              <w:right w:type="dxa" w:w="120"/>
            </w:tcMar>
            <w:vAlign w:val="center"/>
          </w:tcPr>
          <w:p>
            <w:r>
              <w:rPr>
                <w:b/>
                <w:bCs/>
              </w:rPr>
              <w:t xml:space="preserve">Security</w:t>
            </w:r>
          </w:p>
        </w:tc>
        <w:tc>
          <w:tcPr>
            <w:tcW w:type="dxa" w:w="1500"/>
            <w:shd w:fill="F3F4F6" w:val="clear"/>
            <w:tcMar>
              <w:top w:type="dxa" w:w="100"/>
              <w:left w:type="dxa" w:w="120"/>
              <w:bottom w:type="dxa" w:w="100"/>
              <w:right w:type="dxa" w:w="120"/>
            </w:tcMar>
            <w:vAlign w:val="center"/>
          </w:tcPr>
          <w:p>
            <w:r>
              <w:rPr>
                <w:b/>
                <w:bCs/>
                <w:color w:val="B7950B"/>
              </w:rPr>
              <w:t xml:space="preserve">🟡 IMPORTANT</w:t>
            </w:r>
          </w:p>
        </w:tc>
        <w:tc>
          <w:tcPr>
            <w:tcW w:type="dxa" w:w="4400"/>
            <w:shd w:fill="F3F4F6" w:val="clear"/>
            <w:tcMar>
              <w:top w:type="dxa" w:w="100"/>
              <w:left w:type="dxa" w:w="120"/>
              <w:bottom w:type="dxa" w:w="100"/>
              <w:right w:type="dxa" w:w="120"/>
            </w:tcMar>
            <w:vAlign w:val="center"/>
          </w:tcPr>
          <w:p>
            <w:r>
              <w:t xml:space="preserve">Tenant isolation, auth guards, and role/permission checks look consistently applied on a code skim (not a full review). Login/signup/contact are rate-limited; most other authenticated admin endpoints are not. The exposed stack trace in #14 is itself a security-relevant leak (file paths, versions) beyond just being a bad look.</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routes/web.php; docs/launch-readiness.md (prior audit)</w:t>
            </w:r>
          </w:p>
        </w:tc>
      </w:tr>
      <w:tr>
        <w:tc>
          <w:tcPr>
            <w:tcW w:type="dxa" w:w="400"/>
            <w:tcMar>
              <w:top w:type="dxa" w:w="100"/>
              <w:left w:type="dxa" w:w="120"/>
              <w:bottom w:type="dxa" w:w="100"/>
              <w:right w:type="dxa" w:w="120"/>
            </w:tcMar>
            <w:vAlign w:val="center"/>
          </w:tcPr>
          <w:p>
            <w:r>
              <w:t xml:space="preserve">17</w:t>
            </w:r>
          </w:p>
        </w:tc>
        <w:tc>
          <w:tcPr>
            <w:tcW w:type="dxa" w:w="1900"/>
            <w:tcMar>
              <w:top w:type="dxa" w:w="100"/>
              <w:left w:type="dxa" w:w="120"/>
              <w:bottom w:type="dxa" w:w="100"/>
              <w:right w:type="dxa" w:w="120"/>
            </w:tcMar>
            <w:vAlign w:val="center"/>
          </w:tcPr>
          <w:p>
            <w:r>
              <w:rPr>
                <w:b/>
                <w:bCs/>
              </w:rPr>
              <w:t xml:space="preserve">Mobile experience</w:t>
            </w:r>
          </w:p>
        </w:tc>
        <w:tc>
          <w:tcPr>
            <w:tcW w:type="dxa" w:w="1500"/>
            <w:tcMar>
              <w:top w:type="dxa" w:w="100"/>
              <w:left w:type="dxa" w:w="120"/>
              <w:bottom w:type="dxa" w:w="100"/>
              <w:right w:type="dxa" w:w="120"/>
            </w:tcMar>
            <w:vAlign w:val="center"/>
          </w:tcPr>
          <w:p>
            <w:r>
              <w:rPr>
                <w:b/>
                <w:bCs/>
                <w:color w:val="B7950B"/>
              </w:rPr>
              <w:t xml:space="preserve">🟡 IMPORTANT</w:t>
            </w:r>
          </w:p>
        </w:tc>
        <w:tc>
          <w:tcPr>
            <w:tcW w:type="dxa" w:w="4400"/>
            <w:tcMar>
              <w:top w:type="dxa" w:w="100"/>
              <w:left w:type="dxa" w:w="120"/>
              <w:bottom w:type="dxa" w:w="100"/>
              <w:right w:type="dxa" w:w="120"/>
            </w:tcMar>
            <w:vAlign w:val="center"/>
          </w:tcPr>
          <w:p>
            <w:r>
              <w:t xml:space="preserve">Not tested today — out of scope for this pass, flagged so it doesn't get silently skipped. Given drivers/riders don't exist as a role yet (#7), there's no mobile driver app to evaluate either.</w:t>
            </w:r>
          </w:p>
        </w:tc>
        <w:tc>
          <w:tcPr>
            <w:tcW w:type="dxa" w:w="1660"/>
            <w:tcMar>
              <w:top w:type="dxa" w:w="100"/>
              <w:left w:type="dxa" w:w="120"/>
              <w:bottom w:type="dxa" w:w="100"/>
              <w:right w:type="dxa" w:w="120"/>
            </w:tcMar>
            <w:vAlign w:val="center"/>
          </w:tcPr>
          <w:p>
            <w:r>
              <w:rPr>
                <w:i/>
                <w:iCs/>
                <w:color w:val="555555"/>
                <w:sz w:val="18"/>
                <w:szCs w:val="18"/>
              </w:rPr>
              <w:t xml:space="preserve">not tested</w:t>
            </w:r>
          </w:p>
        </w:tc>
      </w:tr>
      <w:tr>
        <w:tc>
          <w:tcPr>
            <w:tcW w:type="dxa" w:w="400"/>
            <w:shd w:fill="F3F4F6" w:val="clear"/>
            <w:tcMar>
              <w:top w:type="dxa" w:w="100"/>
              <w:left w:type="dxa" w:w="120"/>
              <w:bottom w:type="dxa" w:w="100"/>
              <w:right w:type="dxa" w:w="120"/>
            </w:tcMar>
            <w:vAlign w:val="center"/>
          </w:tcPr>
          <w:p>
            <w:r>
              <w:t xml:space="preserve">18</w:t>
            </w:r>
          </w:p>
        </w:tc>
        <w:tc>
          <w:tcPr>
            <w:tcW w:type="dxa" w:w="1900"/>
            <w:shd w:fill="F3F4F6" w:val="clear"/>
            <w:tcMar>
              <w:top w:type="dxa" w:w="100"/>
              <w:left w:type="dxa" w:w="120"/>
              <w:bottom w:type="dxa" w:w="100"/>
              <w:right w:type="dxa" w:w="120"/>
            </w:tcMar>
            <w:vAlign w:val="center"/>
          </w:tcPr>
          <w:p>
            <w:r>
              <w:rPr>
                <w:b/>
                <w:bCs/>
              </w:rPr>
              <w:t xml:space="preserve">Your own admin capabilities (Gate 4)</w:t>
            </w:r>
          </w:p>
        </w:tc>
        <w:tc>
          <w:tcPr>
            <w:tcW w:type="dxa" w:w="1500"/>
            <w:shd w:fill="F3F4F6" w:val="clear"/>
            <w:tcMar>
              <w:top w:type="dxa" w:w="100"/>
              <w:left w:type="dxa" w:w="120"/>
              <w:bottom w:type="dxa" w:w="100"/>
              <w:right w:type="dxa" w:w="120"/>
            </w:tcMar>
            <w:vAlign w:val="center"/>
          </w:tcPr>
          <w:p>
            <w:r>
              <w:rPr>
                <w:b/>
                <w:bCs/>
                <w:color w:val="1E8449"/>
              </w:rPr>
              <w:t xml:space="preserve">🟢 LATER / FINE</w:t>
            </w:r>
          </w:p>
        </w:tc>
        <w:tc>
          <w:tcPr>
            <w:tcW w:type="dxa" w:w="4400"/>
            <w:shd w:fill="F3F4F6" w:val="clear"/>
            <w:tcMar>
              <w:top w:type="dxa" w:w="100"/>
              <w:left w:type="dxa" w:w="120"/>
              <w:bottom w:type="dxa" w:w="100"/>
              <w:right w:type="dxa" w:w="120"/>
            </w:tcMar>
            <w:vAlign w:val="center"/>
          </w:tcPr>
          <w:p>
            <w:r>
              <w:t xml:space="preserve">Fixed 12 Aug. The platform console (`/platform/tenants`) now has a “Create tenant” action: business details + owner email in, and it creates the tenant active immediately — no Stripe involved — with a generated owner password shown once in a confirmation toast. A “Trial” button on each row sets or clears `trial_ends_at` (previously a database column with no UI or CLI path to it at all). Verified end-to-end live: created a tenant, logged in as the new owner on their subdomain, landed straight on their branded dashboard. If someone messages you today asking to try CourierOS, you can now say “here's your link” and mean it. Note: while building this, found the entire `/platform` console had no toast component mounted at all, so every existing success/error message (suspend, activate, support replies) was silently swallowed — fixed alongside this.</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PlatformAdmin/TenantController.php; PlatformLayout.vue; live test</w:t>
            </w:r>
          </w:p>
        </w:tc>
      </w:tr>
      <w:tr>
        <w:tc>
          <w:tcPr>
            <w:tcW w:type="dxa" w:w="400"/>
            <w:tcMar>
              <w:top w:type="dxa" w:w="100"/>
              <w:left w:type="dxa" w:w="120"/>
              <w:bottom w:type="dxa" w:w="100"/>
              <w:right w:type="dxa" w:w="120"/>
            </w:tcMar>
            <w:vAlign w:val="center"/>
          </w:tcPr>
          <w:p>
            <w:r>
              <w:t xml:space="preserve">19</w:t>
            </w:r>
          </w:p>
        </w:tc>
        <w:tc>
          <w:tcPr>
            <w:tcW w:type="dxa" w:w="1900"/>
            <w:tcMar>
              <w:top w:type="dxa" w:w="100"/>
              <w:left w:type="dxa" w:w="120"/>
              <w:bottom w:type="dxa" w:w="100"/>
              <w:right w:type="dxa" w:w="120"/>
            </w:tcMar>
            <w:vAlign w:val="center"/>
          </w:tcPr>
          <w:p>
            <w:r>
              <w:rPr>
                <w:b/>
                <w:bCs/>
              </w:rPr>
              <w:t xml:space="preserve">First-customer onboarding (end-to-end)</w:t>
            </w:r>
          </w:p>
        </w:tc>
        <w:tc>
          <w:tcPr>
            <w:tcW w:type="dxa" w:w="1500"/>
            <w:tcMar>
              <w:top w:type="dxa" w:w="100"/>
              <w:left w:type="dxa" w:w="120"/>
              <w:bottom w:type="dxa" w:w="100"/>
              <w:right w:type="dxa" w:w="120"/>
            </w:tcMar>
            <w:vAlign w:val="center"/>
          </w:tcPr>
          <w:p>
            <w:r>
              <w:rPr>
                <w:b/>
                <w:bCs/>
                <w:color w:val="B7950B"/>
              </w:rPr>
              <w:t xml:space="preserve">🟡 IMPORTANT</w:t>
            </w:r>
          </w:p>
        </w:tc>
        <w:tc>
          <w:tcPr>
            <w:tcW w:type="dxa" w:w="4400"/>
            <w:tcMar>
              <w:top w:type="dxa" w:w="100"/>
              <w:left w:type="dxa" w:w="120"/>
              <w:bottom w:type="dxa" w:w="100"/>
              <w:right w:type="dxa" w:w="120"/>
            </w:tcMar>
            <w:vAlign w:val="center"/>
          </w:tcPr>
          <w:p>
            <w:r>
              <w:t xml:space="preserve">Public self-serve signup (#3) is still blocked by Stripe, by choice. But there is now a real manual path: create the tenant by hand in the platform console (#18), hand the owner their login, they're immediately operational for package-forwarding work (profile, pricing, customers). What still isn't possible for anyone, self-serve or manual, is a courier-dispatch flow — no drivers, no delivery jobs, no tracking link, no proof of delivery (#7, #8, #11, #12). Confirm with the target customer whether package-forwarding is what they actually need before building those.</w:t>
            </w:r>
          </w:p>
        </w:tc>
        <w:tc>
          <w:tcPr>
            <w:tcW w:type="dxa" w:w="1660"/>
            <w:tcMar>
              <w:top w:type="dxa" w:w="100"/>
              <w:left w:type="dxa" w:w="120"/>
              <w:bottom w:type="dxa" w:w="100"/>
              <w:right w:type="dxa" w:w="120"/>
            </w:tcMar>
            <w:vAlign w:val="center"/>
          </w:tcPr>
          <w:p>
            <w:r>
              <w:rPr>
                <w:i/>
                <w:iCs/>
                <w:color w:val="555555"/>
                <w:sz w:val="18"/>
                <w:szCs w:val="18"/>
              </w:rPr>
              <w:t xml:space="preserve">synthesis of above</w:t>
            </w:r>
          </w:p>
        </w:tc>
      </w:tr>
      <w:tr>
        <w:tc>
          <w:tcPr>
            <w:tcW w:type="dxa" w:w="400"/>
            <w:shd w:fill="F3F4F6" w:val="clear"/>
            <w:tcMar>
              <w:top w:type="dxa" w:w="100"/>
              <w:left w:type="dxa" w:w="120"/>
              <w:bottom w:type="dxa" w:w="100"/>
              <w:right w:type="dxa" w:w="120"/>
            </w:tcMar>
            <w:vAlign w:val="center"/>
          </w:tcPr>
          <w:p>
            <w:r>
              <w:t xml:space="preserve">20</w:t>
            </w:r>
          </w:p>
        </w:tc>
        <w:tc>
          <w:tcPr>
            <w:tcW w:type="dxa" w:w="1900"/>
            <w:shd w:fill="F3F4F6" w:val="clear"/>
            <w:tcMar>
              <w:top w:type="dxa" w:w="100"/>
              <w:left w:type="dxa" w:w="120"/>
              <w:bottom w:type="dxa" w:w="100"/>
              <w:right w:type="dxa" w:w="120"/>
            </w:tcMar>
            <w:vAlign w:val="center"/>
          </w:tcPr>
          <w:p>
            <w:r>
              <w:rPr>
                <w:b/>
                <w:bCs/>
              </w:rPr>
              <w:t xml:space="preserve">Launch / outreach</w:t>
            </w:r>
          </w:p>
        </w:tc>
        <w:tc>
          <w:tcPr>
            <w:tcW w:type="dxa" w:w="1500"/>
            <w:shd w:fill="F3F4F6" w:val="clear"/>
            <w:tcMar>
              <w:top w:type="dxa" w:w="100"/>
              <w:left w:type="dxa" w:w="120"/>
              <w:bottom w:type="dxa" w:w="100"/>
              <w:right w:type="dxa" w:w="120"/>
            </w:tcMar>
            <w:vAlign w:val="center"/>
          </w:tcPr>
          <w:p>
            <w:r>
              <w:rPr>
                <w:b/>
                <w:bCs/>
                <w:color w:val="B7950B"/>
              </w:rPr>
              <w:t xml:space="preserve">🟡 IMPORTANT</w:t>
            </w:r>
          </w:p>
        </w:tc>
        <w:tc>
          <w:tcPr>
            <w:tcW w:type="dxa" w:w="4400"/>
            <w:shd w:fill="F3F4F6" w:val="clear"/>
            <w:tcMar>
              <w:top w:type="dxa" w:w="100"/>
              <w:left w:type="dxa" w:w="120"/>
              <w:bottom w:type="dxa" w:w="100"/>
              <w:right w:type="dxa" w:w="120"/>
            </w:tcMar>
            <w:vAlign w:val="center"/>
          </w:tcPr>
          <w:p>
            <w:r>
              <w:t xml:space="preserve">GTM strategy and a dedicated `/jamaica` landing page are built (`CourierOS-Jamaica-GTM-Strategy.docx`, `central/Jamaica.vue`), and outreach copy is drafted (`marketing/jamaica-outreach.md`) but not sent. Fixed 12 Aug: added meta description + Open Graph/Twitter tags to Home, Product, Pricing and Jamaica pages, plus a sitemap.xml, and corrected an earlier finding — three of the four pages already had a description tag, only the homepage was missing one. Important caveat: these tags render via Vue's `&lt;Head&gt;` component client-side, and the app still has no server-side rendering (confirmed: no `resources/js/ssr.ts`). Google's crawler executes JS and will pick these up, but WhatsApp, Facebook, Twitter and Slack link-preview bots generally do not — so links shared over the exact channels in `marketing/jamaica-outreach.md` will likely still show a bare/blank preview until SSR is added. Don't send outreach expecting rich previews yet.</w:t>
            </w:r>
          </w:p>
        </w:tc>
        <w:tc>
          <w:tcPr>
            <w:tcW w:type="dxa" w:w="1660"/>
            <w:shd w:fill="F3F4F6" w:val="clear"/>
            <w:tcMar>
              <w:top w:type="dxa" w:w="100"/>
              <w:left w:type="dxa" w:w="120"/>
              <w:bottom w:type="dxa" w:w="100"/>
              <w:right w:type="dxa" w:w="120"/>
            </w:tcMar>
            <w:vAlign w:val="center"/>
          </w:tcPr>
          <w:p>
            <w:r>
              <w:rPr>
                <w:i/>
                <w:iCs/>
                <w:color w:val="555555"/>
                <w:sz w:val="18"/>
                <w:szCs w:val="18"/>
              </w:rPr>
              <w:t xml:space="preserve">central/*.vue Head tags; public/sitemap.xml, robots.txt; JAMAICA-LAUNCH-TRACKER.md</w:t>
            </w:r>
          </w:p>
        </w:tc>
      </w:tr>
    </w:tbl>
    <w:p>
      <w:pPr>
        <w:pStyle w:val="Heading1"/>
        <w:spacing w:after="160" w:before="360"/>
      </w:pPr>
      <w:r>
        <w:t xml:space="preserve">Fixed today (12 August 2026)</w:t>
      </w:r>
    </w:p>
    <w:p>
      <w:pPr>
        <w:pStyle w:val="ListParagraph"/>
        <w:numPr>
          <w:ilvl w:val="0"/>
          <w:numId w:val="1"/>
        </w:numPr>
        <w:spacing w:after="60"/>
      </w:pPr>
      <w:r>
        <w:t xml:space="preserve">Checkout failures no longer leak a raw Laravel stack trace to visitors — caught and replaced with a branded “we couldn't start checkout” page. Stripe itself is still unconfigured, by request.</w:t>
      </w:r>
    </w:p>
    <w:p>
      <w:pPr>
        <w:pStyle w:val="ListParagraph"/>
        <w:numPr>
          <w:ilvl w:val="0"/>
          <w:numId w:val="1"/>
        </w:numPr>
        <w:spacing w:after="60"/>
      </w:pPr>
      <w:r>
        <w:t xml:space="preserve">Landing/product/pricing copy no longer promises a free trial or “no card required” — it now states the real price and flow.</w:t>
      </w:r>
    </w:p>
    <w:p>
      <w:pPr>
        <w:pStyle w:val="ListParagraph"/>
        <w:numPr>
          <w:ilvl w:val="0"/>
          <w:numId w:val="1"/>
        </w:numPr>
        <w:spacing w:after="60"/>
      </w:pPr>
      <w:r>
        <w:t xml:space="preserve">Added meta description + Open Graph/Twitter tags to the four public marketing pages, plus a sitemap.xml (see #20 for the SSR caveat that limits how much this helps outreach links specifically).</w:t>
      </w:r>
    </w:p>
    <w:p>
      <w:pPr>
        <w:pStyle w:val="ListParagraph"/>
        <w:numPr>
          <w:ilvl w:val="0"/>
          <w:numId w:val="1"/>
        </w:numPr>
        <w:spacing w:after="60"/>
      </w:pPr>
      <w:r>
        <w:t xml:space="preserve">Platform console can now create an active tenant with a working owner login, and set/clear a trial date — no Stripe, CLI or tinker required. This is the fix for Gate 4.</w:t>
      </w:r>
    </w:p>
    <w:p>
      <w:pPr>
        <w:pStyle w:val="ListParagraph"/>
        <w:numPr>
          <w:ilvl w:val="0"/>
          <w:numId w:val="1"/>
        </w:numPr>
        <w:spacing w:after="60"/>
      </w:pPr>
      <w:r>
        <w:t xml:space="preserve">Found and fixed a pre-existing bug while building the above: the entire `/platform` console had no toast component mounted, so success/error confirmations (suspend, activate, support replies, and the new tenant/trial actions) were silently discarded rather than shown.</w:t>
      </w:r>
    </w:p>
    <w:p>
      <w:pPr>
        <w:pStyle w:val="ListParagraph"/>
        <w:numPr>
          <w:ilvl w:val="0"/>
          <w:numId w:val="1"/>
        </w:numPr>
        <w:spacing w:after="60"/>
      </w:pPr>
      <w:r>
        <w:t xml:space="preserve">Corrected an inaccurate finding from the first pass: the “silent login failure” didn't reproduce on re-test — wrong-password attempts show a clear error. Left as-is; no change needed.</w:t>
      </w:r>
    </w:p>
    <w:p>
      <w:pPr>
        <w:pStyle w:val="Heading1"/>
        <w:spacing w:after="160" w:before="360"/>
      </w:pPr>
      <w:r>
        <w:t xml:space="preserve">What's still open</w:t>
      </w:r>
    </w:p>
    <w:p>
      <w:pPr>
        <w:pStyle w:val="ListParagraph"/>
        <w:numPr>
          <w:ilvl w:val="0"/>
          <w:numId w:val="1"/>
        </w:numPr>
        <w:spacing w:after="60"/>
      </w:pPr>
      <w:r>
        <w:t xml:space="preserve">1. Stripe: set live/test API keys and price IDs so `/signup` completes end to end for real self-serve signups. Deliberately not done in this pass.</w:t>
      </w:r>
    </w:p>
    <w:p>
      <w:pPr>
        <w:pStyle w:val="ListParagraph"/>
        <w:numPr>
          <w:ilvl w:val="0"/>
          <w:numId w:val="1"/>
        </w:numPr>
        <w:spacing w:after="60"/>
      </w:pPr>
      <w:r>
        <w:t xml:space="preserve">2. Decide, with the target customer, whether package-forwarding matches their needs — or whether driver/dispatch/tracking/POD need to be scoped and built before this is their product. Nothing else on this list matters much until this is answered.</w:t>
      </w:r>
    </w:p>
    <w:p>
      <w:pPr>
        <w:pStyle w:val="ListParagraph"/>
        <w:numPr>
          <w:ilvl w:val="0"/>
          <w:numId w:val="1"/>
        </w:numPr>
        <w:spacing w:after="60"/>
      </w:pPr>
      <w:r>
        <w:t xml:space="preserve">3. Inertia SSR, if outreach links need to preview properly on WhatsApp/Facebook/Twitter/Slack — the meta/OG tags added today only help crawlers that execute JavaScript (Google), not link-preview bots.</w:t>
      </w:r>
    </w:p>
    <w:p>
      <w:pPr>
        <w:pStyle w:val="ListParagraph"/>
        <w:numPr>
          <w:ilvl w:val="0"/>
          <w:numId w:val="1"/>
        </w:numPr>
        <w:spacing w:after="60"/>
      </w:pPr>
      <w:r>
        <w:t xml:space="preserve">4. Confirm APP_DEBUG=false in production so no other unexpected exception repeats the leak fixed today.</w:t>
      </w:r>
    </w:p>
    <w:p>
      <w:pPr>
        <w:pStyle w:val="ListParagraph"/>
        <w:numPr>
          <w:ilvl w:val="0"/>
          <w:numId w:val="1"/>
        </w:numPr>
        <w:spacing w:after="60"/>
      </w:pPr>
      <w:r>
        <w:t xml:space="preserve">5. Once Stripe (or the scope question) is resolved, re-run this exact walkthrough on a completely fresh account before sending any outreach message.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2026-08-12T07:51:09.924Z</dcterms:created>
  <dcterms:modified xsi:type="dcterms:W3CDTF">2026-08-12T07:51:09.925Z</dcterms:modified>
</cp:coreProperties>
</file>

<file path=docProps/custom.xml><?xml version="1.0" encoding="utf-8"?>
<Properties xmlns="http://schemas.openxmlformats.org/officeDocument/2006/custom-properties" xmlns:vt="http://schemas.openxmlformats.org/officeDocument/2006/docPropsVTypes"/>
</file>