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7EE" w:rsidRDefault="001B67EE" w:rsidP="00077AFF">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077AFF">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1B67EE" w:rsidRDefault="001B67EE" w:rsidP="00077AFF">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1B67EE" w:rsidRPr="00077AFF" w:rsidRDefault="001B67EE" w:rsidP="00077AFF">
      <w:pPr>
        <w:spacing w:after="0" w:line="240" w:lineRule="auto"/>
        <w:rPr>
          <w:rFonts w:ascii="Times New Roman" w:eastAsia="Times New Roman" w:hAnsi="Times New Roman" w:cs="Times New Roman"/>
          <w:bCs/>
          <w:color w:val="000000"/>
          <w:sz w:val="20"/>
          <w:szCs w:val="20"/>
        </w:rPr>
      </w:pPr>
    </w:p>
    <w:p w:rsidR="001B67EE" w:rsidRPr="00077AFF" w:rsidRDefault="001B67EE" w:rsidP="00077AFF">
      <w:pPr>
        <w:spacing w:after="0" w:line="240" w:lineRule="auto"/>
        <w:rPr>
          <w:rFonts w:ascii="Times New Roman" w:eastAsia="Times New Roman" w:hAnsi="Times New Roman" w:cs="Times New Roman"/>
          <w:bCs/>
          <w:color w:val="000000"/>
          <w:sz w:val="20"/>
          <w:szCs w:val="20"/>
        </w:rPr>
      </w:pPr>
    </w:p>
    <w:p w:rsidR="00077AFF" w:rsidRPr="00704256" w:rsidRDefault="00077AFF" w:rsidP="00077AFF">
      <w:pPr>
        <w:spacing w:after="0" w:line="240" w:lineRule="auto"/>
        <w:rPr>
          <w:rFonts w:ascii="Times New Roman" w:eastAsia="Times New Roman" w:hAnsi="Times New Roman" w:cs="Times New Roman"/>
          <w:bCs/>
          <w:color w:val="000000"/>
          <w:sz w:val="20"/>
          <w:szCs w:val="20"/>
        </w:rPr>
      </w:pPr>
      <w:r w:rsidRPr="00704256">
        <w:rPr>
          <w:rFonts w:ascii="Times New Roman" w:eastAsia="Times New Roman" w:hAnsi="Times New Roman" w:cs="Times New Roman"/>
          <w:bCs/>
          <w:color w:val="000000"/>
          <w:sz w:val="20"/>
          <w:szCs w:val="20"/>
        </w:rPr>
        <w:t>PACKET 9 – FULL AS A TICK</w:t>
      </w:r>
    </w:p>
    <w:p w:rsidR="00EF0346" w:rsidRPr="003E6434" w:rsidRDefault="003E6434" w:rsidP="00077AF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LAST TOSSUP YOU READ SHOULD HAVE BEEN ON ANSWER: </w:t>
      </w:r>
      <w:r>
        <w:rPr>
          <w:rFonts w:ascii="Times New Roman" w:hAnsi="Times New Roman" w:cs="Times New Roman"/>
          <w:b/>
          <w:sz w:val="20"/>
          <w:szCs w:val="20"/>
          <w:u w:val="single"/>
        </w:rPr>
        <w:t>size exclusion chromatography</w:t>
      </w:r>
      <w:bookmarkStart w:id="0" w:name="_GoBack"/>
      <w:bookmarkEnd w:id="0"/>
    </w:p>
    <w:p w:rsidR="00077AFF" w:rsidRP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proofErr w:type="spellStart"/>
      <w:r w:rsidR="00077AFF" w:rsidRPr="00077AFF">
        <w:rPr>
          <w:rFonts w:ascii="Times New Roman" w:eastAsia="Times New Roman" w:hAnsi="Times New Roman" w:cs="Times New Roman"/>
          <w:b/>
          <w:bCs/>
          <w:color w:val="000000"/>
          <w:sz w:val="20"/>
          <w:szCs w:val="20"/>
        </w:rPr>
        <w:t>Goldreich</w:t>
      </w:r>
      <w:proofErr w:type="spellEnd"/>
      <w:r w:rsidR="00077AFF" w:rsidRPr="00077AFF">
        <w:rPr>
          <w:rFonts w:ascii="Times New Roman" w:eastAsia="Times New Roman" w:hAnsi="Times New Roman" w:cs="Times New Roman"/>
          <w:b/>
          <w:bCs/>
          <w:color w:val="000000"/>
          <w:sz w:val="20"/>
          <w:szCs w:val="20"/>
        </w:rPr>
        <w:t xml:space="preserve"> showed that the physical phenomena predicted by this theory are subject to Swing amplification, and those phenomena can also be amplified by the WASER mechanism. </w:t>
      </w:r>
      <w:proofErr w:type="spellStart"/>
      <w:r w:rsidR="00077AFF" w:rsidRPr="00077AFF">
        <w:rPr>
          <w:rFonts w:ascii="Times New Roman" w:eastAsia="Times New Roman" w:hAnsi="Times New Roman" w:cs="Times New Roman"/>
          <w:b/>
          <w:bCs/>
          <w:color w:val="000000"/>
          <w:sz w:val="20"/>
          <w:szCs w:val="20"/>
        </w:rPr>
        <w:t>Bertin</w:t>
      </w:r>
      <w:proofErr w:type="spellEnd"/>
      <w:r w:rsidR="00077AFF" w:rsidRPr="00077AFF">
        <w:rPr>
          <w:rFonts w:ascii="Times New Roman" w:eastAsia="Times New Roman" w:hAnsi="Times New Roman" w:cs="Times New Roman"/>
          <w:b/>
          <w:bCs/>
          <w:color w:val="000000"/>
          <w:sz w:val="20"/>
          <w:szCs w:val="20"/>
        </w:rPr>
        <w:t xml:space="preserve"> and Lowe modified the dispersion relation predicted by this theory, which showed that the critical wavenumber is equal to kappa-squared over 2 pi G sigma sub naught.  The originators of this theory explained it using the analogy of a traffic jam, in which cars can move in and out of the jam but the jam itself moves slowly. This theory states that stability occurs between the inner and outer </w:t>
      </w:r>
      <w:proofErr w:type="spellStart"/>
      <w:r w:rsidR="00077AFF" w:rsidRPr="00077AFF">
        <w:rPr>
          <w:rFonts w:ascii="Times New Roman" w:eastAsia="Times New Roman" w:hAnsi="Times New Roman" w:cs="Times New Roman"/>
          <w:b/>
          <w:bCs/>
          <w:color w:val="000000"/>
          <w:sz w:val="20"/>
          <w:szCs w:val="20"/>
        </w:rPr>
        <w:t>Lindblad</w:t>
      </w:r>
      <w:proofErr w:type="spellEnd"/>
      <w:r w:rsidR="00077AFF" w:rsidRPr="00077AFF">
        <w:rPr>
          <w:rFonts w:ascii="Times New Roman" w:eastAsia="Times New Roman" w:hAnsi="Times New Roman" w:cs="Times New Roman"/>
          <w:b/>
          <w:bCs/>
          <w:color w:val="000000"/>
          <w:sz w:val="20"/>
          <w:szCs w:val="20"/>
        </w:rPr>
        <w:t xml:space="preserve"> resonances, which are defined via the (*)</w:t>
      </w:r>
      <w:r w:rsidR="00077AFF" w:rsidRPr="00077AFF">
        <w:rPr>
          <w:rFonts w:ascii="Times New Roman" w:eastAsia="Times New Roman" w:hAnsi="Times New Roman" w:cs="Times New Roman"/>
          <w:color w:val="000000"/>
          <w:sz w:val="20"/>
          <w:szCs w:val="20"/>
        </w:rPr>
        <w:t xml:space="preserve"> global pattern speed. One prediction of this theory is H I clouds and dust bands on inner edges.</w:t>
      </w:r>
      <w:r w:rsidR="00077AFF" w:rsidRPr="00077AFF">
        <w:rPr>
          <w:rFonts w:ascii="Times New Roman" w:eastAsia="Times New Roman" w:hAnsi="Times New Roman" w:cs="Times New Roman"/>
          <w:b/>
          <w:bCs/>
          <w:color w:val="000000"/>
          <w:sz w:val="20"/>
          <w:szCs w:val="20"/>
        </w:rPr>
        <w:t xml:space="preserve"> </w:t>
      </w:r>
      <w:r w:rsidR="00077AFF" w:rsidRPr="00077AFF">
        <w:rPr>
          <w:rFonts w:ascii="Times New Roman" w:eastAsia="Times New Roman" w:hAnsi="Times New Roman" w:cs="Times New Roman"/>
          <w:color w:val="000000"/>
          <w:sz w:val="20"/>
          <w:szCs w:val="20"/>
        </w:rPr>
        <w:t xml:space="preserve"> This theory was derived by assuming tight winding, allowing the use of the WKB approximation. This theory predicts the existence of regions with 10-20% greater mass than their surroundings, and purported to solve the winding problem. For 10 points, name this doubly-eponymous theory that explains spiral galaxy structure via stationary </w:t>
      </w:r>
      <w:proofErr w:type="spellStart"/>
      <w:r w:rsidR="00077AFF" w:rsidRPr="00077AFF">
        <w:rPr>
          <w:rFonts w:ascii="Times New Roman" w:eastAsia="Times New Roman" w:hAnsi="Times New Roman" w:cs="Times New Roman"/>
          <w:color w:val="000000"/>
          <w:sz w:val="20"/>
          <w:szCs w:val="20"/>
        </w:rPr>
        <w:t>overdense</w:t>
      </w:r>
      <w:proofErr w:type="spellEnd"/>
      <w:r w:rsidR="00077AFF" w:rsidRPr="00077AFF">
        <w:rPr>
          <w:rFonts w:ascii="Times New Roman" w:eastAsia="Times New Roman" w:hAnsi="Times New Roman" w:cs="Times New Roman"/>
          <w:color w:val="000000"/>
          <w:sz w:val="20"/>
          <w:szCs w:val="20"/>
        </w:rPr>
        <w:t xml:space="preserve"> regions.</w:t>
      </w:r>
    </w:p>
    <w:p w:rsidR="00077AFF" w:rsidRPr="00077AFF" w:rsidRDefault="00077AFF" w:rsidP="00077AFF">
      <w:pPr>
        <w:spacing w:after="0" w:line="240" w:lineRule="auto"/>
        <w:rPr>
          <w:rFonts w:ascii="Times New Roman" w:eastAsia="Times New Roman" w:hAnsi="Times New Roman" w:cs="Times New Roman"/>
          <w:sz w:val="24"/>
          <w:szCs w:val="24"/>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Lin-Shu</w:t>
      </w:r>
      <w:r w:rsidRPr="00077AFF">
        <w:rPr>
          <w:rFonts w:ascii="Times New Roman" w:eastAsia="Times New Roman" w:hAnsi="Times New Roman" w:cs="Times New Roman"/>
          <w:color w:val="000000"/>
          <w:sz w:val="20"/>
          <w:szCs w:val="20"/>
        </w:rPr>
        <w:t xml:space="preserve"> </w:t>
      </w:r>
      <w:r w:rsidRPr="00077AFF">
        <w:rPr>
          <w:rFonts w:ascii="Times New Roman" w:eastAsia="Times New Roman" w:hAnsi="Times New Roman" w:cs="Times New Roman"/>
          <w:b/>
          <w:bCs/>
          <w:color w:val="000000"/>
          <w:sz w:val="20"/>
          <w:szCs w:val="20"/>
          <w:u w:val="single"/>
        </w:rPr>
        <w:t>density wave</w:t>
      </w:r>
      <w:r w:rsidRPr="00077AFF">
        <w:rPr>
          <w:rFonts w:ascii="Times New Roman" w:eastAsia="Times New Roman" w:hAnsi="Times New Roman" w:cs="Times New Roman"/>
          <w:color w:val="000000"/>
          <w:sz w:val="20"/>
          <w:szCs w:val="20"/>
        </w:rPr>
        <w:t xml:space="preserve"> theory [either underlined portion acceptable]</w:t>
      </w:r>
    </w:p>
    <w:p w:rsidR="00077AFF" w:rsidRDefault="00077AFF" w:rsidP="00077AFF">
      <w:pPr>
        <w:spacing w:after="0" w:line="240" w:lineRule="auto"/>
        <w:rPr>
          <w:rFonts w:ascii="Times New Roman" w:hAnsi="Times New Roman" w:cs="Times New Roman"/>
          <w:sz w:val="20"/>
          <w:szCs w:val="20"/>
        </w:rPr>
      </w:pPr>
      <w:r w:rsidRPr="00077AFF">
        <w:rPr>
          <w:rFonts w:ascii="Times New Roman" w:eastAsia="Times New Roman" w:hAnsi="Times New Roman" w:cs="Times New Roman"/>
          <w:sz w:val="24"/>
          <w:szCs w:val="24"/>
        </w:rPr>
        <w:br/>
      </w:r>
      <w:r w:rsidR="00F14537">
        <w:rPr>
          <w:rFonts w:ascii="Times New Roman" w:hAnsi="Times New Roman" w:cs="Times New Roman"/>
          <w:b/>
          <w:sz w:val="20"/>
          <w:szCs w:val="20"/>
        </w:rPr>
        <w:t xml:space="preserve">2. </w:t>
      </w:r>
      <w:r w:rsidRPr="00077AFF">
        <w:rPr>
          <w:rFonts w:ascii="Times New Roman" w:hAnsi="Times New Roman" w:cs="Times New Roman"/>
          <w:b/>
          <w:sz w:val="20"/>
          <w:szCs w:val="20"/>
        </w:rPr>
        <w:t xml:space="preserve">One tool used for this procedure is defined as a 2-D square lattice with spin one-half particles on its edges but may find </w:t>
      </w:r>
      <w:proofErr w:type="spellStart"/>
      <w:r w:rsidRPr="00077AFF">
        <w:rPr>
          <w:rFonts w:ascii="Times New Roman" w:hAnsi="Times New Roman" w:cs="Times New Roman"/>
          <w:b/>
          <w:sz w:val="20"/>
          <w:szCs w:val="20"/>
        </w:rPr>
        <w:t>anyons</w:t>
      </w:r>
      <w:proofErr w:type="spellEnd"/>
      <w:r w:rsidRPr="00077AFF">
        <w:rPr>
          <w:rFonts w:ascii="Times New Roman" w:hAnsi="Times New Roman" w:cs="Times New Roman"/>
          <w:b/>
          <w:sz w:val="20"/>
          <w:szCs w:val="20"/>
        </w:rPr>
        <w:t xml:space="preserve"> at its vertices or </w:t>
      </w:r>
      <w:proofErr w:type="spellStart"/>
      <w:r w:rsidRPr="00077AFF">
        <w:rPr>
          <w:rFonts w:ascii="Times New Roman" w:hAnsi="Times New Roman" w:cs="Times New Roman"/>
          <w:b/>
          <w:sz w:val="20"/>
          <w:szCs w:val="20"/>
        </w:rPr>
        <w:t>plaquettes</w:t>
      </w:r>
      <w:proofErr w:type="spellEnd"/>
      <w:r w:rsidRPr="00077AFF">
        <w:rPr>
          <w:rFonts w:ascii="Times New Roman" w:hAnsi="Times New Roman" w:cs="Times New Roman"/>
          <w:b/>
          <w:sz w:val="20"/>
          <w:szCs w:val="20"/>
        </w:rPr>
        <w:t>. Those “</w:t>
      </w:r>
      <w:proofErr w:type="spellStart"/>
      <w:r w:rsidRPr="00077AFF">
        <w:rPr>
          <w:rFonts w:ascii="Times New Roman" w:hAnsi="Times New Roman" w:cs="Times New Roman"/>
          <w:b/>
          <w:sz w:val="20"/>
          <w:szCs w:val="20"/>
        </w:rPr>
        <w:t>toric</w:t>
      </w:r>
      <w:proofErr w:type="spellEnd"/>
      <w:r w:rsidRPr="00077AFF">
        <w:rPr>
          <w:rFonts w:ascii="Times New Roman" w:hAnsi="Times New Roman" w:cs="Times New Roman"/>
          <w:b/>
          <w:sz w:val="20"/>
          <w:szCs w:val="20"/>
        </w:rPr>
        <w:t>” tools, as well as the “CSS” ones arose from the stabilizer theory of this procedure for quantum computing. After constructing a polynomial over a finite field, interpolation can be used for this procedure, or it can use syndrome decoding. This procedure often uses cyclic (*)</w:t>
      </w:r>
      <w:r>
        <w:rPr>
          <w:rFonts w:ascii="Times New Roman" w:hAnsi="Times New Roman" w:cs="Times New Roman"/>
          <w:sz w:val="20"/>
          <w:szCs w:val="20"/>
        </w:rPr>
        <w:t xml:space="preserve"> Reed-Solomon codes or Hamming codes. The “forward” type of this procedure is proactive and sometimes relies on horizontal or vertical redundancies. A source can confirm the number of set bits by using a parity bit, which is a specific type of tool used for this procedure known as a checksum. For 10 points, name this procedure by which the source data can be verified or reconstructed after faulty transmission.</w:t>
      </w:r>
    </w:p>
    <w:p w:rsidR="00077AFF" w:rsidRDefault="00077AFF" w:rsidP="00077AF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error correction</w:t>
      </w:r>
      <w:r>
        <w:rPr>
          <w:rFonts w:ascii="Times New Roman" w:hAnsi="Times New Roman" w:cs="Times New Roman"/>
          <w:sz w:val="20"/>
          <w:szCs w:val="20"/>
        </w:rPr>
        <w:t xml:space="preserve"> [accept word forms; accept </w:t>
      </w:r>
      <w:r>
        <w:rPr>
          <w:rFonts w:ascii="Times New Roman" w:hAnsi="Times New Roman" w:cs="Times New Roman"/>
          <w:b/>
          <w:sz w:val="20"/>
          <w:szCs w:val="20"/>
          <w:u w:val="single"/>
        </w:rPr>
        <w:t>error detection</w:t>
      </w:r>
      <w:r>
        <w:rPr>
          <w:rFonts w:ascii="Times New Roman" w:hAnsi="Times New Roman" w:cs="Times New Roman"/>
          <w:sz w:val="20"/>
          <w:szCs w:val="20"/>
        </w:rPr>
        <w:t>]</w:t>
      </w:r>
    </w:p>
    <w:p w:rsidR="00510D39" w:rsidRDefault="00510D39"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00077AFF" w:rsidRPr="00077AFF">
        <w:rPr>
          <w:rFonts w:ascii="Times New Roman" w:eastAsia="Times New Roman" w:hAnsi="Times New Roman" w:cs="Times New Roman"/>
          <w:b/>
          <w:bCs/>
          <w:color w:val="000000"/>
          <w:sz w:val="20"/>
          <w:szCs w:val="20"/>
        </w:rPr>
        <w:t>A coherent form of this phenomenon is impossible in media with a refractive index of unity, ruling out masers based on it in a vacuum. When the ratio of energy loss via inverse Compton emission to energy loss via this phenomenon is greater than 1, it results in the “inverse Compton catastrophe”, which puts a brightness limit on stationary sources of it. This phenomenon undergoes self-absorption past the peak of its spectrum, which occurs at point two nine times the critical frequency. In an astrophysical plasma whose plasma frequency is greater than this phenomenon’s frequency divided by gamma, this phenomenon is suppressed in the (*)</w:t>
      </w:r>
      <w:r w:rsidR="00077AFF" w:rsidRPr="00077AFF">
        <w:rPr>
          <w:rFonts w:ascii="Times New Roman" w:eastAsia="Times New Roman" w:hAnsi="Times New Roman" w:cs="Times New Roman"/>
          <w:color w:val="000000"/>
          <w:sz w:val="20"/>
          <w:szCs w:val="20"/>
        </w:rPr>
        <w:t xml:space="preserve"> </w:t>
      </w:r>
      <w:proofErr w:type="spellStart"/>
      <w:r w:rsidR="00077AFF" w:rsidRPr="00077AFF">
        <w:rPr>
          <w:rFonts w:ascii="Times New Roman" w:eastAsia="Times New Roman" w:hAnsi="Times New Roman" w:cs="Times New Roman"/>
          <w:color w:val="000000"/>
          <w:sz w:val="20"/>
          <w:szCs w:val="20"/>
        </w:rPr>
        <w:t>Razin</w:t>
      </w:r>
      <w:proofErr w:type="spellEnd"/>
      <w:r w:rsidR="00077AFF" w:rsidRPr="00077AFF">
        <w:rPr>
          <w:rFonts w:ascii="Times New Roman" w:eastAsia="Times New Roman" w:hAnsi="Times New Roman" w:cs="Times New Roman"/>
          <w:color w:val="000000"/>
          <w:sz w:val="20"/>
          <w:szCs w:val="20"/>
        </w:rPr>
        <w:t xml:space="preserve"> effect. The degree of polarization of this phenomenon is equal to the spectral index plus 1 over the spectral index plus 5/3. This phenomenon typically displays a steep negative spectral index. This phenomenon displays beaming in a cone of width of one over gamma, and follows a continuous power-law distribution across a broad range of frequencies. Jet emissions from active galactic nuclei are believed to be </w:t>
      </w:r>
      <w:r w:rsidR="00077AFF" w:rsidRPr="00077AFF">
        <w:rPr>
          <w:rFonts w:ascii="Times New Roman" w:eastAsia="Times New Roman" w:hAnsi="Times New Roman" w:cs="Times New Roman"/>
          <w:i/>
          <w:iCs/>
          <w:color w:val="000000"/>
          <w:sz w:val="20"/>
          <w:szCs w:val="20"/>
        </w:rPr>
        <w:t>this</w:t>
      </w:r>
      <w:r w:rsidR="00077AFF" w:rsidRPr="00077AFF">
        <w:rPr>
          <w:rFonts w:ascii="Times New Roman" w:eastAsia="Times New Roman" w:hAnsi="Times New Roman" w:cs="Times New Roman"/>
          <w:color w:val="000000"/>
          <w:sz w:val="20"/>
          <w:szCs w:val="20"/>
        </w:rPr>
        <w:t>, because said emissions are highly linearly polarized, as opposed to thermal emission. For 10 points, name this relativistic analogue of cyclotron radiation.</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synchrotron</w:t>
      </w:r>
      <w:r w:rsidRPr="00077AFF">
        <w:rPr>
          <w:rFonts w:ascii="Times New Roman" w:eastAsia="Times New Roman" w:hAnsi="Times New Roman" w:cs="Times New Roman"/>
          <w:color w:val="000000"/>
          <w:sz w:val="20"/>
          <w:szCs w:val="20"/>
        </w:rPr>
        <w:t xml:space="preserve"> radiation</w:t>
      </w:r>
    </w:p>
    <w:p w:rsidR="00077AFF" w:rsidRDefault="00077AFF" w:rsidP="00077AFF">
      <w:pPr>
        <w:spacing w:after="0" w:line="240" w:lineRule="auto"/>
        <w:rPr>
          <w:rFonts w:ascii="Times New Roman" w:eastAsia="Times New Roman" w:hAnsi="Times New Roman" w:cs="Times New Roman"/>
          <w:b/>
          <w:bCs/>
          <w:color w:val="000000"/>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4. </w:t>
      </w:r>
      <w:r w:rsidR="00077AFF" w:rsidRPr="00077AFF">
        <w:rPr>
          <w:rFonts w:ascii="Times New Roman" w:eastAsia="Times New Roman" w:hAnsi="Times New Roman" w:cs="Times New Roman"/>
          <w:b/>
          <w:bCs/>
          <w:color w:val="000000"/>
          <w:sz w:val="20"/>
          <w:szCs w:val="20"/>
        </w:rPr>
        <w:t xml:space="preserve">One set of molecules that localize to these structures are targeted here by CAB box motifs and often have composite H/ACA and C/D box motifs. The localization of SMN complex to these structures is disrupted by mutations in SOD1. Telomerase RNA requires these structures for localization to telomeres, and the primary component of these structures uses its C-terminus to interact with Sm proteins. P80, or </w:t>
      </w:r>
      <w:proofErr w:type="spellStart"/>
      <w:r w:rsidR="00077AFF" w:rsidRPr="00077AFF">
        <w:rPr>
          <w:rFonts w:ascii="Times New Roman" w:eastAsia="Times New Roman" w:hAnsi="Times New Roman" w:cs="Times New Roman"/>
          <w:b/>
          <w:bCs/>
          <w:color w:val="000000"/>
          <w:sz w:val="20"/>
          <w:szCs w:val="20"/>
        </w:rPr>
        <w:t>coilin</w:t>
      </w:r>
      <w:proofErr w:type="spellEnd"/>
      <w:r w:rsidR="00077AFF" w:rsidRPr="00077AFF">
        <w:rPr>
          <w:rFonts w:ascii="Times New Roman" w:eastAsia="Times New Roman" w:hAnsi="Times New Roman" w:cs="Times New Roman"/>
          <w:b/>
          <w:bCs/>
          <w:color w:val="000000"/>
          <w:sz w:val="20"/>
          <w:szCs w:val="20"/>
        </w:rPr>
        <w:t xml:space="preserve">, uniquely localizes to these structures. They are responsible for directing the assembly and maturation of </w:t>
      </w:r>
      <w:proofErr w:type="spellStart"/>
      <w:r w:rsidR="00077AFF" w:rsidRPr="00077AFF">
        <w:rPr>
          <w:rFonts w:ascii="Times New Roman" w:eastAsia="Times New Roman" w:hAnsi="Times New Roman" w:cs="Times New Roman"/>
          <w:b/>
          <w:bCs/>
          <w:color w:val="000000"/>
          <w:sz w:val="20"/>
          <w:szCs w:val="20"/>
        </w:rPr>
        <w:t>snRNPs</w:t>
      </w:r>
      <w:proofErr w:type="spellEnd"/>
      <w:r w:rsidR="00077AFF" w:rsidRPr="00077AFF">
        <w:rPr>
          <w:rFonts w:ascii="Times New Roman" w:eastAsia="Times New Roman" w:hAnsi="Times New Roman" w:cs="Times New Roman"/>
          <w:b/>
          <w:bCs/>
          <w:color w:val="000000"/>
          <w:sz w:val="20"/>
          <w:szCs w:val="20"/>
        </w:rPr>
        <w:t xml:space="preserve"> (</w:t>
      </w:r>
      <w:proofErr w:type="spellStart"/>
      <w:r w:rsidR="00077AFF" w:rsidRPr="00077AFF">
        <w:rPr>
          <w:rFonts w:ascii="Times New Roman" w:eastAsia="Times New Roman" w:hAnsi="Times New Roman" w:cs="Times New Roman"/>
          <w:b/>
          <w:bCs/>
          <w:color w:val="000000"/>
          <w:sz w:val="20"/>
          <w:szCs w:val="20"/>
        </w:rPr>
        <w:t>snurps</w:t>
      </w:r>
      <w:proofErr w:type="spellEnd"/>
      <w:r w:rsidR="00077AFF" w:rsidRPr="00077AFF">
        <w:rPr>
          <w:rFonts w:ascii="Times New Roman" w:eastAsia="Times New Roman" w:hAnsi="Times New Roman" w:cs="Times New Roman"/>
          <w:b/>
          <w:bCs/>
          <w:color w:val="000000"/>
          <w:sz w:val="20"/>
          <w:szCs w:val="20"/>
        </w:rPr>
        <w:t>), which are components of the (*)</w:t>
      </w:r>
      <w:r w:rsidR="00077AFF" w:rsidRPr="00077AFF">
        <w:rPr>
          <w:rFonts w:ascii="Times New Roman" w:eastAsia="Times New Roman" w:hAnsi="Times New Roman" w:cs="Times New Roman"/>
          <w:color w:val="000000"/>
          <w:sz w:val="20"/>
          <w:szCs w:val="20"/>
        </w:rPr>
        <w:t xml:space="preserve"> splicing machinery. These structures are between one-half and one micrometer in diameter and are found in the same compartment as </w:t>
      </w:r>
      <w:proofErr w:type="spellStart"/>
      <w:r w:rsidR="00077AFF" w:rsidRPr="00077AFF">
        <w:rPr>
          <w:rFonts w:ascii="Times New Roman" w:eastAsia="Times New Roman" w:hAnsi="Times New Roman" w:cs="Times New Roman"/>
          <w:color w:val="000000"/>
          <w:sz w:val="20"/>
          <w:szCs w:val="20"/>
        </w:rPr>
        <w:t>paraspeckles</w:t>
      </w:r>
      <w:proofErr w:type="spellEnd"/>
      <w:r w:rsidR="00077AFF" w:rsidRPr="00077AFF">
        <w:rPr>
          <w:rFonts w:ascii="Times New Roman" w:eastAsia="Times New Roman" w:hAnsi="Times New Roman" w:cs="Times New Roman"/>
          <w:color w:val="000000"/>
          <w:sz w:val="20"/>
          <w:szCs w:val="20"/>
        </w:rPr>
        <w:t xml:space="preserve">, GEMS, and PML bodies. In </w:t>
      </w:r>
      <w:proofErr w:type="spellStart"/>
      <w:r w:rsidR="00077AFF" w:rsidRPr="00077AFF">
        <w:rPr>
          <w:rFonts w:ascii="Times New Roman" w:eastAsia="Times New Roman" w:hAnsi="Times New Roman" w:cs="Times New Roman"/>
          <w:color w:val="000000"/>
          <w:sz w:val="20"/>
          <w:szCs w:val="20"/>
        </w:rPr>
        <w:t>nondividing</w:t>
      </w:r>
      <w:proofErr w:type="spellEnd"/>
      <w:r w:rsidR="00077AFF" w:rsidRPr="00077AFF">
        <w:rPr>
          <w:rFonts w:ascii="Times New Roman" w:eastAsia="Times New Roman" w:hAnsi="Times New Roman" w:cs="Times New Roman"/>
          <w:color w:val="000000"/>
          <w:sz w:val="20"/>
          <w:szCs w:val="20"/>
        </w:rPr>
        <w:t xml:space="preserve"> cells, these structures are often found near the nucleolus.  For 10 points, name these densely staining organelles found in the nucleus, which are often named for a Spanish neurologist.</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proofErr w:type="spellStart"/>
      <w:r w:rsidRPr="00077AFF">
        <w:rPr>
          <w:rFonts w:ascii="Times New Roman" w:eastAsia="Times New Roman" w:hAnsi="Times New Roman" w:cs="Times New Roman"/>
          <w:b/>
          <w:bCs/>
          <w:color w:val="000000"/>
          <w:sz w:val="20"/>
          <w:szCs w:val="20"/>
          <w:u w:val="single"/>
        </w:rPr>
        <w:t>Cajal</w:t>
      </w:r>
      <w:proofErr w:type="spellEnd"/>
      <w:r w:rsidRPr="00077AFF">
        <w:rPr>
          <w:rFonts w:ascii="Times New Roman" w:eastAsia="Times New Roman" w:hAnsi="Times New Roman" w:cs="Times New Roman"/>
          <w:color w:val="000000"/>
          <w:sz w:val="20"/>
          <w:szCs w:val="20"/>
        </w:rPr>
        <w:t xml:space="preserve"> bodies [or </w:t>
      </w:r>
      <w:r w:rsidRPr="00077AFF">
        <w:rPr>
          <w:rFonts w:ascii="Times New Roman" w:eastAsia="Times New Roman" w:hAnsi="Times New Roman" w:cs="Times New Roman"/>
          <w:b/>
          <w:bCs/>
          <w:color w:val="000000"/>
          <w:sz w:val="20"/>
          <w:szCs w:val="20"/>
          <w:u w:val="single"/>
        </w:rPr>
        <w:t>coiled bodies</w:t>
      </w:r>
      <w:r w:rsidRPr="00077AFF">
        <w:rPr>
          <w:rFonts w:ascii="Times New Roman" w:eastAsia="Times New Roman" w:hAnsi="Times New Roman" w:cs="Times New Roman"/>
          <w:color w:val="000000"/>
          <w:sz w:val="20"/>
          <w:szCs w:val="20"/>
        </w:rPr>
        <w:t>, prompt on “nuclear bodies”]</w:t>
      </w:r>
    </w:p>
    <w:p w:rsidR="00077AFF" w:rsidRDefault="00077AFF" w:rsidP="00077AFF">
      <w:pPr>
        <w:spacing w:after="0" w:line="240" w:lineRule="auto"/>
        <w:rPr>
          <w:rFonts w:ascii="Times New Roman" w:eastAsia="Times New Roman" w:hAnsi="Times New Roman" w:cs="Times New Roman"/>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077AFF" w:rsidRDefault="00F14537" w:rsidP="00077AFF">
      <w:pPr>
        <w:pStyle w:val="NormalWeb"/>
        <w:spacing w:before="0" w:beforeAutospacing="0" w:after="0" w:afterAutospacing="0"/>
      </w:pPr>
      <w:r>
        <w:rPr>
          <w:b/>
          <w:bCs/>
          <w:color w:val="000000"/>
          <w:sz w:val="20"/>
          <w:szCs w:val="20"/>
        </w:rPr>
        <w:lastRenderedPageBreak/>
        <w:t xml:space="preserve">5. </w:t>
      </w:r>
      <w:r w:rsidR="00077AFF">
        <w:rPr>
          <w:b/>
          <w:bCs/>
          <w:color w:val="000000"/>
          <w:sz w:val="20"/>
          <w:szCs w:val="20"/>
        </w:rPr>
        <w:t xml:space="preserve">Thrusters commonly use this metal mixed with aluminum oxide to decompose hydrazine. Complexes of this metal are commonly used in phosphorescent organic light-emitting diodes. A photo-activate-able piano stool compound containing this metal was characterized by both Graham et al and Bergman et al and was used to catalyze C-H bond activation. One catalyst containing this metal has it coordinated to </w:t>
      </w:r>
      <w:proofErr w:type="spellStart"/>
      <w:r w:rsidR="00077AFF">
        <w:rPr>
          <w:b/>
          <w:bCs/>
          <w:color w:val="000000"/>
          <w:sz w:val="20"/>
          <w:szCs w:val="20"/>
        </w:rPr>
        <w:t>tris-cyclohexylphosphine</w:t>
      </w:r>
      <w:proofErr w:type="spellEnd"/>
      <w:r w:rsidR="00077AFF">
        <w:rPr>
          <w:b/>
          <w:bCs/>
          <w:color w:val="000000"/>
          <w:sz w:val="20"/>
          <w:szCs w:val="20"/>
        </w:rPr>
        <w:t>, 1</w:t>
      </w:r>
      <w:proofErr w:type="gramStart"/>
      <w:r w:rsidR="00077AFF">
        <w:rPr>
          <w:b/>
          <w:bCs/>
          <w:color w:val="000000"/>
          <w:sz w:val="20"/>
          <w:szCs w:val="20"/>
        </w:rPr>
        <w:t>,5</w:t>
      </w:r>
      <w:proofErr w:type="gramEnd"/>
      <w:r w:rsidR="00077AFF">
        <w:rPr>
          <w:b/>
          <w:bCs/>
          <w:color w:val="000000"/>
          <w:sz w:val="20"/>
          <w:szCs w:val="20"/>
        </w:rPr>
        <w:t>-cyclo-octa-diene, and pyridine, and is bonded to a PF-6 counter-anion; that complex is more effective at heterogeneously catalyzing alkene hydrogenation than the (*)</w:t>
      </w:r>
      <w:r w:rsidR="00077AFF">
        <w:rPr>
          <w:color w:val="000000"/>
          <w:sz w:val="20"/>
          <w:szCs w:val="20"/>
        </w:rPr>
        <w:t xml:space="preserve"> rhodium-containing Wilkinson’s catalyst. One complex containing this element is a square-planar yellow powder with two tri-phenyl-phosphine groups that can reversibly bind O2. This element is at the center of a catalyst in a reaction that has supplanted the Monsanto process; that catalyst triggers the </w:t>
      </w:r>
      <w:proofErr w:type="spellStart"/>
      <w:r w:rsidR="00077AFF">
        <w:rPr>
          <w:color w:val="000000"/>
          <w:sz w:val="20"/>
          <w:szCs w:val="20"/>
        </w:rPr>
        <w:t>carbonylation</w:t>
      </w:r>
      <w:proofErr w:type="spellEnd"/>
      <w:r w:rsidR="00077AFF">
        <w:rPr>
          <w:color w:val="000000"/>
          <w:sz w:val="20"/>
          <w:szCs w:val="20"/>
        </w:rPr>
        <w:t xml:space="preserve"> of methanol and catalyzes the </w:t>
      </w:r>
      <w:proofErr w:type="spellStart"/>
      <w:r w:rsidR="00077AFF">
        <w:rPr>
          <w:color w:val="000000"/>
          <w:sz w:val="20"/>
          <w:szCs w:val="20"/>
        </w:rPr>
        <w:t>Cativa</w:t>
      </w:r>
      <w:proofErr w:type="spellEnd"/>
      <w:r w:rsidR="00077AFF">
        <w:rPr>
          <w:color w:val="000000"/>
          <w:sz w:val="20"/>
          <w:szCs w:val="20"/>
        </w:rPr>
        <w:t xml:space="preserve"> process. For 10 points, name this element central to Crabtree’s catalyst and </w:t>
      </w:r>
      <w:proofErr w:type="spellStart"/>
      <w:r w:rsidR="00077AFF">
        <w:rPr>
          <w:color w:val="000000"/>
          <w:sz w:val="20"/>
          <w:szCs w:val="20"/>
        </w:rPr>
        <w:t>Vaska’s</w:t>
      </w:r>
      <w:proofErr w:type="spellEnd"/>
      <w:r w:rsidR="00077AFF">
        <w:rPr>
          <w:color w:val="000000"/>
          <w:sz w:val="20"/>
          <w:szCs w:val="20"/>
        </w:rPr>
        <w:t xml:space="preserve"> complex, which is also present in abundance at the K-T boundary.</w:t>
      </w:r>
    </w:p>
    <w:p w:rsidR="00077AFF" w:rsidRDefault="00077AFF" w:rsidP="00077AFF">
      <w:pPr>
        <w:pStyle w:val="NormalWeb"/>
        <w:spacing w:before="0" w:beforeAutospacing="0" w:after="0" w:afterAutospacing="0"/>
      </w:pPr>
      <w:r>
        <w:rPr>
          <w:color w:val="000000"/>
          <w:sz w:val="20"/>
          <w:szCs w:val="20"/>
        </w:rPr>
        <w:t xml:space="preserve">ANSWER: </w:t>
      </w:r>
      <w:r>
        <w:rPr>
          <w:b/>
          <w:bCs/>
          <w:color w:val="000000"/>
          <w:sz w:val="20"/>
          <w:szCs w:val="20"/>
          <w:u w:val="single"/>
        </w:rPr>
        <w:t>Iridium</w:t>
      </w:r>
      <w:r>
        <w:rPr>
          <w:color w:val="000000"/>
          <w:sz w:val="20"/>
          <w:szCs w:val="20"/>
        </w:rPr>
        <w:t xml:space="preserve"> [or </w:t>
      </w:r>
      <w:proofErr w:type="spellStart"/>
      <w:r>
        <w:rPr>
          <w:b/>
          <w:bCs/>
          <w:color w:val="000000"/>
          <w:sz w:val="20"/>
          <w:szCs w:val="20"/>
          <w:u w:val="single"/>
        </w:rPr>
        <w:t>Ir</w:t>
      </w:r>
      <w:proofErr w:type="spellEnd"/>
      <w:r>
        <w:rPr>
          <w:color w:val="000000"/>
          <w:sz w:val="20"/>
          <w:szCs w:val="20"/>
        </w:rPr>
        <w:t>]</w:t>
      </w:r>
    </w:p>
    <w:p w:rsid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00077AFF" w:rsidRPr="00077AFF">
        <w:rPr>
          <w:rFonts w:ascii="Times New Roman" w:eastAsia="Times New Roman" w:hAnsi="Times New Roman" w:cs="Times New Roman"/>
          <w:b/>
          <w:bCs/>
          <w:color w:val="000000"/>
          <w:sz w:val="20"/>
          <w:szCs w:val="20"/>
        </w:rPr>
        <w:t xml:space="preserve">One extension to this method defines a function Y in terms of two different values of t; that is the method of multiple scales. Weinberg developed the “chiral” version of this method to apply it to nucleon-nucleon interactions in QCD, where it can be used to construct an effective </w:t>
      </w:r>
      <w:proofErr w:type="spellStart"/>
      <w:r w:rsidR="00077AFF" w:rsidRPr="00077AFF">
        <w:rPr>
          <w:rFonts w:ascii="Times New Roman" w:eastAsia="Times New Roman" w:hAnsi="Times New Roman" w:cs="Times New Roman"/>
          <w:b/>
          <w:bCs/>
          <w:color w:val="000000"/>
          <w:sz w:val="20"/>
          <w:szCs w:val="20"/>
        </w:rPr>
        <w:t>Lagrangian</w:t>
      </w:r>
      <w:proofErr w:type="spellEnd"/>
      <w:r w:rsidR="00077AFF" w:rsidRPr="00077AFF">
        <w:rPr>
          <w:rFonts w:ascii="Times New Roman" w:eastAsia="Times New Roman" w:hAnsi="Times New Roman" w:cs="Times New Roman"/>
          <w:b/>
          <w:bCs/>
          <w:color w:val="000000"/>
          <w:sz w:val="20"/>
          <w:szCs w:val="20"/>
        </w:rPr>
        <w:t>. This approach can be used to find the Rabi formula and the rate of spontaneous emission when applied to a forced two-level system. The interaction representation has to be used alongside this method to calculate the time-propagator when the system is</w:t>
      </w:r>
      <w:r w:rsidR="00077AFF" w:rsidRPr="00077AFF">
        <w:rPr>
          <w:rFonts w:ascii="Times New Roman" w:eastAsia="Times New Roman" w:hAnsi="Times New Roman" w:cs="Times New Roman"/>
          <w:color w:val="000000"/>
          <w:sz w:val="20"/>
          <w:szCs w:val="20"/>
        </w:rPr>
        <w:t xml:space="preserve"> </w:t>
      </w:r>
      <w:r w:rsidR="00077AFF" w:rsidRPr="00077AFF">
        <w:rPr>
          <w:rFonts w:ascii="Times New Roman" w:eastAsia="Times New Roman" w:hAnsi="Times New Roman" w:cs="Times New Roman"/>
          <w:b/>
          <w:bCs/>
          <w:color w:val="000000"/>
          <w:sz w:val="20"/>
          <w:szCs w:val="20"/>
        </w:rPr>
        <w:t xml:space="preserve">time-dependent. When applying this method to a (*) </w:t>
      </w:r>
      <w:r w:rsidR="00077AFF" w:rsidRPr="00077AFF">
        <w:rPr>
          <w:rFonts w:ascii="Times New Roman" w:eastAsia="Times New Roman" w:hAnsi="Times New Roman" w:cs="Times New Roman"/>
          <w:color w:val="000000"/>
          <w:sz w:val="20"/>
          <w:szCs w:val="20"/>
        </w:rPr>
        <w:t>degenerate state, a re-</w:t>
      </w:r>
      <w:proofErr w:type="spellStart"/>
      <w:r w:rsidR="00077AFF" w:rsidRPr="00077AFF">
        <w:rPr>
          <w:rFonts w:ascii="Times New Roman" w:eastAsia="Times New Roman" w:hAnsi="Times New Roman" w:cs="Times New Roman"/>
          <w:color w:val="000000"/>
          <w:sz w:val="20"/>
          <w:szCs w:val="20"/>
        </w:rPr>
        <w:t>diagonalization</w:t>
      </w:r>
      <w:proofErr w:type="spellEnd"/>
      <w:r w:rsidR="00077AFF" w:rsidRPr="00077AFF">
        <w:rPr>
          <w:rFonts w:ascii="Times New Roman" w:eastAsia="Times New Roman" w:hAnsi="Times New Roman" w:cs="Times New Roman"/>
          <w:color w:val="000000"/>
          <w:sz w:val="20"/>
          <w:szCs w:val="20"/>
        </w:rPr>
        <w:t xml:space="preserve"> of a certain operator in terms of degenerate states is required to solve the vanishing denominator problem; that method is used when this method is applied to the linear Stark effect. This method involves splitting the Hamiltonian into a “bare” Hamiltonian and another term, V, and then expanding in terms of a power series of some small parameter. For 10 points, name this method of approximating solutions to physical systems by considering the effects of a small namesake external force on the eigenvalues of the Hamiltonian.</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perturbation</w:t>
      </w:r>
      <w:r w:rsidRPr="00077AFF">
        <w:rPr>
          <w:rFonts w:ascii="Times New Roman" w:eastAsia="Times New Roman" w:hAnsi="Times New Roman" w:cs="Times New Roman"/>
          <w:color w:val="000000"/>
          <w:sz w:val="20"/>
          <w:szCs w:val="20"/>
        </w:rPr>
        <w:t xml:space="preserve"> theory</w:t>
      </w:r>
    </w:p>
    <w:p w:rsidR="00077AFF" w:rsidRDefault="00077AFF" w:rsidP="00077AFF">
      <w:pPr>
        <w:spacing w:after="0" w:line="240" w:lineRule="auto"/>
        <w:rPr>
          <w:rFonts w:ascii="Times New Roman" w:eastAsia="Times New Roman" w:hAnsi="Times New Roman" w:cs="Times New Roman"/>
          <w:b/>
          <w:bCs/>
          <w:color w:val="000000"/>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proofErr w:type="gramStart"/>
      <w:r w:rsidR="00077AFF" w:rsidRPr="00077AFF">
        <w:rPr>
          <w:rFonts w:ascii="Times New Roman" w:eastAsia="Times New Roman" w:hAnsi="Times New Roman" w:cs="Times New Roman"/>
          <w:b/>
          <w:bCs/>
          <w:color w:val="000000"/>
          <w:sz w:val="20"/>
          <w:szCs w:val="20"/>
        </w:rPr>
        <w:t>For</w:t>
      </w:r>
      <w:proofErr w:type="gramEnd"/>
      <w:r w:rsidR="00077AFF" w:rsidRPr="00077AFF">
        <w:rPr>
          <w:rFonts w:ascii="Times New Roman" w:eastAsia="Times New Roman" w:hAnsi="Times New Roman" w:cs="Times New Roman"/>
          <w:b/>
          <w:bCs/>
          <w:color w:val="000000"/>
          <w:sz w:val="20"/>
          <w:szCs w:val="20"/>
        </w:rPr>
        <w:t xml:space="preserve"> pure materials, this process can be accomplished using the Bridgman and </w:t>
      </w:r>
      <w:proofErr w:type="spellStart"/>
      <w:r w:rsidR="00077AFF" w:rsidRPr="00077AFF">
        <w:rPr>
          <w:rFonts w:ascii="Times New Roman" w:eastAsia="Times New Roman" w:hAnsi="Times New Roman" w:cs="Times New Roman"/>
          <w:b/>
          <w:bCs/>
          <w:color w:val="000000"/>
          <w:sz w:val="20"/>
          <w:szCs w:val="20"/>
        </w:rPr>
        <w:t>Czochralski</w:t>
      </w:r>
      <w:proofErr w:type="spellEnd"/>
      <w:r w:rsidR="00077AFF" w:rsidRPr="00077AFF">
        <w:rPr>
          <w:rFonts w:ascii="Times New Roman" w:eastAsia="Times New Roman" w:hAnsi="Times New Roman" w:cs="Times New Roman"/>
          <w:b/>
          <w:bCs/>
          <w:color w:val="000000"/>
          <w:sz w:val="20"/>
          <w:szCs w:val="20"/>
        </w:rPr>
        <w:t xml:space="preserve"> techniques; the latter can accommodate volume expansion during this process. The kinetics of this process can be described using an exponential equation named for </w:t>
      </w:r>
      <w:proofErr w:type="spellStart"/>
      <w:r w:rsidR="00077AFF" w:rsidRPr="00077AFF">
        <w:rPr>
          <w:rFonts w:ascii="Times New Roman" w:eastAsia="Times New Roman" w:hAnsi="Times New Roman" w:cs="Times New Roman"/>
          <w:b/>
          <w:bCs/>
          <w:color w:val="000000"/>
          <w:sz w:val="20"/>
          <w:szCs w:val="20"/>
        </w:rPr>
        <w:t>Avrami</w:t>
      </w:r>
      <w:proofErr w:type="spellEnd"/>
      <w:r w:rsidR="00077AFF" w:rsidRPr="00077AFF">
        <w:rPr>
          <w:rFonts w:ascii="Times New Roman" w:eastAsia="Times New Roman" w:hAnsi="Times New Roman" w:cs="Times New Roman"/>
          <w:b/>
          <w:bCs/>
          <w:color w:val="000000"/>
          <w:sz w:val="20"/>
          <w:szCs w:val="20"/>
        </w:rPr>
        <w:t xml:space="preserve">, and this process has been empirically observed to pass through multiple states of decreasing energy, known as Ostwald’s step rule. When this process occurs in polymers, a </w:t>
      </w:r>
      <w:proofErr w:type="spellStart"/>
      <w:proofErr w:type="gramStart"/>
      <w:r w:rsidR="00077AFF" w:rsidRPr="00077AFF">
        <w:rPr>
          <w:rFonts w:ascii="Times New Roman" w:eastAsia="Times New Roman" w:hAnsi="Times New Roman" w:cs="Times New Roman"/>
          <w:b/>
          <w:bCs/>
          <w:color w:val="000000"/>
          <w:sz w:val="20"/>
          <w:szCs w:val="20"/>
        </w:rPr>
        <w:t>maltese</w:t>
      </w:r>
      <w:proofErr w:type="spellEnd"/>
      <w:proofErr w:type="gramEnd"/>
      <w:r w:rsidR="00077AFF" w:rsidRPr="00077AFF">
        <w:rPr>
          <w:rFonts w:ascii="Times New Roman" w:eastAsia="Times New Roman" w:hAnsi="Times New Roman" w:cs="Times New Roman"/>
          <w:b/>
          <w:bCs/>
          <w:color w:val="000000"/>
          <w:sz w:val="20"/>
          <w:szCs w:val="20"/>
        </w:rPr>
        <w:t xml:space="preserve"> cross pattern can be visible in polarized light. During the initial step in this process, an (*)</w:t>
      </w:r>
      <w:r w:rsidR="00077AFF" w:rsidRPr="00077AFF">
        <w:rPr>
          <w:rFonts w:ascii="Times New Roman" w:eastAsia="Times New Roman" w:hAnsi="Times New Roman" w:cs="Times New Roman"/>
          <w:color w:val="000000"/>
          <w:sz w:val="20"/>
          <w:szCs w:val="20"/>
        </w:rPr>
        <w:t xml:space="preserve"> “embryo” must overcome a critical size determined by the Gibbs-Thomson effect. A theory predicting the rate of this process proposed by Burton, Cabrera, and Frank accounts for the small number of kink and step sites. That theory is based on the presence of screw dislocations and predicts that rate is proportional to the square of </w:t>
      </w:r>
      <w:proofErr w:type="spellStart"/>
      <w:r w:rsidR="00077AFF" w:rsidRPr="00077AFF">
        <w:rPr>
          <w:rFonts w:ascii="Times New Roman" w:eastAsia="Times New Roman" w:hAnsi="Times New Roman" w:cs="Times New Roman"/>
          <w:color w:val="000000"/>
          <w:sz w:val="20"/>
          <w:szCs w:val="20"/>
        </w:rPr>
        <w:t>supersaturation</w:t>
      </w:r>
      <w:proofErr w:type="spellEnd"/>
      <w:r w:rsidR="00077AFF" w:rsidRPr="00077AFF">
        <w:rPr>
          <w:rFonts w:ascii="Times New Roman" w:eastAsia="Times New Roman" w:hAnsi="Times New Roman" w:cs="Times New Roman"/>
          <w:color w:val="000000"/>
          <w:sz w:val="20"/>
          <w:szCs w:val="20"/>
        </w:rPr>
        <w:t xml:space="preserve"> for low </w:t>
      </w:r>
      <w:proofErr w:type="spellStart"/>
      <w:r w:rsidR="00077AFF" w:rsidRPr="00077AFF">
        <w:rPr>
          <w:rFonts w:ascii="Times New Roman" w:eastAsia="Times New Roman" w:hAnsi="Times New Roman" w:cs="Times New Roman"/>
          <w:color w:val="000000"/>
          <w:sz w:val="20"/>
          <w:szCs w:val="20"/>
        </w:rPr>
        <w:t>supersaturations</w:t>
      </w:r>
      <w:proofErr w:type="spellEnd"/>
      <w:r w:rsidR="00077AFF" w:rsidRPr="00077AFF">
        <w:rPr>
          <w:rFonts w:ascii="Times New Roman" w:eastAsia="Times New Roman" w:hAnsi="Times New Roman" w:cs="Times New Roman"/>
          <w:color w:val="000000"/>
          <w:sz w:val="20"/>
          <w:szCs w:val="20"/>
        </w:rPr>
        <w:t xml:space="preserve">. For 10 points, name this process in which a solute or liquid transitions into an ordered solid. </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crystal growth</w:t>
      </w:r>
      <w:r w:rsidRPr="00077AFF">
        <w:rPr>
          <w:rFonts w:ascii="Times New Roman" w:eastAsia="Times New Roman" w:hAnsi="Times New Roman" w:cs="Times New Roman"/>
          <w:color w:val="000000"/>
          <w:sz w:val="20"/>
          <w:szCs w:val="20"/>
        </w:rPr>
        <w:t xml:space="preserve"> [accept </w:t>
      </w:r>
      <w:r w:rsidRPr="00077AFF">
        <w:rPr>
          <w:rFonts w:ascii="Times New Roman" w:eastAsia="Times New Roman" w:hAnsi="Times New Roman" w:cs="Times New Roman"/>
          <w:b/>
          <w:bCs/>
          <w:color w:val="000000"/>
          <w:sz w:val="20"/>
          <w:szCs w:val="20"/>
          <w:u w:val="single"/>
        </w:rPr>
        <w:t xml:space="preserve">crystallization </w:t>
      </w:r>
      <w:r w:rsidRPr="00077AFF">
        <w:rPr>
          <w:rFonts w:ascii="Times New Roman" w:eastAsia="Times New Roman" w:hAnsi="Times New Roman" w:cs="Times New Roman"/>
          <w:color w:val="000000"/>
          <w:sz w:val="20"/>
          <w:szCs w:val="20"/>
        </w:rPr>
        <w:t>or obvious equivalents, prompt on “precipitation,” “solids formation,” or similar answers.]</w:t>
      </w:r>
    </w:p>
    <w:p w:rsidR="00077AFF" w:rsidRDefault="00077AFF" w:rsidP="00077AFF">
      <w:pPr>
        <w:spacing w:after="0" w:line="240" w:lineRule="auto"/>
        <w:rPr>
          <w:rFonts w:ascii="Times New Roman" w:eastAsia="Times New Roman" w:hAnsi="Times New Roman" w:cs="Times New Roman"/>
          <w:color w:val="000000"/>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00077AFF" w:rsidRPr="00077AFF">
        <w:rPr>
          <w:rFonts w:ascii="Times New Roman" w:eastAsia="Times New Roman" w:hAnsi="Times New Roman" w:cs="Times New Roman"/>
          <w:b/>
          <w:bCs/>
          <w:color w:val="000000"/>
          <w:sz w:val="20"/>
          <w:szCs w:val="20"/>
        </w:rPr>
        <w:t xml:space="preserve">Alan Boss posited an “instability” mechanism for this process, which avoids the “meter-size barrier”. One phase of this process has a rate that is proportional to </w:t>
      </w:r>
      <w:proofErr w:type="spellStart"/>
      <w:r w:rsidR="00077AFF" w:rsidRPr="00077AFF">
        <w:rPr>
          <w:rFonts w:ascii="Times New Roman" w:eastAsia="Times New Roman" w:hAnsi="Times New Roman" w:cs="Times New Roman"/>
          <w:b/>
          <w:bCs/>
          <w:color w:val="000000"/>
          <w:sz w:val="20"/>
          <w:szCs w:val="20"/>
        </w:rPr>
        <w:t>to</w:t>
      </w:r>
      <w:proofErr w:type="spellEnd"/>
      <w:r w:rsidR="00077AFF" w:rsidRPr="00077AFF">
        <w:rPr>
          <w:rFonts w:ascii="Times New Roman" w:eastAsia="Times New Roman" w:hAnsi="Times New Roman" w:cs="Times New Roman"/>
          <w:b/>
          <w:bCs/>
          <w:color w:val="000000"/>
          <w:sz w:val="20"/>
          <w:szCs w:val="20"/>
        </w:rPr>
        <w:t xml:space="preserve"> the </w:t>
      </w:r>
      <w:proofErr w:type="spellStart"/>
      <w:r w:rsidR="00077AFF" w:rsidRPr="00077AFF">
        <w:rPr>
          <w:rFonts w:ascii="Times New Roman" w:eastAsia="Times New Roman" w:hAnsi="Times New Roman" w:cs="Times New Roman"/>
          <w:b/>
          <w:bCs/>
          <w:color w:val="000000"/>
          <w:sz w:val="20"/>
          <w:szCs w:val="20"/>
        </w:rPr>
        <w:t>Safronov</w:t>
      </w:r>
      <w:proofErr w:type="spellEnd"/>
      <w:r w:rsidR="00077AFF" w:rsidRPr="00077AFF">
        <w:rPr>
          <w:rFonts w:ascii="Times New Roman" w:eastAsia="Times New Roman" w:hAnsi="Times New Roman" w:cs="Times New Roman"/>
          <w:b/>
          <w:bCs/>
          <w:color w:val="000000"/>
          <w:sz w:val="20"/>
          <w:szCs w:val="20"/>
        </w:rPr>
        <w:t xml:space="preserve"> number, which is an expression involving the ratio of the square of the escape velocity to the relative velocity. An early step in this process is the formation of a two-dimensional structure via the </w:t>
      </w:r>
      <w:proofErr w:type="spellStart"/>
      <w:r w:rsidR="00077AFF" w:rsidRPr="00077AFF">
        <w:rPr>
          <w:rFonts w:ascii="Times New Roman" w:eastAsia="Times New Roman" w:hAnsi="Times New Roman" w:cs="Times New Roman"/>
          <w:b/>
          <w:bCs/>
          <w:color w:val="000000"/>
          <w:sz w:val="20"/>
          <w:szCs w:val="20"/>
        </w:rPr>
        <w:t>Goldreich</w:t>
      </w:r>
      <w:proofErr w:type="spellEnd"/>
      <w:r w:rsidR="00077AFF" w:rsidRPr="00077AFF">
        <w:rPr>
          <w:rFonts w:ascii="Times New Roman" w:eastAsia="Times New Roman" w:hAnsi="Times New Roman" w:cs="Times New Roman"/>
          <w:b/>
          <w:bCs/>
          <w:color w:val="000000"/>
          <w:sz w:val="20"/>
          <w:szCs w:val="20"/>
        </w:rPr>
        <w:t xml:space="preserve">-Ward mechanism. One theory of </w:t>
      </w:r>
      <w:r w:rsidR="00077AFF" w:rsidRPr="00077AFF">
        <w:rPr>
          <w:rFonts w:ascii="Times New Roman" w:eastAsia="Times New Roman" w:hAnsi="Times New Roman" w:cs="Times New Roman"/>
          <w:b/>
          <w:bCs/>
          <w:i/>
          <w:iCs/>
          <w:color w:val="000000"/>
          <w:sz w:val="20"/>
          <w:szCs w:val="20"/>
        </w:rPr>
        <w:t xml:space="preserve">this process </w:t>
      </w:r>
      <w:r w:rsidR="00077AFF" w:rsidRPr="00077AFF">
        <w:rPr>
          <w:rFonts w:ascii="Times New Roman" w:eastAsia="Times New Roman" w:hAnsi="Times New Roman" w:cs="Times New Roman"/>
          <w:b/>
          <w:bCs/>
          <w:color w:val="000000"/>
          <w:sz w:val="20"/>
          <w:szCs w:val="20"/>
        </w:rPr>
        <w:t>posits an initial “runaway” phase followed by a slower “oligarchic” phase. This process is posited to go through a transition at the isolation mass, which is calculated from the (*)</w:t>
      </w:r>
      <w:r w:rsidR="00077AFF" w:rsidRPr="00077AFF">
        <w:rPr>
          <w:rFonts w:ascii="Times New Roman" w:eastAsia="Times New Roman" w:hAnsi="Times New Roman" w:cs="Times New Roman"/>
          <w:color w:val="000000"/>
          <w:sz w:val="20"/>
          <w:szCs w:val="20"/>
        </w:rPr>
        <w:t xml:space="preserve"> Hill sphere.  This process is posited to have been followed by a migration and rearrangement in the </w:t>
      </w:r>
      <w:proofErr w:type="gramStart"/>
      <w:r w:rsidR="00077AFF" w:rsidRPr="00077AFF">
        <w:rPr>
          <w:rFonts w:ascii="Times New Roman" w:eastAsia="Times New Roman" w:hAnsi="Times New Roman" w:cs="Times New Roman"/>
          <w:color w:val="000000"/>
          <w:sz w:val="20"/>
          <w:szCs w:val="20"/>
        </w:rPr>
        <w:t>Nice</w:t>
      </w:r>
      <w:proofErr w:type="gramEnd"/>
      <w:r w:rsidR="00077AFF" w:rsidRPr="00077AFF">
        <w:rPr>
          <w:rFonts w:ascii="Times New Roman" w:eastAsia="Times New Roman" w:hAnsi="Times New Roman" w:cs="Times New Roman"/>
          <w:color w:val="000000"/>
          <w:sz w:val="20"/>
          <w:szCs w:val="20"/>
        </w:rPr>
        <w:t xml:space="preserve"> model, which was used to explain the Late Heavy Bombardment. This process takes on the order of 10 million years and begins with a </w:t>
      </w:r>
      <w:proofErr w:type="spellStart"/>
      <w:r w:rsidR="00077AFF" w:rsidRPr="00077AFF">
        <w:rPr>
          <w:rFonts w:ascii="Times New Roman" w:eastAsia="Times New Roman" w:hAnsi="Times New Roman" w:cs="Times New Roman"/>
          <w:color w:val="000000"/>
          <w:sz w:val="20"/>
          <w:szCs w:val="20"/>
        </w:rPr>
        <w:t>circumstellar</w:t>
      </w:r>
      <w:proofErr w:type="spellEnd"/>
      <w:r w:rsidR="00077AFF" w:rsidRPr="00077AFF">
        <w:rPr>
          <w:rFonts w:ascii="Times New Roman" w:eastAsia="Times New Roman" w:hAnsi="Times New Roman" w:cs="Times New Roman"/>
          <w:color w:val="000000"/>
          <w:sz w:val="20"/>
          <w:szCs w:val="20"/>
        </w:rPr>
        <w:t xml:space="preserve"> disk according to the nebular hypothesis. For 10 points, name this process by which bodies like Mars and Jupiter form.</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planet formation</w:t>
      </w:r>
      <w:r w:rsidRPr="00077AFF">
        <w:rPr>
          <w:rFonts w:ascii="Times New Roman" w:eastAsia="Times New Roman" w:hAnsi="Times New Roman" w:cs="Times New Roman"/>
          <w:color w:val="000000"/>
          <w:sz w:val="20"/>
          <w:szCs w:val="20"/>
        </w:rPr>
        <w:t xml:space="preserve"> [or </w:t>
      </w:r>
      <w:r w:rsidRPr="00077AFF">
        <w:rPr>
          <w:rFonts w:ascii="Times New Roman" w:eastAsia="Times New Roman" w:hAnsi="Times New Roman" w:cs="Times New Roman"/>
          <w:b/>
          <w:bCs/>
          <w:color w:val="000000"/>
          <w:sz w:val="20"/>
          <w:szCs w:val="20"/>
          <w:u w:val="single"/>
        </w:rPr>
        <w:t>solar system formation</w:t>
      </w:r>
      <w:r w:rsidRPr="00077AFF">
        <w:rPr>
          <w:rFonts w:ascii="Times New Roman" w:eastAsia="Times New Roman" w:hAnsi="Times New Roman" w:cs="Times New Roman"/>
          <w:color w:val="000000"/>
          <w:sz w:val="20"/>
          <w:szCs w:val="20"/>
        </w:rPr>
        <w:t xml:space="preserve"> or common-language equivalents; anti-prompt on the formation of specific planets or moons]</w:t>
      </w:r>
    </w:p>
    <w:p w:rsidR="00077AFF" w:rsidRDefault="00077AFF"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077AFF" w:rsidRPr="00F14537" w:rsidRDefault="00F14537" w:rsidP="00077AFF">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lastRenderedPageBreak/>
        <w:t xml:space="preserve">9. </w:t>
      </w:r>
      <w:r w:rsidR="00077AFF" w:rsidRPr="00077AFF">
        <w:rPr>
          <w:rFonts w:ascii="Times New Roman" w:eastAsia="Times New Roman" w:hAnsi="Times New Roman" w:cs="Times New Roman"/>
          <w:b/>
          <w:bCs/>
          <w:color w:val="000000"/>
          <w:sz w:val="20"/>
          <w:szCs w:val="20"/>
        </w:rPr>
        <w:t xml:space="preserve">An artificial type of this protein generated by fusing </w:t>
      </w:r>
      <w:proofErr w:type="gramStart"/>
      <w:r w:rsidR="00077AFF" w:rsidRPr="00077AFF">
        <w:rPr>
          <w:rFonts w:ascii="Times New Roman" w:eastAsia="Times New Roman" w:hAnsi="Times New Roman" w:cs="Times New Roman"/>
          <w:b/>
          <w:bCs/>
          <w:color w:val="000000"/>
          <w:sz w:val="20"/>
          <w:szCs w:val="20"/>
        </w:rPr>
        <w:t>an</w:t>
      </w:r>
      <w:proofErr w:type="gramEnd"/>
      <w:r w:rsidR="00077AFF" w:rsidRPr="00077AFF">
        <w:rPr>
          <w:rFonts w:ascii="Times New Roman" w:eastAsia="Times New Roman" w:hAnsi="Times New Roman" w:cs="Times New Roman"/>
          <w:b/>
          <w:bCs/>
          <w:color w:val="000000"/>
          <w:sz w:val="20"/>
          <w:szCs w:val="20"/>
        </w:rPr>
        <w:t xml:space="preserve"> </w:t>
      </w:r>
      <w:proofErr w:type="spellStart"/>
      <w:r w:rsidR="00077AFF" w:rsidRPr="00077AFF">
        <w:rPr>
          <w:rFonts w:ascii="Times New Roman" w:eastAsia="Times New Roman" w:hAnsi="Times New Roman" w:cs="Times New Roman"/>
          <w:b/>
          <w:bCs/>
          <w:color w:val="000000"/>
          <w:sz w:val="20"/>
          <w:szCs w:val="20"/>
        </w:rPr>
        <w:t>scFv</w:t>
      </w:r>
      <w:proofErr w:type="spellEnd"/>
      <w:r w:rsidR="00077AFF" w:rsidRPr="00077AFF">
        <w:rPr>
          <w:rFonts w:ascii="Times New Roman" w:eastAsia="Times New Roman" w:hAnsi="Times New Roman" w:cs="Times New Roman"/>
          <w:b/>
          <w:bCs/>
          <w:color w:val="000000"/>
          <w:sz w:val="20"/>
          <w:szCs w:val="20"/>
        </w:rPr>
        <w:t xml:space="preserve"> to a transmembrane domain was used to cure Emma Whitehead of acute lymphocytic leukemia at Penn. The activation of this protein triggers the activation of the </w:t>
      </w:r>
      <w:proofErr w:type="spellStart"/>
      <w:r w:rsidR="00077AFF" w:rsidRPr="00077AFF">
        <w:rPr>
          <w:rFonts w:ascii="Times New Roman" w:eastAsia="Times New Roman" w:hAnsi="Times New Roman" w:cs="Times New Roman"/>
          <w:b/>
          <w:bCs/>
          <w:color w:val="000000"/>
          <w:sz w:val="20"/>
          <w:szCs w:val="20"/>
        </w:rPr>
        <w:t>Lck</w:t>
      </w:r>
      <w:proofErr w:type="spellEnd"/>
      <w:r w:rsidR="00077AFF" w:rsidRPr="00077AFF">
        <w:rPr>
          <w:rFonts w:ascii="Times New Roman" w:eastAsia="Times New Roman" w:hAnsi="Times New Roman" w:cs="Times New Roman"/>
          <w:b/>
          <w:bCs/>
          <w:color w:val="000000"/>
          <w:sz w:val="20"/>
          <w:szCs w:val="20"/>
        </w:rPr>
        <w:t xml:space="preserve"> kinase, which in turn phosphorylates the zeta chain and recruits ZAP70. A co-receptor for this protein is activated by CD80 and CD86. 95% of cells that have this protein have an alpha-beta heterodimer, but 5% have a gamma-delta heterodimer. This protein is directly activated by TSST-1 and other </w:t>
      </w:r>
      <w:proofErr w:type="spellStart"/>
      <w:r w:rsidR="00077AFF" w:rsidRPr="00077AFF">
        <w:rPr>
          <w:rFonts w:ascii="Times New Roman" w:eastAsia="Times New Roman" w:hAnsi="Times New Roman" w:cs="Times New Roman"/>
          <w:b/>
          <w:bCs/>
          <w:color w:val="000000"/>
          <w:sz w:val="20"/>
          <w:szCs w:val="20"/>
        </w:rPr>
        <w:t>superantigens</w:t>
      </w:r>
      <w:proofErr w:type="spellEnd"/>
      <w:r w:rsidR="00077AFF" w:rsidRPr="00077AFF">
        <w:rPr>
          <w:rFonts w:ascii="Times New Roman" w:eastAsia="Times New Roman" w:hAnsi="Times New Roman" w:cs="Times New Roman"/>
          <w:b/>
          <w:bCs/>
          <w:color w:val="000000"/>
          <w:sz w:val="20"/>
          <w:szCs w:val="20"/>
        </w:rPr>
        <w:t>, and like (*)</w:t>
      </w:r>
      <w:r w:rsidR="00077AFF" w:rsidRPr="00077AFF">
        <w:rPr>
          <w:rFonts w:ascii="Times New Roman" w:eastAsia="Times New Roman" w:hAnsi="Times New Roman" w:cs="Times New Roman"/>
          <w:color w:val="000000"/>
          <w:sz w:val="20"/>
          <w:szCs w:val="20"/>
        </w:rPr>
        <w:t xml:space="preserve"> antibodies the components of this protein are created through an error-prone process of VJ and VDJ recombination. This receptor requires co-stimulation from CD28, CD4, and/or CD8. This protein binds to linear peptides presented by either MHC class I or class II. For 10 points, name this receptor protein found on a type of lymphocyte that matures in the thymus and comes in helper and cytotoxic varieties.</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TCR</w:t>
      </w:r>
      <w:r w:rsidRPr="00077AFF">
        <w:rPr>
          <w:rFonts w:ascii="Times New Roman" w:eastAsia="Times New Roman" w:hAnsi="Times New Roman" w:cs="Times New Roman"/>
          <w:color w:val="000000"/>
          <w:sz w:val="20"/>
          <w:szCs w:val="20"/>
        </w:rPr>
        <w:t xml:space="preserve"> [or </w:t>
      </w:r>
      <w:r w:rsidRPr="00077AFF">
        <w:rPr>
          <w:rFonts w:ascii="Times New Roman" w:eastAsia="Times New Roman" w:hAnsi="Times New Roman" w:cs="Times New Roman"/>
          <w:b/>
          <w:bCs/>
          <w:color w:val="000000"/>
          <w:sz w:val="20"/>
          <w:szCs w:val="20"/>
          <w:u w:val="single"/>
        </w:rPr>
        <w:t>T-cell receptor</w:t>
      </w:r>
      <w:r w:rsidRPr="00077AFF">
        <w:rPr>
          <w:rFonts w:ascii="Times New Roman" w:eastAsia="Times New Roman" w:hAnsi="Times New Roman" w:cs="Times New Roman"/>
          <w:color w:val="000000"/>
          <w:sz w:val="20"/>
          <w:szCs w:val="20"/>
        </w:rPr>
        <w:t>]</w:t>
      </w:r>
    </w:p>
    <w:p w:rsidR="00077AFF" w:rsidRPr="00077AFF" w:rsidRDefault="00077AFF" w:rsidP="00077AFF">
      <w:pPr>
        <w:spacing w:after="0" w:line="240" w:lineRule="auto"/>
        <w:rPr>
          <w:rFonts w:ascii="Times New Roman" w:eastAsia="Times New Roman" w:hAnsi="Times New Roman" w:cs="Times New Roman"/>
          <w:color w:val="000000"/>
          <w:sz w:val="20"/>
          <w:szCs w:val="20"/>
        </w:rPr>
      </w:pPr>
    </w:p>
    <w:p w:rsidR="00077AFF" w:rsidRPr="00077AFF" w:rsidRDefault="00F14537" w:rsidP="00077AFF">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10. </w:t>
      </w:r>
      <w:r w:rsidR="00077AFF" w:rsidRPr="00077AFF">
        <w:rPr>
          <w:rFonts w:ascii="Times New Roman" w:hAnsi="Times New Roman" w:cs="Times New Roman"/>
          <w:b/>
          <w:sz w:val="20"/>
          <w:szCs w:val="20"/>
        </w:rPr>
        <w:t xml:space="preserve">Bruce Campbell has a cameo in this movie as an antagonist known as the “Surgeon General.” The protagonist is continually betrayed by the Steve </w:t>
      </w:r>
      <w:proofErr w:type="spellStart"/>
      <w:r w:rsidR="00077AFF" w:rsidRPr="00077AFF">
        <w:rPr>
          <w:rFonts w:ascii="Times New Roman" w:hAnsi="Times New Roman" w:cs="Times New Roman"/>
          <w:b/>
          <w:sz w:val="20"/>
          <w:szCs w:val="20"/>
        </w:rPr>
        <w:t>Buscemi</w:t>
      </w:r>
      <w:proofErr w:type="spellEnd"/>
      <w:r w:rsidR="00077AFF" w:rsidRPr="00077AFF">
        <w:rPr>
          <w:rFonts w:ascii="Times New Roman" w:hAnsi="Times New Roman" w:cs="Times New Roman"/>
          <w:b/>
          <w:sz w:val="20"/>
          <w:szCs w:val="20"/>
        </w:rPr>
        <w:t xml:space="preserve"> played “Map to the Stars” Eddie, who is a flunky of the Shining Path revolutionary </w:t>
      </w:r>
      <w:proofErr w:type="spellStart"/>
      <w:r w:rsidR="00077AFF" w:rsidRPr="00077AFF">
        <w:rPr>
          <w:rFonts w:ascii="Times New Roman" w:hAnsi="Times New Roman" w:cs="Times New Roman"/>
          <w:b/>
          <w:sz w:val="20"/>
          <w:szCs w:val="20"/>
        </w:rPr>
        <w:t>Cuervo</w:t>
      </w:r>
      <w:proofErr w:type="spellEnd"/>
      <w:r w:rsidR="00077AFF" w:rsidRPr="00077AFF">
        <w:rPr>
          <w:rFonts w:ascii="Times New Roman" w:hAnsi="Times New Roman" w:cs="Times New Roman"/>
          <w:b/>
          <w:sz w:val="20"/>
          <w:szCs w:val="20"/>
        </w:rPr>
        <w:t xml:space="preserve"> Jones. It ends with a character saying “welcome to the human race” after using the Sword of Damocles super weapon to destroy all electronics on the planet. The protagonist of this film is dispatched to an island to rescue the ultra-religious</w:t>
      </w:r>
      <w:r w:rsidR="00077AFF">
        <w:rPr>
          <w:rFonts w:ascii="Times New Roman" w:hAnsi="Times New Roman" w:cs="Times New Roman"/>
          <w:b/>
          <w:sz w:val="20"/>
          <w:szCs w:val="20"/>
        </w:rPr>
        <w:t xml:space="preserve"> (*)</w:t>
      </w:r>
      <w:r w:rsidR="00077AFF" w:rsidRPr="00077AFF">
        <w:rPr>
          <w:rFonts w:ascii="Times New Roman" w:hAnsi="Times New Roman" w:cs="Times New Roman"/>
          <w:sz w:val="20"/>
          <w:szCs w:val="20"/>
        </w:rPr>
        <w:t xml:space="preserve"> President’s daughter. The title location has become an island “city of sin” after an earthquake struck California in 2000. For 10 points, name this 1996 sci-fi sequel directed by John Carpenter, which further shows off Snake </w:t>
      </w:r>
      <w:proofErr w:type="spellStart"/>
      <w:r w:rsidR="00077AFF" w:rsidRPr="00077AFF">
        <w:rPr>
          <w:rFonts w:ascii="Times New Roman" w:hAnsi="Times New Roman" w:cs="Times New Roman"/>
          <w:sz w:val="20"/>
          <w:szCs w:val="20"/>
        </w:rPr>
        <w:t>Plissken’s</w:t>
      </w:r>
      <w:proofErr w:type="spellEnd"/>
      <w:r w:rsidR="00077AFF" w:rsidRPr="00077AFF">
        <w:rPr>
          <w:rFonts w:ascii="Times New Roman" w:hAnsi="Times New Roman" w:cs="Times New Roman"/>
          <w:sz w:val="20"/>
          <w:szCs w:val="20"/>
        </w:rPr>
        <w:t xml:space="preserve"> adventures after </w:t>
      </w:r>
      <w:r w:rsidR="00077AFF" w:rsidRPr="00077AFF">
        <w:rPr>
          <w:rFonts w:ascii="Times New Roman" w:hAnsi="Times New Roman" w:cs="Times New Roman"/>
          <w:i/>
          <w:sz w:val="20"/>
          <w:szCs w:val="20"/>
        </w:rPr>
        <w:t>Escape from New York</w:t>
      </w:r>
      <w:r w:rsidR="00077AFF" w:rsidRPr="00077AFF">
        <w:rPr>
          <w:rFonts w:ascii="Times New Roman" w:hAnsi="Times New Roman" w:cs="Times New Roman"/>
          <w:sz w:val="20"/>
          <w:szCs w:val="20"/>
        </w:rPr>
        <w:t>.</w:t>
      </w:r>
    </w:p>
    <w:p w:rsidR="00077AFF" w:rsidRPr="00077AFF" w:rsidRDefault="00077AFF" w:rsidP="00077AFF">
      <w:pPr>
        <w:spacing w:after="0" w:line="240" w:lineRule="auto"/>
        <w:rPr>
          <w:rFonts w:ascii="Times New Roman" w:hAnsi="Times New Roman" w:cs="Times New Roman"/>
          <w:sz w:val="20"/>
          <w:szCs w:val="20"/>
        </w:rPr>
      </w:pPr>
      <w:r w:rsidRPr="00077AFF">
        <w:rPr>
          <w:rFonts w:ascii="Times New Roman" w:hAnsi="Times New Roman" w:cs="Times New Roman"/>
          <w:sz w:val="20"/>
          <w:szCs w:val="20"/>
        </w:rPr>
        <w:t xml:space="preserve">ANSWER: </w:t>
      </w:r>
      <w:r w:rsidRPr="00077AFF">
        <w:rPr>
          <w:rFonts w:ascii="Times New Roman" w:hAnsi="Times New Roman" w:cs="Times New Roman"/>
          <w:b/>
          <w:i/>
          <w:sz w:val="20"/>
          <w:szCs w:val="20"/>
          <w:u w:val="single"/>
        </w:rPr>
        <w:t>Escape from L.A.</w:t>
      </w:r>
    </w:p>
    <w:p w:rsidR="00077AFF" w:rsidRP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11. </w:t>
      </w:r>
      <w:proofErr w:type="spellStart"/>
      <w:r w:rsidR="00077AFF" w:rsidRPr="00077AFF">
        <w:rPr>
          <w:rFonts w:ascii="Times New Roman" w:eastAsia="Times New Roman" w:hAnsi="Times New Roman" w:cs="Times New Roman"/>
          <w:b/>
          <w:bCs/>
          <w:color w:val="000000"/>
          <w:sz w:val="20"/>
          <w:szCs w:val="20"/>
        </w:rPr>
        <w:t>Sikivie</w:t>
      </w:r>
      <w:proofErr w:type="spellEnd"/>
      <w:r w:rsidR="00077AFF" w:rsidRPr="00077AFF">
        <w:rPr>
          <w:rFonts w:ascii="Times New Roman" w:eastAsia="Times New Roman" w:hAnsi="Times New Roman" w:cs="Times New Roman"/>
          <w:b/>
          <w:bCs/>
          <w:color w:val="000000"/>
          <w:sz w:val="20"/>
          <w:szCs w:val="20"/>
        </w:rPr>
        <w:t xml:space="preserve"> developed a method of detecting these particles using a resonant cavity, taking advantage of the fact that it decays into one real and one virtual photon. The “misalignment mechanism” is one method of producing these particles in the early universe, in which they take on a random mass before inflation fixes their mass. Two “invisible” forms of this particle can be distinguished by looking at the ratio of their electromagnetic and color anomalies, which is eight-thirds in the DFSZ model and 0 in the KSVZ model. One method of creating these particles involves firing a laser through a five tesla dipole magnet, called the “shining light through walls” method. In stars, this particle may be produced by a pair of photons interacting with an atomic nucleus via the (*)</w:t>
      </w:r>
      <w:r w:rsidR="00077AFF" w:rsidRPr="00077AFF">
        <w:rPr>
          <w:rFonts w:ascii="Times New Roman" w:eastAsia="Times New Roman" w:hAnsi="Times New Roman" w:cs="Times New Roman"/>
          <w:color w:val="000000"/>
          <w:sz w:val="20"/>
          <w:szCs w:val="20"/>
        </w:rPr>
        <w:t xml:space="preserve"> </w:t>
      </w:r>
      <w:proofErr w:type="spellStart"/>
      <w:r w:rsidR="00077AFF" w:rsidRPr="00077AFF">
        <w:rPr>
          <w:rFonts w:ascii="Times New Roman" w:eastAsia="Times New Roman" w:hAnsi="Times New Roman" w:cs="Times New Roman"/>
          <w:color w:val="000000"/>
          <w:sz w:val="20"/>
          <w:szCs w:val="20"/>
        </w:rPr>
        <w:t>Primakoff</w:t>
      </w:r>
      <w:proofErr w:type="spellEnd"/>
      <w:r w:rsidR="00077AFF" w:rsidRPr="00077AFF">
        <w:rPr>
          <w:rFonts w:ascii="Times New Roman" w:eastAsia="Times New Roman" w:hAnsi="Times New Roman" w:cs="Times New Roman"/>
          <w:color w:val="000000"/>
          <w:sz w:val="20"/>
          <w:szCs w:val="20"/>
        </w:rPr>
        <w:t xml:space="preserve"> effect. The ADMX experiment attempts to find this particle in the dark matter halo of the Milky Way, and the existence of this particle is posited to explain the low value of the theta parameter in the QCD </w:t>
      </w:r>
      <w:proofErr w:type="spellStart"/>
      <w:r w:rsidR="00077AFF" w:rsidRPr="00077AFF">
        <w:rPr>
          <w:rFonts w:ascii="Times New Roman" w:eastAsia="Times New Roman" w:hAnsi="Times New Roman" w:cs="Times New Roman"/>
          <w:color w:val="000000"/>
          <w:sz w:val="20"/>
          <w:szCs w:val="20"/>
        </w:rPr>
        <w:t>Lagrangian</w:t>
      </w:r>
      <w:proofErr w:type="spellEnd"/>
      <w:r w:rsidR="00077AFF" w:rsidRPr="00077AFF">
        <w:rPr>
          <w:rFonts w:ascii="Times New Roman" w:eastAsia="Times New Roman" w:hAnsi="Times New Roman" w:cs="Times New Roman"/>
          <w:color w:val="000000"/>
          <w:sz w:val="20"/>
          <w:szCs w:val="20"/>
        </w:rPr>
        <w:t xml:space="preserve">. For 10 points, name these hypothetical particles that were posited by </w:t>
      </w:r>
      <w:proofErr w:type="spellStart"/>
      <w:r w:rsidR="00077AFF" w:rsidRPr="00077AFF">
        <w:rPr>
          <w:rFonts w:ascii="Times New Roman" w:eastAsia="Times New Roman" w:hAnsi="Times New Roman" w:cs="Times New Roman"/>
          <w:color w:val="000000"/>
          <w:sz w:val="20"/>
          <w:szCs w:val="20"/>
        </w:rPr>
        <w:t>Peccei</w:t>
      </w:r>
      <w:proofErr w:type="spellEnd"/>
      <w:r w:rsidR="00077AFF" w:rsidRPr="00077AFF">
        <w:rPr>
          <w:rFonts w:ascii="Times New Roman" w:eastAsia="Times New Roman" w:hAnsi="Times New Roman" w:cs="Times New Roman"/>
          <w:color w:val="000000"/>
          <w:sz w:val="20"/>
          <w:szCs w:val="20"/>
        </w:rPr>
        <w:t xml:space="preserve"> and Quinn to solve the strong-CP problem.</w:t>
      </w:r>
    </w:p>
    <w:p w:rsidR="00077AFF" w:rsidRDefault="00077AFF" w:rsidP="00077AFF">
      <w:pPr>
        <w:spacing w:after="0" w:line="240" w:lineRule="auto"/>
        <w:rPr>
          <w:rFonts w:ascii="Times New Roman" w:eastAsia="Times New Roman" w:hAnsi="Times New Roman" w:cs="Times New Roman"/>
          <w:b/>
          <w:bCs/>
          <w:color w:val="000000"/>
          <w:sz w:val="20"/>
          <w:szCs w:val="20"/>
          <w:u w:val="single"/>
        </w:rPr>
      </w:pPr>
      <w:r w:rsidRPr="00077AFF">
        <w:rPr>
          <w:rFonts w:ascii="Times New Roman" w:eastAsia="Times New Roman" w:hAnsi="Times New Roman" w:cs="Times New Roman"/>
          <w:color w:val="000000"/>
          <w:sz w:val="20"/>
          <w:szCs w:val="20"/>
        </w:rPr>
        <w:t xml:space="preserve">ANSWER: </w:t>
      </w:r>
      <w:proofErr w:type="spellStart"/>
      <w:r w:rsidRPr="00077AFF">
        <w:rPr>
          <w:rFonts w:ascii="Times New Roman" w:eastAsia="Times New Roman" w:hAnsi="Times New Roman" w:cs="Times New Roman"/>
          <w:b/>
          <w:bCs/>
          <w:color w:val="000000"/>
          <w:sz w:val="20"/>
          <w:szCs w:val="20"/>
          <w:u w:val="single"/>
        </w:rPr>
        <w:t>axion</w:t>
      </w:r>
      <w:proofErr w:type="spellEnd"/>
    </w:p>
    <w:p w:rsidR="00077AFF" w:rsidRP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12. </w:t>
      </w:r>
      <w:r w:rsidR="00077AFF" w:rsidRPr="00077AFF">
        <w:rPr>
          <w:rFonts w:ascii="Times New Roman" w:hAnsi="Times New Roman" w:cs="Times New Roman"/>
          <w:b/>
          <w:sz w:val="20"/>
          <w:szCs w:val="20"/>
        </w:rPr>
        <w:t>This man formulated a Turing-complete triplet with initial words and production rules that generates a formal language, and the priority method of proof was developed when solving a question asked by him. Another problem posed by this man gives sigma with at least two symbols and two sequences of strings over sigma and asks whether there is some sequence of indices such that the two sequences of strings are equivalent over those indices. This namesake of a (*)</w:t>
      </w:r>
      <w:r w:rsidR="00077AFF" w:rsidRPr="00077AFF">
        <w:rPr>
          <w:rFonts w:ascii="Times New Roman" w:hAnsi="Times New Roman" w:cs="Times New Roman"/>
          <w:sz w:val="20"/>
          <w:szCs w:val="20"/>
        </w:rPr>
        <w:t xml:space="preserve"> “canonical system” also asked whether there exists a recursively enumerable set with Turing degree less than the degree of the halting problem. Determining whether a context-free grammar is ambiguous can easily be shown to be undecidable using a reduction from the most famous problem named for this man. For 10 points, name this computer scientist who posed an undecidable correspondence problem.</w:t>
      </w:r>
    </w:p>
    <w:p w:rsidR="00077AFF" w:rsidRPr="00077AFF" w:rsidRDefault="00077AFF" w:rsidP="00077AFF">
      <w:pPr>
        <w:spacing w:after="0" w:line="240" w:lineRule="auto"/>
        <w:rPr>
          <w:rFonts w:ascii="Times New Roman" w:hAnsi="Times New Roman" w:cs="Times New Roman"/>
          <w:sz w:val="20"/>
          <w:szCs w:val="20"/>
        </w:rPr>
      </w:pPr>
      <w:r w:rsidRPr="00077AFF">
        <w:rPr>
          <w:rFonts w:ascii="Times New Roman" w:hAnsi="Times New Roman" w:cs="Times New Roman"/>
          <w:sz w:val="20"/>
          <w:szCs w:val="20"/>
        </w:rPr>
        <w:t xml:space="preserve">ANSWER: Emil Leon </w:t>
      </w:r>
      <w:r w:rsidRPr="00077AFF">
        <w:rPr>
          <w:rFonts w:ascii="Times New Roman" w:hAnsi="Times New Roman" w:cs="Times New Roman"/>
          <w:b/>
          <w:sz w:val="20"/>
          <w:szCs w:val="20"/>
          <w:u w:val="single"/>
        </w:rPr>
        <w:t>Post</w:t>
      </w:r>
    </w:p>
    <w:p w:rsidR="00077AFF" w:rsidRPr="00077AFF" w:rsidRDefault="00077AFF"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F14537" w:rsidRDefault="00F14537" w:rsidP="00077AFF">
      <w:pPr>
        <w:spacing w:after="0" w:line="240" w:lineRule="auto"/>
        <w:rPr>
          <w:rFonts w:ascii="Times New Roman" w:eastAsia="Times New Roman" w:hAnsi="Times New Roman" w:cs="Times New Roman"/>
          <w:b/>
          <w:bCs/>
          <w:color w:val="000000"/>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13. </w:t>
      </w:r>
      <w:r w:rsidR="00077AFF" w:rsidRPr="00077AFF">
        <w:rPr>
          <w:rFonts w:ascii="Times New Roman" w:eastAsia="Times New Roman" w:hAnsi="Times New Roman" w:cs="Times New Roman"/>
          <w:b/>
          <w:bCs/>
          <w:color w:val="000000"/>
          <w:sz w:val="20"/>
          <w:szCs w:val="20"/>
        </w:rPr>
        <w:t xml:space="preserve">Several different instances of this phenomenon can be measured simultaneously using Dan Singleton’s multiplexed high-field NMR method. The solvent-controlled version of this phenomenon is modelled by the </w:t>
      </w:r>
      <w:proofErr w:type="spellStart"/>
      <w:r w:rsidR="00077AFF" w:rsidRPr="00077AFF">
        <w:rPr>
          <w:rFonts w:ascii="Times New Roman" w:eastAsia="Times New Roman" w:hAnsi="Times New Roman" w:cs="Times New Roman"/>
          <w:b/>
          <w:bCs/>
          <w:color w:val="000000"/>
          <w:sz w:val="20"/>
          <w:szCs w:val="20"/>
        </w:rPr>
        <w:t>Kresge</w:t>
      </w:r>
      <w:proofErr w:type="spellEnd"/>
      <w:r w:rsidR="00077AFF" w:rsidRPr="00077AFF">
        <w:rPr>
          <w:rFonts w:ascii="Times New Roman" w:eastAsia="Times New Roman" w:hAnsi="Times New Roman" w:cs="Times New Roman"/>
          <w:b/>
          <w:bCs/>
          <w:color w:val="000000"/>
          <w:sz w:val="20"/>
          <w:szCs w:val="20"/>
        </w:rPr>
        <w:t xml:space="preserve">-Gross-Butler equation, which is used to model experiments in which this thing arises from fractionation across various sites. The </w:t>
      </w:r>
      <w:proofErr w:type="spellStart"/>
      <w:r w:rsidR="00077AFF" w:rsidRPr="00077AFF">
        <w:rPr>
          <w:rFonts w:ascii="Times New Roman" w:eastAsia="Times New Roman" w:hAnsi="Times New Roman" w:cs="Times New Roman"/>
          <w:b/>
          <w:bCs/>
          <w:color w:val="000000"/>
          <w:sz w:val="20"/>
          <w:szCs w:val="20"/>
        </w:rPr>
        <w:t>agostic</w:t>
      </w:r>
      <w:proofErr w:type="spellEnd"/>
      <w:r w:rsidR="00077AFF" w:rsidRPr="00077AFF">
        <w:rPr>
          <w:rFonts w:ascii="Times New Roman" w:eastAsia="Times New Roman" w:hAnsi="Times New Roman" w:cs="Times New Roman"/>
          <w:b/>
          <w:bCs/>
          <w:color w:val="000000"/>
          <w:sz w:val="20"/>
          <w:szCs w:val="20"/>
        </w:rPr>
        <w:t xml:space="preserve"> interaction can cause this effect to be inverted in metal hydride clusters undergoing beta-elimination, and in general the strength of this phenomenon is given as the product of the ratio of symmetry numbers times a term encoding vibrational excitation times zero-point energy contributions. Parameters characterizing two different types of this phenomenon can be converted between using an exponent of 1.442 in the (*)</w:t>
      </w:r>
      <w:r w:rsidR="00077AFF" w:rsidRPr="00077AFF">
        <w:rPr>
          <w:rFonts w:ascii="Times New Roman" w:eastAsia="Times New Roman" w:hAnsi="Times New Roman" w:cs="Times New Roman"/>
          <w:color w:val="000000"/>
          <w:sz w:val="20"/>
          <w:szCs w:val="20"/>
        </w:rPr>
        <w:t xml:space="preserve"> Swain equation. When a very large instance of this phenomenon is largely independent of temperature and cannot entirely be explained by differences in zero-point energy, then tunneling is considered. These phenomena can be divided into primary or secondary based on whether they directly involve the bond being broken in the rate-limiting step. For 10 points, name this effect important in studying reaction kinetics, in which replacing one atom with a heavier analogue affects the speed of a reaction.</w:t>
      </w:r>
    </w:p>
    <w:p w:rsidR="00077AFF" w:rsidRDefault="00077AFF" w:rsidP="00077AFF">
      <w:pPr>
        <w:spacing w:after="0" w:line="240" w:lineRule="auto"/>
        <w:rPr>
          <w:rFonts w:ascii="Times New Roman" w:eastAsia="Times New Roman" w:hAnsi="Times New Roman" w:cs="Times New Roman"/>
          <w:b/>
          <w:bCs/>
          <w:color w:val="000000"/>
          <w:sz w:val="20"/>
          <w:szCs w:val="20"/>
          <w:u w:val="single"/>
        </w:rPr>
      </w:pPr>
      <w:r w:rsidRPr="00077AFF">
        <w:rPr>
          <w:rFonts w:ascii="Times New Roman" w:eastAsia="Times New Roman" w:hAnsi="Times New Roman" w:cs="Times New Roman"/>
          <w:color w:val="000000"/>
          <w:sz w:val="20"/>
          <w:szCs w:val="20"/>
        </w:rPr>
        <w:t xml:space="preserve">ANSWER: kinetic </w:t>
      </w:r>
      <w:r w:rsidRPr="00077AFF">
        <w:rPr>
          <w:rFonts w:ascii="Times New Roman" w:eastAsia="Times New Roman" w:hAnsi="Times New Roman" w:cs="Times New Roman"/>
          <w:b/>
          <w:bCs/>
          <w:color w:val="000000"/>
          <w:sz w:val="20"/>
          <w:szCs w:val="20"/>
          <w:u w:val="single"/>
        </w:rPr>
        <w:t>isotope effect</w:t>
      </w:r>
    </w:p>
    <w:p w:rsidR="00077AFF" w:rsidRDefault="00077AFF" w:rsidP="00077AFF">
      <w:pPr>
        <w:spacing w:after="0" w:line="240" w:lineRule="auto"/>
        <w:rPr>
          <w:rFonts w:ascii="Times New Roman" w:eastAsia="Times New Roman" w:hAnsi="Times New Roman" w:cs="Times New Roman"/>
          <w:b/>
          <w:bCs/>
          <w:color w:val="000000"/>
          <w:sz w:val="20"/>
          <w:szCs w:val="20"/>
          <w:u w:val="single"/>
        </w:rPr>
      </w:pPr>
    </w:p>
    <w:p w:rsidR="00F14537" w:rsidRPr="00542FA4" w:rsidRDefault="00F14537" w:rsidP="00F14537">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14. For a system containing stress-free surfaces, the critical value of this quantity is equal to twenty-seven over 4 times pi to the fourth power. For the Earth’s mantle, this quantity is proportional to the product of the fifth power of the depth of the mantle and the radiogenic heat production. </w:t>
      </w:r>
      <w:r w:rsidRPr="00542FA4">
        <w:rPr>
          <w:rFonts w:ascii="Times New Roman" w:hAnsi="Times New Roman" w:cs="Times New Roman"/>
          <w:b/>
          <w:sz w:val="20"/>
          <w:szCs w:val="20"/>
        </w:rPr>
        <w:t>In one system, the critical value of this quantity is equal to 1708</w:t>
      </w:r>
      <w:r>
        <w:rPr>
          <w:rFonts w:ascii="Times New Roman" w:hAnsi="Times New Roman" w:cs="Times New Roman"/>
          <w:b/>
          <w:sz w:val="20"/>
          <w:szCs w:val="20"/>
        </w:rPr>
        <w:t xml:space="preserve"> at an eigenvalue of 3.2</w:t>
      </w:r>
      <w:r w:rsidRPr="00542FA4">
        <w:rPr>
          <w:rFonts w:ascii="Times New Roman" w:hAnsi="Times New Roman" w:cs="Times New Roman"/>
          <w:b/>
          <w:sz w:val="20"/>
          <w:szCs w:val="20"/>
        </w:rPr>
        <w:t>, above which the system forms</w:t>
      </w:r>
      <w:r>
        <w:rPr>
          <w:rFonts w:ascii="Times New Roman" w:hAnsi="Times New Roman" w:cs="Times New Roman"/>
          <w:b/>
          <w:sz w:val="20"/>
          <w:szCs w:val="20"/>
        </w:rPr>
        <w:t xml:space="preserve"> </w:t>
      </w:r>
      <w:proofErr w:type="spellStart"/>
      <w:r w:rsidRPr="00542FA4">
        <w:rPr>
          <w:rFonts w:ascii="Times New Roman" w:hAnsi="Times New Roman" w:cs="Times New Roman"/>
          <w:b/>
          <w:sz w:val="20"/>
          <w:szCs w:val="20"/>
        </w:rPr>
        <w:t>Benard</w:t>
      </w:r>
      <w:proofErr w:type="spellEnd"/>
      <w:r w:rsidRPr="00542FA4">
        <w:rPr>
          <w:rFonts w:ascii="Times New Roman" w:hAnsi="Times New Roman" w:cs="Times New Roman"/>
          <w:b/>
          <w:sz w:val="20"/>
          <w:szCs w:val="20"/>
        </w:rPr>
        <w:t xml:space="preserve"> cells. In one system, this value is proportional to the difference between the surface temperature and the quiescent temperature, all times the cube of the (*)</w:t>
      </w:r>
      <w:r>
        <w:rPr>
          <w:rFonts w:ascii="Times New Roman" w:hAnsi="Times New Roman" w:cs="Times New Roman"/>
          <w:sz w:val="20"/>
          <w:szCs w:val="20"/>
        </w:rPr>
        <w:t xml:space="preserve"> characteristic length. This quantity is proportional to the expansion coefficient and inversely proportional to the thermal diffusivity, and this value is also equal to the product of the </w:t>
      </w:r>
      <w:proofErr w:type="spellStart"/>
      <w:r>
        <w:rPr>
          <w:rFonts w:ascii="Times New Roman" w:hAnsi="Times New Roman" w:cs="Times New Roman"/>
          <w:sz w:val="20"/>
          <w:szCs w:val="20"/>
        </w:rPr>
        <w:t>Grashof</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Prandtl</w:t>
      </w:r>
      <w:proofErr w:type="spellEnd"/>
      <w:r>
        <w:rPr>
          <w:rFonts w:ascii="Times New Roman" w:hAnsi="Times New Roman" w:cs="Times New Roman"/>
          <w:sz w:val="20"/>
          <w:szCs w:val="20"/>
        </w:rPr>
        <w:t xml:space="preserve"> numbers. For 10 points, name this dimensionless constant from fluid dynamics which determines whether a fluid is undergoing conduction or convection. </w:t>
      </w:r>
    </w:p>
    <w:p w:rsidR="00F14537" w:rsidRPr="00542FA4" w:rsidRDefault="00F14537" w:rsidP="00F1453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542FA4">
        <w:rPr>
          <w:rFonts w:ascii="Times New Roman" w:hAnsi="Times New Roman" w:cs="Times New Roman"/>
          <w:b/>
          <w:sz w:val="20"/>
          <w:szCs w:val="20"/>
          <w:u w:val="single"/>
        </w:rPr>
        <w:t>Rayleigh</w:t>
      </w:r>
      <w:r>
        <w:rPr>
          <w:rFonts w:ascii="Times New Roman" w:hAnsi="Times New Roman" w:cs="Times New Roman"/>
          <w:sz w:val="20"/>
          <w:szCs w:val="20"/>
        </w:rPr>
        <w:t xml:space="preserve"> number</w:t>
      </w:r>
    </w:p>
    <w:p w:rsidR="00077AFF" w:rsidRP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00077AFF" w:rsidRPr="00077AFF">
        <w:rPr>
          <w:rFonts w:ascii="Times New Roman" w:eastAsia="Times New Roman" w:hAnsi="Times New Roman" w:cs="Times New Roman"/>
          <w:b/>
          <w:bCs/>
          <w:color w:val="000000"/>
          <w:sz w:val="20"/>
          <w:szCs w:val="20"/>
        </w:rPr>
        <w:t xml:space="preserve">Mutations in </w:t>
      </w:r>
      <w:proofErr w:type="spellStart"/>
      <w:r w:rsidR="00077AFF" w:rsidRPr="00077AFF">
        <w:rPr>
          <w:rFonts w:ascii="Times New Roman" w:eastAsia="Times New Roman" w:hAnsi="Times New Roman" w:cs="Times New Roman"/>
          <w:b/>
          <w:bCs/>
          <w:color w:val="000000"/>
          <w:sz w:val="20"/>
          <w:szCs w:val="20"/>
        </w:rPr>
        <w:t>parC</w:t>
      </w:r>
      <w:proofErr w:type="spellEnd"/>
      <w:r w:rsidR="00077AFF" w:rsidRPr="00077AFF">
        <w:rPr>
          <w:rFonts w:ascii="Times New Roman" w:eastAsia="Times New Roman" w:hAnsi="Times New Roman" w:cs="Times New Roman"/>
          <w:b/>
          <w:bCs/>
          <w:color w:val="000000"/>
          <w:sz w:val="20"/>
          <w:szCs w:val="20"/>
        </w:rPr>
        <w:t xml:space="preserve"> and </w:t>
      </w:r>
      <w:proofErr w:type="spellStart"/>
      <w:r w:rsidR="00077AFF" w:rsidRPr="00077AFF">
        <w:rPr>
          <w:rFonts w:ascii="Times New Roman" w:eastAsia="Times New Roman" w:hAnsi="Times New Roman" w:cs="Times New Roman"/>
          <w:b/>
          <w:bCs/>
          <w:color w:val="000000"/>
          <w:sz w:val="20"/>
          <w:szCs w:val="20"/>
        </w:rPr>
        <w:t>parE</w:t>
      </w:r>
      <w:proofErr w:type="spellEnd"/>
      <w:r w:rsidR="00077AFF" w:rsidRPr="00077AFF">
        <w:rPr>
          <w:rFonts w:ascii="Times New Roman" w:eastAsia="Times New Roman" w:hAnsi="Times New Roman" w:cs="Times New Roman"/>
          <w:b/>
          <w:bCs/>
          <w:color w:val="000000"/>
          <w:sz w:val="20"/>
          <w:szCs w:val="20"/>
        </w:rPr>
        <w:t xml:space="preserve"> can confer resistance to this class of compounds, as can mutations in the QRDR region of another protein. These compounds are contraindicated in pregnancy because they can cause cartilage damage in the fetus, and in elderly people taking prednisone, these compounds can cause rupture of the Achilles tendon. </w:t>
      </w:r>
      <w:proofErr w:type="spellStart"/>
      <w:r w:rsidR="00077AFF" w:rsidRPr="00077AFF">
        <w:rPr>
          <w:rFonts w:ascii="Times New Roman" w:eastAsia="Times New Roman" w:hAnsi="Times New Roman" w:cs="Times New Roman"/>
          <w:b/>
          <w:bCs/>
          <w:color w:val="000000"/>
          <w:sz w:val="20"/>
          <w:szCs w:val="20"/>
        </w:rPr>
        <w:t>Nalidixic</w:t>
      </w:r>
      <w:proofErr w:type="spellEnd"/>
      <w:r w:rsidR="00077AFF" w:rsidRPr="00077AFF">
        <w:rPr>
          <w:rFonts w:ascii="Times New Roman" w:eastAsia="Times New Roman" w:hAnsi="Times New Roman" w:cs="Times New Roman"/>
          <w:b/>
          <w:bCs/>
          <w:color w:val="000000"/>
          <w:sz w:val="20"/>
          <w:szCs w:val="20"/>
        </w:rPr>
        <w:t xml:space="preserve"> acid was the first of these compounds on the market, and these compounds have a </w:t>
      </w:r>
      <w:proofErr w:type="spellStart"/>
      <w:r w:rsidR="00077AFF" w:rsidRPr="00077AFF">
        <w:rPr>
          <w:rFonts w:ascii="Times New Roman" w:eastAsia="Times New Roman" w:hAnsi="Times New Roman" w:cs="Times New Roman"/>
          <w:b/>
          <w:bCs/>
          <w:color w:val="000000"/>
          <w:sz w:val="20"/>
          <w:szCs w:val="20"/>
        </w:rPr>
        <w:t>piperazine</w:t>
      </w:r>
      <w:proofErr w:type="spellEnd"/>
      <w:r w:rsidR="00077AFF" w:rsidRPr="00077AFF">
        <w:rPr>
          <w:rFonts w:ascii="Times New Roman" w:eastAsia="Times New Roman" w:hAnsi="Times New Roman" w:cs="Times New Roman"/>
          <w:b/>
          <w:bCs/>
          <w:color w:val="000000"/>
          <w:sz w:val="20"/>
          <w:szCs w:val="20"/>
        </w:rPr>
        <w:t xml:space="preserve"> group </w:t>
      </w:r>
      <w:proofErr w:type="spellStart"/>
      <w:r w:rsidR="00077AFF" w:rsidRPr="00077AFF">
        <w:rPr>
          <w:rFonts w:ascii="Times New Roman" w:eastAsia="Times New Roman" w:hAnsi="Times New Roman" w:cs="Times New Roman"/>
          <w:b/>
          <w:bCs/>
          <w:color w:val="000000"/>
          <w:sz w:val="20"/>
          <w:szCs w:val="20"/>
        </w:rPr>
        <w:t>ortho</w:t>
      </w:r>
      <w:proofErr w:type="spellEnd"/>
      <w:r w:rsidR="00077AFF" w:rsidRPr="00077AFF">
        <w:rPr>
          <w:rFonts w:ascii="Times New Roman" w:eastAsia="Times New Roman" w:hAnsi="Times New Roman" w:cs="Times New Roman"/>
          <w:b/>
          <w:bCs/>
          <w:color w:val="000000"/>
          <w:sz w:val="20"/>
          <w:szCs w:val="20"/>
        </w:rPr>
        <w:t xml:space="preserve"> to the heteroatom that gives them part of their name. They are often given to CF patients as (*) </w:t>
      </w:r>
      <w:r w:rsidR="00077AFF" w:rsidRPr="00077AFF">
        <w:rPr>
          <w:rFonts w:ascii="Times New Roman" w:eastAsia="Times New Roman" w:hAnsi="Times New Roman" w:cs="Times New Roman"/>
          <w:color w:val="000000"/>
          <w:sz w:val="20"/>
          <w:szCs w:val="20"/>
        </w:rPr>
        <w:t xml:space="preserve">empirical treatment against Pseudomonas, and like macrolides, these antibiotics can cause prolongation of the QT interval. This class of compounds targets DNA </w:t>
      </w:r>
      <w:proofErr w:type="spellStart"/>
      <w:r w:rsidR="00077AFF" w:rsidRPr="00077AFF">
        <w:rPr>
          <w:rFonts w:ascii="Times New Roman" w:eastAsia="Times New Roman" w:hAnsi="Times New Roman" w:cs="Times New Roman"/>
          <w:color w:val="000000"/>
          <w:sz w:val="20"/>
          <w:szCs w:val="20"/>
        </w:rPr>
        <w:t>gyrase</w:t>
      </w:r>
      <w:proofErr w:type="spellEnd"/>
      <w:r w:rsidR="00077AFF" w:rsidRPr="00077AFF">
        <w:rPr>
          <w:rFonts w:ascii="Times New Roman" w:eastAsia="Times New Roman" w:hAnsi="Times New Roman" w:cs="Times New Roman"/>
          <w:color w:val="000000"/>
          <w:sz w:val="20"/>
          <w:szCs w:val="20"/>
        </w:rPr>
        <w:t xml:space="preserve"> and topoisomerase IV, and are commonly used to treat anthrax and urinary tract infections. For 10 points, name this class of antibiotics that include </w:t>
      </w:r>
      <w:proofErr w:type="spellStart"/>
      <w:r w:rsidR="00077AFF" w:rsidRPr="00077AFF">
        <w:rPr>
          <w:rFonts w:ascii="Times New Roman" w:eastAsia="Times New Roman" w:hAnsi="Times New Roman" w:cs="Times New Roman"/>
          <w:color w:val="000000"/>
          <w:sz w:val="20"/>
          <w:szCs w:val="20"/>
        </w:rPr>
        <w:t>moxlifloxacin</w:t>
      </w:r>
      <w:proofErr w:type="spellEnd"/>
      <w:r w:rsidR="00077AFF" w:rsidRPr="00077AFF">
        <w:rPr>
          <w:rFonts w:ascii="Times New Roman" w:eastAsia="Times New Roman" w:hAnsi="Times New Roman" w:cs="Times New Roman"/>
          <w:color w:val="000000"/>
          <w:sz w:val="20"/>
          <w:szCs w:val="20"/>
        </w:rPr>
        <w:t>, ciprofloxacin, and levofloxacin.</w:t>
      </w:r>
    </w:p>
    <w:p w:rsidR="00077AFF" w:rsidRDefault="00077AFF" w:rsidP="00077AFF">
      <w:pPr>
        <w:spacing w:after="0" w:line="240" w:lineRule="auto"/>
        <w:rPr>
          <w:rFonts w:ascii="Times New Roman" w:eastAsia="Times New Roman" w:hAnsi="Times New Roman" w:cs="Times New Roman"/>
          <w:b/>
          <w:bCs/>
          <w:color w:val="000000"/>
          <w:sz w:val="20"/>
          <w:szCs w:val="20"/>
          <w:u w:val="single"/>
        </w:rPr>
      </w:pPr>
      <w:r w:rsidRPr="00077AFF">
        <w:rPr>
          <w:rFonts w:ascii="Times New Roman" w:eastAsia="Times New Roman" w:hAnsi="Times New Roman" w:cs="Times New Roman"/>
          <w:color w:val="000000"/>
          <w:sz w:val="20"/>
          <w:szCs w:val="20"/>
        </w:rPr>
        <w:t xml:space="preserve">ANSWER: </w:t>
      </w:r>
      <w:proofErr w:type="spellStart"/>
      <w:r w:rsidRPr="00077AFF">
        <w:rPr>
          <w:rFonts w:ascii="Times New Roman" w:eastAsia="Times New Roman" w:hAnsi="Times New Roman" w:cs="Times New Roman"/>
          <w:b/>
          <w:bCs/>
          <w:color w:val="000000"/>
          <w:sz w:val="20"/>
          <w:szCs w:val="20"/>
          <w:u w:val="single"/>
        </w:rPr>
        <w:t>fluoroquinolones</w:t>
      </w:r>
      <w:proofErr w:type="spellEnd"/>
    </w:p>
    <w:p w:rsidR="00077AFF" w:rsidRDefault="00077AFF" w:rsidP="00077AFF">
      <w:pPr>
        <w:spacing w:after="0" w:line="240" w:lineRule="auto"/>
        <w:rPr>
          <w:rFonts w:ascii="Times New Roman" w:eastAsia="Times New Roman" w:hAnsi="Times New Roman" w:cs="Times New Roman"/>
          <w:b/>
          <w:bCs/>
          <w:color w:val="000000"/>
          <w:sz w:val="20"/>
          <w:szCs w:val="20"/>
          <w:u w:val="single"/>
        </w:rPr>
      </w:pPr>
    </w:p>
    <w:p w:rsidR="00077AFF" w:rsidRDefault="00F14537" w:rsidP="00077AFF">
      <w:pPr>
        <w:pStyle w:val="NormalWeb"/>
        <w:spacing w:before="0" w:beforeAutospacing="0" w:after="0" w:afterAutospacing="0"/>
      </w:pPr>
      <w:r>
        <w:rPr>
          <w:b/>
          <w:bCs/>
          <w:color w:val="000000"/>
          <w:sz w:val="20"/>
          <w:szCs w:val="20"/>
        </w:rPr>
        <w:t xml:space="preserve">16. </w:t>
      </w:r>
      <w:r w:rsidR="00077AFF">
        <w:rPr>
          <w:b/>
          <w:bCs/>
          <w:color w:val="000000"/>
          <w:sz w:val="20"/>
          <w:szCs w:val="20"/>
        </w:rPr>
        <w:t xml:space="preserve">PK </w:t>
      </w:r>
      <w:proofErr w:type="spellStart"/>
      <w:r w:rsidR="00077AFF">
        <w:rPr>
          <w:b/>
          <w:bCs/>
          <w:color w:val="000000"/>
          <w:sz w:val="20"/>
          <w:szCs w:val="20"/>
        </w:rPr>
        <w:t>Chattaraj</w:t>
      </w:r>
      <w:proofErr w:type="spellEnd"/>
      <w:r w:rsidR="00077AFF">
        <w:rPr>
          <w:b/>
          <w:bCs/>
          <w:color w:val="000000"/>
          <w:sz w:val="20"/>
          <w:szCs w:val="20"/>
        </w:rPr>
        <w:t xml:space="preserve"> posited one quantity important in this theory is minimized at the transition state and maximized at equilibrium. This theory can be used to derive a rule that says the more electronegative part of an </w:t>
      </w:r>
      <w:proofErr w:type="spellStart"/>
      <w:r w:rsidR="00077AFF">
        <w:rPr>
          <w:b/>
          <w:bCs/>
          <w:color w:val="000000"/>
          <w:sz w:val="20"/>
          <w:szCs w:val="20"/>
        </w:rPr>
        <w:t>ambident</w:t>
      </w:r>
      <w:proofErr w:type="spellEnd"/>
      <w:r w:rsidR="00077AFF">
        <w:rPr>
          <w:b/>
          <w:bCs/>
          <w:color w:val="000000"/>
          <w:sz w:val="20"/>
          <w:szCs w:val="20"/>
        </w:rPr>
        <w:t xml:space="preserve"> nucleophile reacts during SN1 reactions and vice versa for SN2.  It’s not frontier orbital or MO theory, but the “local” version of one quantity in this theory is found by multiplying it by the Fukui function. It’s not </w:t>
      </w:r>
      <w:proofErr w:type="spellStart"/>
      <w:r w:rsidR="00077AFF">
        <w:rPr>
          <w:b/>
          <w:bCs/>
          <w:color w:val="000000"/>
          <w:sz w:val="20"/>
          <w:szCs w:val="20"/>
        </w:rPr>
        <w:t>Huckel</w:t>
      </w:r>
      <w:proofErr w:type="spellEnd"/>
      <w:r w:rsidR="00077AFF">
        <w:rPr>
          <w:b/>
          <w:bCs/>
          <w:color w:val="000000"/>
          <w:sz w:val="20"/>
          <w:szCs w:val="20"/>
        </w:rPr>
        <w:t xml:space="preserve"> theory, but Robert Parr made this theory quantitative by setting its central parameter equal to the second derivative of the energy with respect to the electron number. This theory corresponds to sorting species by the size of the gap between the (*)</w:t>
      </w:r>
      <w:r w:rsidR="00077AFF">
        <w:rPr>
          <w:color w:val="000000"/>
          <w:sz w:val="20"/>
          <w:szCs w:val="20"/>
        </w:rPr>
        <w:t xml:space="preserve"> LUMO and the HOMO. The enthalpy release of species that obey this theory can be calculated from the </w:t>
      </w:r>
      <w:proofErr w:type="spellStart"/>
      <w:r w:rsidR="00077AFF">
        <w:rPr>
          <w:color w:val="000000"/>
          <w:sz w:val="20"/>
          <w:szCs w:val="20"/>
        </w:rPr>
        <w:t>Drago-Weyland</w:t>
      </w:r>
      <w:proofErr w:type="spellEnd"/>
      <w:r w:rsidR="00077AFF">
        <w:rPr>
          <w:color w:val="000000"/>
          <w:sz w:val="20"/>
          <w:szCs w:val="20"/>
        </w:rPr>
        <w:t xml:space="preserve"> equation, and this theory also recapitulates </w:t>
      </w:r>
      <w:proofErr w:type="spellStart"/>
      <w:r w:rsidR="00077AFF">
        <w:rPr>
          <w:color w:val="000000"/>
          <w:sz w:val="20"/>
          <w:szCs w:val="20"/>
        </w:rPr>
        <w:t>Kornblum’s</w:t>
      </w:r>
      <w:proofErr w:type="spellEnd"/>
      <w:r w:rsidR="00077AFF">
        <w:rPr>
          <w:color w:val="000000"/>
          <w:sz w:val="20"/>
          <w:szCs w:val="20"/>
        </w:rPr>
        <w:t xml:space="preserve"> rule. This theory predicts that ions with similar degrees of </w:t>
      </w:r>
      <w:proofErr w:type="spellStart"/>
      <w:r w:rsidR="00077AFF">
        <w:rPr>
          <w:color w:val="000000"/>
          <w:sz w:val="20"/>
          <w:szCs w:val="20"/>
        </w:rPr>
        <w:t>polarizabilities</w:t>
      </w:r>
      <w:proofErr w:type="spellEnd"/>
      <w:r w:rsidR="00077AFF">
        <w:rPr>
          <w:color w:val="000000"/>
          <w:sz w:val="20"/>
          <w:szCs w:val="20"/>
        </w:rPr>
        <w:t xml:space="preserve"> tend to form bonds together, and is used to predict which pairs of species tend to form ionic or covalent bonds. For 10 points, name this acid-base theory developed by Karl </w:t>
      </w:r>
      <w:proofErr w:type="gramStart"/>
      <w:r w:rsidR="00077AFF">
        <w:rPr>
          <w:color w:val="000000"/>
          <w:sz w:val="20"/>
          <w:szCs w:val="20"/>
        </w:rPr>
        <w:t>Pearson, that</w:t>
      </w:r>
      <w:proofErr w:type="gramEnd"/>
      <w:r w:rsidR="00077AFF">
        <w:rPr>
          <w:color w:val="000000"/>
          <w:sz w:val="20"/>
          <w:szCs w:val="20"/>
        </w:rPr>
        <w:t xml:space="preserve"> is important in transition metal chemistry.</w:t>
      </w:r>
    </w:p>
    <w:p w:rsidR="00077AFF" w:rsidRDefault="00077AFF" w:rsidP="00077AFF">
      <w:pPr>
        <w:pStyle w:val="NormalWeb"/>
        <w:spacing w:before="0" w:beforeAutospacing="0" w:after="0" w:afterAutospacing="0"/>
      </w:pPr>
      <w:r>
        <w:rPr>
          <w:color w:val="000000"/>
          <w:sz w:val="20"/>
          <w:szCs w:val="20"/>
        </w:rPr>
        <w:t xml:space="preserve">ANSWER: </w:t>
      </w:r>
      <w:r>
        <w:rPr>
          <w:b/>
          <w:bCs/>
          <w:color w:val="000000"/>
          <w:sz w:val="20"/>
          <w:szCs w:val="20"/>
          <w:u w:val="single"/>
        </w:rPr>
        <w:t>hard-soft</w:t>
      </w:r>
      <w:r>
        <w:rPr>
          <w:color w:val="000000"/>
          <w:sz w:val="20"/>
          <w:szCs w:val="20"/>
        </w:rPr>
        <w:t xml:space="preserve"> acid base theory [or </w:t>
      </w:r>
      <w:r>
        <w:rPr>
          <w:b/>
          <w:bCs/>
          <w:color w:val="000000"/>
          <w:sz w:val="20"/>
          <w:szCs w:val="20"/>
          <w:u w:val="single"/>
        </w:rPr>
        <w:t>HS</w:t>
      </w:r>
      <w:r>
        <w:rPr>
          <w:color w:val="000000"/>
          <w:sz w:val="20"/>
          <w:szCs w:val="20"/>
        </w:rPr>
        <w:t xml:space="preserve">AB; accept </w:t>
      </w:r>
      <w:r>
        <w:rPr>
          <w:b/>
          <w:bCs/>
          <w:color w:val="000000"/>
          <w:sz w:val="20"/>
          <w:szCs w:val="20"/>
          <w:u w:val="single"/>
        </w:rPr>
        <w:t>Pearson</w:t>
      </w:r>
      <w:r>
        <w:rPr>
          <w:color w:val="000000"/>
          <w:sz w:val="20"/>
          <w:szCs w:val="20"/>
        </w:rPr>
        <w:t>’s acid-base theory before mention]</w:t>
      </w:r>
    </w:p>
    <w:p w:rsidR="00077AFF" w:rsidRDefault="00077AFF" w:rsidP="00077AFF">
      <w:pPr>
        <w:spacing w:after="0" w:line="240" w:lineRule="auto"/>
        <w:rPr>
          <w:rFonts w:ascii="Times New Roman" w:hAnsi="Times New Roman" w:cs="Times New Roman"/>
          <w:sz w:val="20"/>
          <w:szCs w:val="20"/>
        </w:rPr>
      </w:pPr>
    </w:p>
    <w:p w:rsidR="00F14537" w:rsidRDefault="00F14537" w:rsidP="00077AFF">
      <w:pPr>
        <w:pStyle w:val="NormalWeb"/>
        <w:spacing w:before="0" w:beforeAutospacing="0" w:after="0" w:afterAutospacing="0"/>
        <w:rPr>
          <w:b/>
          <w:bCs/>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F14537" w:rsidRDefault="00F14537" w:rsidP="00077AFF">
      <w:pPr>
        <w:pStyle w:val="NormalWeb"/>
        <w:spacing w:before="0" w:beforeAutospacing="0" w:after="0" w:afterAutospacing="0"/>
        <w:rPr>
          <w:b/>
          <w:bCs/>
          <w:color w:val="000000"/>
          <w:sz w:val="20"/>
          <w:szCs w:val="20"/>
        </w:rPr>
      </w:pPr>
    </w:p>
    <w:p w:rsidR="00077AFF" w:rsidRPr="00077AFF" w:rsidRDefault="00F14537" w:rsidP="00077AFF">
      <w:pPr>
        <w:pStyle w:val="NormalWeb"/>
        <w:spacing w:before="0" w:beforeAutospacing="0" w:after="0" w:afterAutospacing="0"/>
      </w:pPr>
      <w:r>
        <w:rPr>
          <w:b/>
          <w:bCs/>
          <w:color w:val="000000"/>
          <w:sz w:val="20"/>
          <w:szCs w:val="20"/>
        </w:rPr>
        <w:lastRenderedPageBreak/>
        <w:t xml:space="preserve">17. </w:t>
      </w:r>
      <w:r w:rsidR="00077AFF" w:rsidRPr="00077AFF">
        <w:rPr>
          <w:b/>
          <w:bCs/>
          <w:color w:val="000000"/>
          <w:sz w:val="20"/>
          <w:szCs w:val="20"/>
        </w:rPr>
        <w:t xml:space="preserve">The formation of three different types of this substance, including alkaline and </w:t>
      </w:r>
      <w:proofErr w:type="spellStart"/>
      <w:r w:rsidR="00077AFF" w:rsidRPr="00077AFF">
        <w:rPr>
          <w:b/>
          <w:bCs/>
          <w:color w:val="000000"/>
          <w:sz w:val="20"/>
          <w:szCs w:val="20"/>
        </w:rPr>
        <w:t>tholeiite</w:t>
      </w:r>
      <w:proofErr w:type="spellEnd"/>
      <w:r w:rsidR="00077AFF" w:rsidRPr="00077AFF">
        <w:rPr>
          <w:b/>
          <w:bCs/>
          <w:color w:val="000000"/>
          <w:sz w:val="20"/>
          <w:szCs w:val="20"/>
        </w:rPr>
        <w:t xml:space="preserve"> varieties, was the subject of a model by </w:t>
      </w:r>
      <w:proofErr w:type="spellStart"/>
      <w:r w:rsidR="00077AFF" w:rsidRPr="00077AFF">
        <w:rPr>
          <w:b/>
          <w:bCs/>
          <w:color w:val="000000"/>
          <w:sz w:val="20"/>
          <w:szCs w:val="20"/>
        </w:rPr>
        <w:t>Kuno</w:t>
      </w:r>
      <w:proofErr w:type="spellEnd"/>
      <w:r w:rsidR="00077AFF" w:rsidRPr="00077AFF">
        <w:rPr>
          <w:b/>
          <w:bCs/>
          <w:color w:val="000000"/>
          <w:sz w:val="20"/>
          <w:szCs w:val="20"/>
        </w:rPr>
        <w:t>. The infinite onion and infinite leek models explain the rise of this substance from structures containing it. Assimilation, replenishment, and mixing are three of the FARM processes by which this substance differentiates. Cumulate rocks are created by the settling out of crystals from this substance, and (*)</w:t>
      </w:r>
      <w:r w:rsidR="00077AFF" w:rsidRPr="00077AFF">
        <w:rPr>
          <w:color w:val="000000"/>
          <w:sz w:val="20"/>
          <w:szCs w:val="20"/>
        </w:rPr>
        <w:t xml:space="preserve"> flow banding occurs when this substance leaves </w:t>
      </w:r>
      <w:proofErr w:type="spellStart"/>
      <w:r w:rsidR="00077AFF" w:rsidRPr="00077AFF">
        <w:rPr>
          <w:color w:val="000000"/>
          <w:sz w:val="20"/>
          <w:szCs w:val="20"/>
        </w:rPr>
        <w:t>phenocrysts</w:t>
      </w:r>
      <w:proofErr w:type="spellEnd"/>
      <w:r w:rsidR="00077AFF" w:rsidRPr="00077AFF">
        <w:rPr>
          <w:color w:val="000000"/>
          <w:sz w:val="20"/>
          <w:szCs w:val="20"/>
        </w:rPr>
        <w:t xml:space="preserve"> and xenoliths behind as it contacts a solid interface. The existence of rocks containing large quantities </w:t>
      </w:r>
      <w:proofErr w:type="spellStart"/>
      <w:r w:rsidR="00077AFF" w:rsidRPr="00077AFF">
        <w:rPr>
          <w:color w:val="000000"/>
          <w:sz w:val="20"/>
          <w:szCs w:val="20"/>
        </w:rPr>
        <w:t>anorthosite</w:t>
      </w:r>
      <w:proofErr w:type="spellEnd"/>
      <w:r w:rsidR="00077AFF" w:rsidRPr="00077AFF">
        <w:rPr>
          <w:color w:val="000000"/>
          <w:sz w:val="20"/>
          <w:szCs w:val="20"/>
        </w:rPr>
        <w:t xml:space="preserve"> of KREEP is used to posit an “ocean” of this substance on the moon. This substance can form sills, dikes, or other plutons upon intrusion, and its viscosity helps determine whether it forms andesite, rhyolite, or basalt upon cooling. For 10 points, name this mixture of molten rock that is called lava when extruded onto the surface of the earth.</w:t>
      </w:r>
    </w:p>
    <w:p w:rsidR="00077AFF" w:rsidRDefault="00077AFF" w:rsidP="00077AFF">
      <w:pPr>
        <w:spacing w:after="0" w:line="240" w:lineRule="auto"/>
        <w:rPr>
          <w:rFonts w:ascii="Times New Roman" w:hAnsi="Times New Roman" w:cs="Times New Roman"/>
          <w:sz w:val="20"/>
          <w:szCs w:val="20"/>
        </w:rPr>
      </w:pPr>
      <w:r w:rsidRPr="00077AFF">
        <w:rPr>
          <w:rFonts w:ascii="Times New Roman" w:eastAsia="Times New Roman" w:hAnsi="Times New Roman" w:cs="Times New Roman"/>
          <w:color w:val="000000"/>
          <w:sz w:val="20"/>
          <w:szCs w:val="20"/>
        </w:rPr>
        <w:t xml:space="preserve">ANSWER: </w:t>
      </w:r>
      <w:r w:rsidRPr="00077AFF">
        <w:rPr>
          <w:rFonts w:ascii="Times New Roman" w:eastAsia="Times New Roman" w:hAnsi="Times New Roman" w:cs="Times New Roman"/>
          <w:b/>
          <w:bCs/>
          <w:color w:val="000000"/>
          <w:sz w:val="20"/>
          <w:szCs w:val="20"/>
          <w:u w:val="single"/>
        </w:rPr>
        <w:t>magma</w:t>
      </w:r>
      <w:r w:rsidRPr="00077AFF">
        <w:rPr>
          <w:rFonts w:ascii="Times New Roman" w:eastAsia="Times New Roman" w:hAnsi="Times New Roman" w:cs="Times New Roman"/>
          <w:color w:val="000000"/>
          <w:sz w:val="20"/>
          <w:szCs w:val="20"/>
        </w:rPr>
        <w:t xml:space="preserve"> [do NOT accept “lava” until “flow banding”, accept it after]</w:t>
      </w:r>
    </w:p>
    <w:p w:rsidR="00077AFF" w:rsidRPr="00077AFF" w:rsidRDefault="00077AFF" w:rsidP="00077AFF">
      <w:pPr>
        <w:spacing w:after="0" w:line="240" w:lineRule="auto"/>
        <w:rPr>
          <w:rFonts w:ascii="Times New Roman" w:hAnsi="Times New Roman" w:cs="Times New Roman"/>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r w:rsidR="00077AFF" w:rsidRPr="00077AFF">
        <w:rPr>
          <w:rFonts w:ascii="Times New Roman" w:eastAsia="Times New Roman" w:hAnsi="Times New Roman" w:cs="Times New Roman"/>
          <w:b/>
          <w:bCs/>
          <w:color w:val="000000"/>
          <w:sz w:val="20"/>
          <w:szCs w:val="20"/>
        </w:rPr>
        <w:t xml:space="preserve">PTF 11kx is an example of one of these events, which can be modelled using the CMAGIC relation. Some anomalous versions of these events may be explained by their having doubly-degenerate precursors. A cataloguing of 32 of these events in the </w:t>
      </w:r>
      <w:proofErr w:type="spellStart"/>
      <w:r w:rsidR="00077AFF" w:rsidRPr="00077AFF">
        <w:rPr>
          <w:rFonts w:ascii="Times New Roman" w:eastAsia="Times New Roman" w:hAnsi="Times New Roman" w:cs="Times New Roman"/>
          <w:b/>
          <w:bCs/>
          <w:color w:val="000000"/>
          <w:sz w:val="20"/>
          <w:szCs w:val="20"/>
        </w:rPr>
        <w:t>Calan</w:t>
      </w:r>
      <w:proofErr w:type="spellEnd"/>
      <w:r w:rsidR="00077AFF" w:rsidRPr="00077AFF">
        <w:rPr>
          <w:rFonts w:ascii="Times New Roman" w:eastAsia="Times New Roman" w:hAnsi="Times New Roman" w:cs="Times New Roman"/>
          <w:b/>
          <w:bCs/>
          <w:color w:val="000000"/>
          <w:sz w:val="20"/>
          <w:szCs w:val="20"/>
        </w:rPr>
        <w:t>/</w:t>
      </w:r>
      <w:proofErr w:type="spellStart"/>
      <w:r w:rsidR="00077AFF" w:rsidRPr="00077AFF">
        <w:rPr>
          <w:rFonts w:ascii="Times New Roman" w:eastAsia="Times New Roman" w:hAnsi="Times New Roman" w:cs="Times New Roman"/>
          <w:b/>
          <w:bCs/>
          <w:color w:val="000000"/>
          <w:sz w:val="20"/>
          <w:szCs w:val="20"/>
        </w:rPr>
        <w:t>Tololo</w:t>
      </w:r>
      <w:proofErr w:type="spellEnd"/>
      <w:r w:rsidR="00077AFF" w:rsidRPr="00077AFF">
        <w:rPr>
          <w:rFonts w:ascii="Times New Roman" w:eastAsia="Times New Roman" w:hAnsi="Times New Roman" w:cs="Times New Roman"/>
          <w:b/>
          <w:bCs/>
          <w:color w:val="000000"/>
          <w:sz w:val="20"/>
          <w:szCs w:val="20"/>
        </w:rPr>
        <w:t xml:space="preserve"> survey gave an important relation describing them, which fits a curve using the delta-m-15 value. The Dark Energy Survey hopes to catalogue several thousand of these phenomena, which were used by Reiss, </w:t>
      </w:r>
      <w:proofErr w:type="spellStart"/>
      <w:r w:rsidR="00077AFF" w:rsidRPr="00077AFF">
        <w:rPr>
          <w:rFonts w:ascii="Times New Roman" w:eastAsia="Times New Roman" w:hAnsi="Times New Roman" w:cs="Times New Roman"/>
          <w:b/>
          <w:bCs/>
          <w:color w:val="000000"/>
          <w:sz w:val="20"/>
          <w:szCs w:val="20"/>
        </w:rPr>
        <w:t>Perlmutter</w:t>
      </w:r>
      <w:proofErr w:type="spellEnd"/>
      <w:r w:rsidR="00077AFF" w:rsidRPr="00077AFF">
        <w:rPr>
          <w:rFonts w:ascii="Times New Roman" w:eastAsia="Times New Roman" w:hAnsi="Times New Roman" w:cs="Times New Roman"/>
          <w:b/>
          <w:bCs/>
          <w:color w:val="000000"/>
          <w:sz w:val="20"/>
          <w:szCs w:val="20"/>
        </w:rPr>
        <w:t xml:space="preserve">, and Schmidt to show that q is negative and the (*) </w:t>
      </w:r>
      <w:r w:rsidR="00077AFF" w:rsidRPr="00077AFF">
        <w:rPr>
          <w:rFonts w:ascii="Times New Roman" w:eastAsia="Times New Roman" w:hAnsi="Times New Roman" w:cs="Times New Roman"/>
          <w:color w:val="000000"/>
          <w:sz w:val="20"/>
          <w:szCs w:val="20"/>
        </w:rPr>
        <w:t xml:space="preserve">expansion of the universe is accelerating. These events have a maximum absolute magnitude of 19.3, and the decay of cobalt-56 powers the near-infrared shoulder of their light curves, which are modelled by the Phillips relationship. These events, which have silicon II lines but no </w:t>
      </w:r>
      <w:proofErr w:type="spellStart"/>
      <w:r w:rsidR="00077AFF" w:rsidRPr="00077AFF">
        <w:rPr>
          <w:rFonts w:ascii="Times New Roman" w:eastAsia="Times New Roman" w:hAnsi="Times New Roman" w:cs="Times New Roman"/>
          <w:color w:val="000000"/>
          <w:sz w:val="20"/>
          <w:szCs w:val="20"/>
        </w:rPr>
        <w:t>Balmer</w:t>
      </w:r>
      <w:proofErr w:type="spellEnd"/>
      <w:r w:rsidR="00077AFF" w:rsidRPr="00077AFF">
        <w:rPr>
          <w:rFonts w:ascii="Times New Roman" w:eastAsia="Times New Roman" w:hAnsi="Times New Roman" w:cs="Times New Roman"/>
          <w:color w:val="000000"/>
          <w:sz w:val="20"/>
          <w:szCs w:val="20"/>
        </w:rPr>
        <w:t xml:space="preserve"> lines, occur when carbon detonation is triggered by accretion of a binary partner, and the fact that these events have a consistent peak luminosity allows their use as standard candles</w:t>
      </w:r>
      <w:proofErr w:type="gramStart"/>
      <w:r w:rsidR="00077AFF" w:rsidRPr="00077AFF">
        <w:rPr>
          <w:rFonts w:ascii="Times New Roman" w:eastAsia="Times New Roman" w:hAnsi="Times New Roman" w:cs="Times New Roman"/>
          <w:color w:val="000000"/>
          <w:sz w:val="20"/>
          <w:szCs w:val="20"/>
        </w:rPr>
        <w:t>..</w:t>
      </w:r>
      <w:proofErr w:type="gramEnd"/>
      <w:r w:rsidR="00077AFF" w:rsidRPr="00077AFF">
        <w:rPr>
          <w:rFonts w:ascii="Times New Roman" w:eastAsia="Times New Roman" w:hAnsi="Times New Roman" w:cs="Times New Roman"/>
          <w:color w:val="000000"/>
          <w:sz w:val="20"/>
          <w:szCs w:val="20"/>
        </w:rPr>
        <w:t xml:space="preserve"> For 10 points, name this event in which a white dwarf collapses into a neutron star. </w:t>
      </w:r>
    </w:p>
    <w:p w:rsidR="00077AFF" w:rsidRDefault="00077AFF" w:rsidP="00077AFF">
      <w:pPr>
        <w:spacing w:after="0" w:line="240" w:lineRule="auto"/>
        <w:rPr>
          <w:rFonts w:ascii="Times New Roman" w:eastAsia="Times New Roman" w:hAnsi="Times New Roman" w:cs="Times New Roman"/>
          <w:color w:val="000000"/>
          <w:sz w:val="20"/>
          <w:szCs w:val="20"/>
        </w:rPr>
      </w:pPr>
      <w:r w:rsidRPr="00077AFF">
        <w:rPr>
          <w:rFonts w:ascii="Times New Roman" w:eastAsia="Times New Roman" w:hAnsi="Times New Roman" w:cs="Times New Roman"/>
          <w:color w:val="000000"/>
          <w:sz w:val="20"/>
          <w:szCs w:val="20"/>
        </w:rPr>
        <w:t xml:space="preserve">ANSWER: Type </w:t>
      </w:r>
      <w:proofErr w:type="spellStart"/>
      <w:proofErr w:type="gramStart"/>
      <w:r w:rsidRPr="00077AFF">
        <w:rPr>
          <w:rFonts w:ascii="Times New Roman" w:eastAsia="Times New Roman" w:hAnsi="Times New Roman" w:cs="Times New Roman"/>
          <w:b/>
          <w:bCs/>
          <w:color w:val="000000"/>
          <w:sz w:val="20"/>
          <w:szCs w:val="20"/>
          <w:u w:val="single"/>
        </w:rPr>
        <w:t>Ia</w:t>
      </w:r>
      <w:proofErr w:type="spellEnd"/>
      <w:proofErr w:type="gramEnd"/>
      <w:r w:rsidRPr="00077AFF">
        <w:rPr>
          <w:rFonts w:ascii="Times New Roman" w:eastAsia="Times New Roman" w:hAnsi="Times New Roman" w:cs="Times New Roman"/>
          <w:b/>
          <w:bCs/>
          <w:color w:val="000000"/>
          <w:sz w:val="20"/>
          <w:szCs w:val="20"/>
          <w:u w:val="single"/>
        </w:rPr>
        <w:t xml:space="preserve"> supernova</w:t>
      </w:r>
      <w:r w:rsidRPr="00077AFF">
        <w:rPr>
          <w:rFonts w:ascii="Times New Roman" w:eastAsia="Times New Roman" w:hAnsi="Times New Roman" w:cs="Times New Roman"/>
          <w:color w:val="000000"/>
          <w:sz w:val="20"/>
          <w:szCs w:val="20"/>
        </w:rPr>
        <w:t xml:space="preserve"> [prompt on partial answer]</w:t>
      </w:r>
    </w:p>
    <w:p w:rsidR="00077AFF" w:rsidRDefault="00077AFF" w:rsidP="00077AFF">
      <w:pPr>
        <w:spacing w:after="0" w:line="240" w:lineRule="auto"/>
        <w:rPr>
          <w:rFonts w:ascii="Times New Roman" w:eastAsia="Times New Roman" w:hAnsi="Times New Roman" w:cs="Times New Roman"/>
          <w:color w:val="000000"/>
          <w:sz w:val="20"/>
          <w:szCs w:val="20"/>
        </w:rPr>
      </w:pPr>
    </w:p>
    <w:p w:rsidR="00600BE5" w:rsidRPr="00600BE5" w:rsidRDefault="00F14537" w:rsidP="00600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19. </w:t>
      </w:r>
      <w:r w:rsidR="00600BE5" w:rsidRPr="00600BE5">
        <w:rPr>
          <w:rFonts w:ascii="Times New Roman" w:eastAsia="Times New Roman" w:hAnsi="Times New Roman" w:cs="Times New Roman"/>
          <w:b/>
          <w:bCs/>
          <w:color w:val="000000"/>
          <w:sz w:val="20"/>
          <w:szCs w:val="20"/>
        </w:rPr>
        <w:t xml:space="preserve">In a 1999 paper, Vaughan Jones described how to associate an algebra described by </w:t>
      </w:r>
      <w:r w:rsidR="00600BE5" w:rsidRPr="00600BE5">
        <w:rPr>
          <w:rFonts w:ascii="Times New Roman" w:eastAsia="Times New Roman" w:hAnsi="Times New Roman" w:cs="Times New Roman"/>
          <w:b/>
          <w:bCs/>
          <w:i/>
          <w:iCs/>
          <w:color w:val="000000"/>
          <w:sz w:val="20"/>
          <w:szCs w:val="20"/>
        </w:rPr>
        <w:t>this</w:t>
      </w:r>
      <w:r w:rsidR="00600BE5" w:rsidRPr="00600BE5">
        <w:rPr>
          <w:rFonts w:ascii="Times New Roman" w:eastAsia="Times New Roman" w:hAnsi="Times New Roman" w:cs="Times New Roman"/>
          <w:b/>
          <w:bCs/>
          <w:color w:val="000000"/>
          <w:sz w:val="20"/>
          <w:szCs w:val="20"/>
        </w:rPr>
        <w:t xml:space="preserve"> adjective to a bipartite graph. Bar-</w:t>
      </w:r>
      <w:proofErr w:type="spellStart"/>
      <w:r w:rsidR="00600BE5" w:rsidRPr="00600BE5">
        <w:rPr>
          <w:rFonts w:ascii="Times New Roman" w:eastAsia="Times New Roman" w:hAnsi="Times New Roman" w:cs="Times New Roman"/>
          <w:b/>
          <w:bCs/>
          <w:color w:val="000000"/>
          <w:sz w:val="20"/>
          <w:szCs w:val="20"/>
        </w:rPr>
        <w:t>Natan</w:t>
      </w:r>
      <w:proofErr w:type="spellEnd"/>
      <w:r w:rsidR="00600BE5" w:rsidRPr="00600BE5">
        <w:rPr>
          <w:rFonts w:ascii="Times New Roman" w:eastAsia="Times New Roman" w:hAnsi="Times New Roman" w:cs="Times New Roman"/>
          <w:b/>
          <w:bCs/>
          <w:color w:val="000000"/>
          <w:sz w:val="20"/>
          <w:szCs w:val="20"/>
        </w:rPr>
        <w:t xml:space="preserve"> used algebras of this type to describe how tangle composition acts on </w:t>
      </w:r>
      <w:proofErr w:type="spellStart"/>
      <w:r w:rsidR="00600BE5" w:rsidRPr="00600BE5">
        <w:rPr>
          <w:rFonts w:ascii="Times New Roman" w:eastAsia="Times New Roman" w:hAnsi="Times New Roman" w:cs="Times New Roman"/>
          <w:b/>
          <w:bCs/>
          <w:color w:val="000000"/>
          <w:sz w:val="20"/>
          <w:szCs w:val="20"/>
        </w:rPr>
        <w:t>Khovanov</w:t>
      </w:r>
      <w:proofErr w:type="spellEnd"/>
      <w:r w:rsidR="00600BE5" w:rsidRPr="00600BE5">
        <w:rPr>
          <w:rFonts w:ascii="Times New Roman" w:eastAsia="Times New Roman" w:hAnsi="Times New Roman" w:cs="Times New Roman"/>
          <w:b/>
          <w:bCs/>
          <w:color w:val="000000"/>
          <w:sz w:val="20"/>
          <w:szCs w:val="20"/>
        </w:rPr>
        <w:t xml:space="preserve"> homology, and one example of an algebra with this property is the </w:t>
      </w:r>
      <w:proofErr w:type="spellStart"/>
      <w:r w:rsidR="00600BE5" w:rsidRPr="00600BE5">
        <w:rPr>
          <w:rFonts w:ascii="Times New Roman" w:eastAsia="Times New Roman" w:hAnsi="Times New Roman" w:cs="Times New Roman"/>
          <w:b/>
          <w:bCs/>
          <w:color w:val="000000"/>
          <w:sz w:val="20"/>
          <w:szCs w:val="20"/>
        </w:rPr>
        <w:t>Temperley-Lieb</w:t>
      </w:r>
      <w:proofErr w:type="spellEnd"/>
      <w:r w:rsidR="00600BE5" w:rsidRPr="00600BE5">
        <w:rPr>
          <w:rFonts w:ascii="Times New Roman" w:eastAsia="Times New Roman" w:hAnsi="Times New Roman" w:cs="Times New Roman"/>
          <w:b/>
          <w:bCs/>
          <w:color w:val="000000"/>
          <w:sz w:val="20"/>
          <w:szCs w:val="20"/>
        </w:rPr>
        <w:t xml:space="preserve"> algebra. Algorithms for testing whether other mathematical objects have this property often use a criterion named for </w:t>
      </w:r>
      <w:proofErr w:type="spellStart"/>
      <w:r w:rsidR="00600BE5" w:rsidRPr="00600BE5">
        <w:rPr>
          <w:rFonts w:ascii="Times New Roman" w:eastAsia="Times New Roman" w:hAnsi="Times New Roman" w:cs="Times New Roman"/>
          <w:b/>
          <w:bCs/>
          <w:color w:val="000000"/>
          <w:sz w:val="20"/>
          <w:szCs w:val="20"/>
        </w:rPr>
        <w:t>Fraysseix</w:t>
      </w:r>
      <w:proofErr w:type="spellEnd"/>
      <w:r w:rsidR="00600BE5" w:rsidRPr="00600BE5">
        <w:rPr>
          <w:rFonts w:ascii="Times New Roman" w:eastAsia="Times New Roman" w:hAnsi="Times New Roman" w:cs="Times New Roman"/>
          <w:b/>
          <w:bCs/>
          <w:color w:val="000000"/>
          <w:sz w:val="20"/>
          <w:szCs w:val="20"/>
        </w:rPr>
        <w:t xml:space="preserve"> and </w:t>
      </w:r>
      <w:proofErr w:type="spellStart"/>
      <w:r w:rsidR="00600BE5" w:rsidRPr="00600BE5">
        <w:rPr>
          <w:rFonts w:ascii="Times New Roman" w:eastAsia="Times New Roman" w:hAnsi="Times New Roman" w:cs="Times New Roman"/>
          <w:b/>
          <w:bCs/>
          <w:color w:val="000000"/>
          <w:sz w:val="20"/>
          <w:szCs w:val="20"/>
        </w:rPr>
        <w:t>Rosenstiehl</w:t>
      </w:r>
      <w:proofErr w:type="spellEnd"/>
      <w:r w:rsidR="00600BE5" w:rsidRPr="00600BE5">
        <w:rPr>
          <w:rFonts w:ascii="Times New Roman" w:eastAsia="Times New Roman" w:hAnsi="Times New Roman" w:cs="Times New Roman"/>
          <w:b/>
          <w:bCs/>
          <w:color w:val="000000"/>
          <w:sz w:val="20"/>
          <w:szCs w:val="20"/>
        </w:rPr>
        <w:t xml:space="preserve">. Whitney proved that certain objects have this property only if their associated </w:t>
      </w:r>
      <w:proofErr w:type="spellStart"/>
      <w:r w:rsidR="00600BE5" w:rsidRPr="00600BE5">
        <w:rPr>
          <w:rFonts w:ascii="Times New Roman" w:eastAsia="Times New Roman" w:hAnsi="Times New Roman" w:cs="Times New Roman"/>
          <w:b/>
          <w:bCs/>
          <w:color w:val="000000"/>
          <w:sz w:val="20"/>
          <w:szCs w:val="20"/>
        </w:rPr>
        <w:t>matroid</w:t>
      </w:r>
      <w:proofErr w:type="spellEnd"/>
      <w:r w:rsidR="00600BE5" w:rsidRPr="00600BE5">
        <w:rPr>
          <w:rFonts w:ascii="Times New Roman" w:eastAsia="Times New Roman" w:hAnsi="Times New Roman" w:cs="Times New Roman"/>
          <w:color w:val="000000"/>
          <w:sz w:val="20"/>
          <w:szCs w:val="20"/>
        </w:rPr>
        <w:t xml:space="preserve"> </w:t>
      </w:r>
      <w:r w:rsidR="00600BE5" w:rsidRPr="00600BE5">
        <w:rPr>
          <w:rFonts w:ascii="Times New Roman" w:eastAsia="Times New Roman" w:hAnsi="Times New Roman" w:cs="Times New Roman"/>
          <w:b/>
          <w:bCs/>
          <w:color w:val="000000"/>
          <w:sz w:val="20"/>
          <w:szCs w:val="20"/>
        </w:rPr>
        <w:t>is (*)</w:t>
      </w:r>
      <w:r w:rsidR="00600BE5" w:rsidRPr="00600BE5">
        <w:rPr>
          <w:rFonts w:ascii="Times New Roman" w:eastAsia="Times New Roman" w:hAnsi="Times New Roman" w:cs="Times New Roman"/>
          <w:color w:val="000000"/>
          <w:sz w:val="20"/>
          <w:szCs w:val="20"/>
        </w:rPr>
        <w:t xml:space="preserve"> </w:t>
      </w:r>
      <w:proofErr w:type="spellStart"/>
      <w:r w:rsidR="00600BE5" w:rsidRPr="00600BE5">
        <w:rPr>
          <w:rFonts w:ascii="Times New Roman" w:eastAsia="Times New Roman" w:hAnsi="Times New Roman" w:cs="Times New Roman"/>
          <w:color w:val="000000"/>
          <w:sz w:val="20"/>
          <w:szCs w:val="20"/>
        </w:rPr>
        <w:t>cographic</w:t>
      </w:r>
      <w:proofErr w:type="spellEnd"/>
      <w:r w:rsidR="00600BE5" w:rsidRPr="00600BE5">
        <w:rPr>
          <w:rFonts w:ascii="Times New Roman" w:eastAsia="Times New Roman" w:hAnsi="Times New Roman" w:cs="Times New Roman"/>
          <w:color w:val="000000"/>
          <w:sz w:val="20"/>
          <w:szCs w:val="20"/>
        </w:rPr>
        <w:t xml:space="preserve">. Paul </w:t>
      </w:r>
      <w:proofErr w:type="spellStart"/>
      <w:r w:rsidR="00600BE5" w:rsidRPr="00600BE5">
        <w:rPr>
          <w:rFonts w:ascii="Times New Roman" w:eastAsia="Times New Roman" w:hAnsi="Times New Roman" w:cs="Times New Roman"/>
          <w:color w:val="000000"/>
          <w:sz w:val="20"/>
          <w:szCs w:val="20"/>
        </w:rPr>
        <w:t>Koebe</w:t>
      </w:r>
      <w:proofErr w:type="spellEnd"/>
      <w:r w:rsidR="00600BE5" w:rsidRPr="00600BE5">
        <w:rPr>
          <w:rFonts w:ascii="Times New Roman" w:eastAsia="Times New Roman" w:hAnsi="Times New Roman" w:cs="Times New Roman"/>
          <w:color w:val="000000"/>
          <w:sz w:val="20"/>
          <w:szCs w:val="20"/>
        </w:rPr>
        <w:t xml:space="preserve"> showed that graphs have this property if and only if they are coin graphs; Steinitz's theorem states that polyhedral graphs are exactly 3-connected graphs with this property. One method of proving that an object has this property is to prove it doesn’t have a </w:t>
      </w:r>
      <w:proofErr w:type="spellStart"/>
      <w:r w:rsidR="00600BE5" w:rsidRPr="00600BE5">
        <w:rPr>
          <w:rFonts w:ascii="Times New Roman" w:eastAsia="Times New Roman" w:hAnsi="Times New Roman" w:cs="Times New Roman"/>
          <w:color w:val="000000"/>
          <w:sz w:val="20"/>
          <w:szCs w:val="20"/>
        </w:rPr>
        <w:t>subgraph</w:t>
      </w:r>
      <w:proofErr w:type="spellEnd"/>
      <w:r w:rsidR="00600BE5" w:rsidRPr="00600BE5">
        <w:rPr>
          <w:rFonts w:ascii="Times New Roman" w:eastAsia="Times New Roman" w:hAnsi="Times New Roman" w:cs="Times New Roman"/>
          <w:color w:val="000000"/>
          <w:sz w:val="20"/>
          <w:szCs w:val="20"/>
        </w:rPr>
        <w:t xml:space="preserve"> isomorphic to K sub 5 or K sub 3-3. The best-known result about graphs with this property was popularized by De Morgan and proved by </w:t>
      </w:r>
      <w:proofErr w:type="spellStart"/>
      <w:r w:rsidR="00600BE5" w:rsidRPr="00600BE5">
        <w:rPr>
          <w:rFonts w:ascii="Times New Roman" w:eastAsia="Times New Roman" w:hAnsi="Times New Roman" w:cs="Times New Roman"/>
          <w:color w:val="000000"/>
          <w:sz w:val="20"/>
          <w:szCs w:val="20"/>
        </w:rPr>
        <w:t>Appel</w:t>
      </w:r>
      <w:proofErr w:type="spellEnd"/>
      <w:r w:rsidR="00600BE5" w:rsidRPr="00600BE5">
        <w:rPr>
          <w:rFonts w:ascii="Times New Roman" w:eastAsia="Times New Roman" w:hAnsi="Times New Roman" w:cs="Times New Roman"/>
          <w:color w:val="000000"/>
          <w:sz w:val="20"/>
          <w:szCs w:val="20"/>
        </w:rPr>
        <w:t xml:space="preserve"> and </w:t>
      </w:r>
      <w:proofErr w:type="spellStart"/>
      <w:r w:rsidR="00600BE5" w:rsidRPr="00600BE5">
        <w:rPr>
          <w:rFonts w:ascii="Times New Roman" w:eastAsia="Times New Roman" w:hAnsi="Times New Roman" w:cs="Times New Roman"/>
          <w:color w:val="000000"/>
          <w:sz w:val="20"/>
          <w:szCs w:val="20"/>
        </w:rPr>
        <w:t>Haken</w:t>
      </w:r>
      <w:proofErr w:type="spellEnd"/>
      <w:r w:rsidR="00600BE5" w:rsidRPr="00600BE5">
        <w:rPr>
          <w:rFonts w:ascii="Times New Roman" w:eastAsia="Times New Roman" w:hAnsi="Times New Roman" w:cs="Times New Roman"/>
          <w:color w:val="000000"/>
          <w:sz w:val="20"/>
          <w:szCs w:val="20"/>
        </w:rPr>
        <w:t xml:space="preserve"> with the aid of computers; that result is the four-color theorem. For 10 points, give this word which suggests that a graph can be drawn on a flat two-dimensional surface.</w:t>
      </w:r>
    </w:p>
    <w:p w:rsidR="00077AFF" w:rsidRDefault="00600BE5" w:rsidP="00600BE5">
      <w:pPr>
        <w:spacing w:after="0" w:line="240" w:lineRule="auto"/>
        <w:rPr>
          <w:rFonts w:ascii="Times New Roman" w:eastAsia="Times New Roman" w:hAnsi="Times New Roman" w:cs="Times New Roman"/>
          <w:color w:val="000000"/>
          <w:sz w:val="20"/>
          <w:szCs w:val="20"/>
        </w:rPr>
      </w:pPr>
      <w:r w:rsidRPr="00600BE5">
        <w:rPr>
          <w:rFonts w:ascii="Times New Roman" w:eastAsia="Times New Roman" w:hAnsi="Times New Roman" w:cs="Times New Roman"/>
          <w:color w:val="000000"/>
          <w:sz w:val="20"/>
          <w:szCs w:val="20"/>
        </w:rPr>
        <w:t xml:space="preserve">ANSWER: </w:t>
      </w:r>
      <w:r w:rsidRPr="00600BE5">
        <w:rPr>
          <w:rFonts w:ascii="Times New Roman" w:eastAsia="Times New Roman" w:hAnsi="Times New Roman" w:cs="Times New Roman"/>
          <w:b/>
          <w:bCs/>
          <w:color w:val="000000"/>
          <w:sz w:val="20"/>
          <w:szCs w:val="20"/>
          <w:u w:val="single"/>
        </w:rPr>
        <w:t>planar</w:t>
      </w:r>
      <w:r w:rsidRPr="00600BE5">
        <w:rPr>
          <w:rFonts w:ascii="Times New Roman" w:eastAsia="Times New Roman" w:hAnsi="Times New Roman" w:cs="Times New Roman"/>
          <w:color w:val="000000"/>
          <w:sz w:val="20"/>
          <w:szCs w:val="20"/>
        </w:rPr>
        <w:t xml:space="preserve"> [accept word forms]</w:t>
      </w:r>
    </w:p>
    <w:p w:rsidR="00600BE5" w:rsidRDefault="00600BE5" w:rsidP="00600BE5">
      <w:pPr>
        <w:spacing w:after="0" w:line="240" w:lineRule="auto"/>
        <w:rPr>
          <w:rFonts w:ascii="Times New Roman" w:eastAsia="Times New Roman" w:hAnsi="Times New Roman" w:cs="Times New Roman"/>
          <w:b/>
          <w:bCs/>
          <w:color w:val="000000"/>
          <w:sz w:val="20"/>
          <w:szCs w:val="20"/>
        </w:rPr>
      </w:pPr>
    </w:p>
    <w:p w:rsidR="00077AFF" w:rsidRPr="00077AFF" w:rsidRDefault="00F14537" w:rsidP="00077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r w:rsidR="00077AFF" w:rsidRPr="00077AFF">
        <w:rPr>
          <w:rFonts w:ascii="Times New Roman" w:eastAsia="Times New Roman" w:hAnsi="Times New Roman" w:cs="Times New Roman"/>
          <w:b/>
          <w:bCs/>
          <w:color w:val="000000"/>
          <w:sz w:val="20"/>
          <w:szCs w:val="20"/>
        </w:rPr>
        <w:t xml:space="preserve">Wu and Ting found that the Odysseus gene in various Drosophila species can mediate this phenomenon, and genes that mediate this phenomenon can be found using introgression. One model for this phenomenon was partly supported by the work of </w:t>
      </w:r>
      <w:proofErr w:type="spellStart"/>
      <w:r w:rsidR="00077AFF" w:rsidRPr="00077AFF">
        <w:rPr>
          <w:rFonts w:ascii="Times New Roman" w:eastAsia="Times New Roman" w:hAnsi="Times New Roman" w:cs="Times New Roman"/>
          <w:b/>
          <w:bCs/>
          <w:color w:val="000000"/>
          <w:sz w:val="20"/>
          <w:szCs w:val="20"/>
        </w:rPr>
        <w:t>Barbash</w:t>
      </w:r>
      <w:proofErr w:type="spellEnd"/>
      <w:r w:rsidR="00077AFF" w:rsidRPr="00077AFF">
        <w:rPr>
          <w:rFonts w:ascii="Times New Roman" w:eastAsia="Times New Roman" w:hAnsi="Times New Roman" w:cs="Times New Roman"/>
          <w:b/>
          <w:bCs/>
          <w:color w:val="000000"/>
          <w:sz w:val="20"/>
          <w:szCs w:val="20"/>
        </w:rPr>
        <w:t xml:space="preserve">, who found the interacting pair of genes </w:t>
      </w:r>
      <w:proofErr w:type="spellStart"/>
      <w:r w:rsidR="00077AFF" w:rsidRPr="00077AFF">
        <w:rPr>
          <w:rFonts w:ascii="Times New Roman" w:eastAsia="Times New Roman" w:hAnsi="Times New Roman" w:cs="Times New Roman"/>
          <w:b/>
          <w:bCs/>
          <w:color w:val="000000"/>
          <w:sz w:val="20"/>
          <w:szCs w:val="20"/>
        </w:rPr>
        <w:t>Hmr</w:t>
      </w:r>
      <w:proofErr w:type="spellEnd"/>
      <w:r w:rsidR="00077AFF" w:rsidRPr="00077AFF">
        <w:rPr>
          <w:rFonts w:ascii="Times New Roman" w:eastAsia="Times New Roman" w:hAnsi="Times New Roman" w:cs="Times New Roman"/>
          <w:b/>
          <w:bCs/>
          <w:color w:val="000000"/>
          <w:sz w:val="20"/>
          <w:szCs w:val="20"/>
        </w:rPr>
        <w:t xml:space="preserve"> and </w:t>
      </w:r>
      <w:proofErr w:type="spellStart"/>
      <w:r w:rsidR="00077AFF" w:rsidRPr="00077AFF">
        <w:rPr>
          <w:rFonts w:ascii="Times New Roman" w:eastAsia="Times New Roman" w:hAnsi="Times New Roman" w:cs="Times New Roman"/>
          <w:b/>
          <w:bCs/>
          <w:color w:val="000000"/>
          <w:sz w:val="20"/>
          <w:szCs w:val="20"/>
        </w:rPr>
        <w:t>Lhr</w:t>
      </w:r>
      <w:proofErr w:type="spellEnd"/>
      <w:r w:rsidR="00077AFF" w:rsidRPr="00077AFF">
        <w:rPr>
          <w:rFonts w:ascii="Times New Roman" w:eastAsia="Times New Roman" w:hAnsi="Times New Roman" w:cs="Times New Roman"/>
          <w:b/>
          <w:bCs/>
          <w:color w:val="000000"/>
          <w:sz w:val="20"/>
          <w:szCs w:val="20"/>
        </w:rPr>
        <w:t xml:space="preserve">. In various </w:t>
      </w:r>
      <w:proofErr w:type="spellStart"/>
      <w:r w:rsidR="00077AFF" w:rsidRPr="00077AFF">
        <w:rPr>
          <w:rFonts w:ascii="Times New Roman" w:eastAsia="Times New Roman" w:hAnsi="Times New Roman" w:cs="Times New Roman"/>
          <w:b/>
          <w:bCs/>
          <w:color w:val="000000"/>
          <w:sz w:val="20"/>
          <w:szCs w:val="20"/>
        </w:rPr>
        <w:t>Xiphophorus</w:t>
      </w:r>
      <w:proofErr w:type="spellEnd"/>
      <w:r w:rsidR="00077AFF" w:rsidRPr="00077AFF">
        <w:rPr>
          <w:rFonts w:ascii="Times New Roman" w:eastAsia="Times New Roman" w:hAnsi="Times New Roman" w:cs="Times New Roman"/>
          <w:b/>
          <w:bCs/>
          <w:color w:val="000000"/>
          <w:sz w:val="20"/>
          <w:szCs w:val="20"/>
        </w:rPr>
        <w:t xml:space="preserve"> species, this phenomenon occurs by spots on the fins turning into tumors due to </w:t>
      </w:r>
      <w:proofErr w:type="spellStart"/>
      <w:r w:rsidR="00077AFF" w:rsidRPr="00077AFF">
        <w:rPr>
          <w:rFonts w:ascii="Times New Roman" w:eastAsia="Times New Roman" w:hAnsi="Times New Roman" w:cs="Times New Roman"/>
          <w:b/>
          <w:bCs/>
          <w:color w:val="000000"/>
          <w:sz w:val="20"/>
          <w:szCs w:val="20"/>
        </w:rPr>
        <w:t>misregulation</w:t>
      </w:r>
      <w:proofErr w:type="spellEnd"/>
      <w:r w:rsidR="00077AFF" w:rsidRPr="00077AFF">
        <w:rPr>
          <w:rFonts w:ascii="Times New Roman" w:eastAsia="Times New Roman" w:hAnsi="Times New Roman" w:cs="Times New Roman"/>
          <w:b/>
          <w:bCs/>
          <w:color w:val="000000"/>
          <w:sz w:val="20"/>
          <w:szCs w:val="20"/>
        </w:rPr>
        <w:t xml:space="preserve"> of the Xmrk-2 gene. Coyne and Orr were the first to map several factors that contribute to this phenomenon in three different lines of Drosophila. This phenomenon requires mutations in at least two genetic loci according to a model developed by</w:t>
      </w:r>
      <w:r w:rsidR="00077AFF" w:rsidRPr="00077AFF">
        <w:rPr>
          <w:rFonts w:ascii="Times New Roman" w:eastAsia="Times New Roman" w:hAnsi="Times New Roman" w:cs="Times New Roman"/>
          <w:color w:val="000000"/>
          <w:sz w:val="20"/>
          <w:szCs w:val="20"/>
        </w:rPr>
        <w:t xml:space="preserve"> (*) </w:t>
      </w:r>
      <w:proofErr w:type="spellStart"/>
      <w:r w:rsidR="00077AFF" w:rsidRPr="00077AFF">
        <w:rPr>
          <w:rFonts w:ascii="Times New Roman" w:eastAsia="Times New Roman" w:hAnsi="Times New Roman" w:cs="Times New Roman"/>
          <w:color w:val="000000"/>
          <w:sz w:val="20"/>
          <w:szCs w:val="20"/>
        </w:rPr>
        <w:t>Dobzhansky</w:t>
      </w:r>
      <w:proofErr w:type="spellEnd"/>
      <w:r w:rsidR="00077AFF" w:rsidRPr="00077AFF">
        <w:rPr>
          <w:rFonts w:ascii="Times New Roman" w:eastAsia="Times New Roman" w:hAnsi="Times New Roman" w:cs="Times New Roman"/>
          <w:color w:val="000000"/>
          <w:sz w:val="20"/>
          <w:szCs w:val="20"/>
        </w:rPr>
        <w:t xml:space="preserve"> and Muller. Haldane’s rule states that this condition typically occurs in the heterogametic sex. This form of reproductive isolation occurs post-</w:t>
      </w:r>
      <w:proofErr w:type="spellStart"/>
      <w:r w:rsidR="00077AFF" w:rsidRPr="00077AFF">
        <w:rPr>
          <w:rFonts w:ascii="Times New Roman" w:eastAsia="Times New Roman" w:hAnsi="Times New Roman" w:cs="Times New Roman"/>
          <w:color w:val="000000"/>
          <w:sz w:val="20"/>
          <w:szCs w:val="20"/>
        </w:rPr>
        <w:t>zygotically</w:t>
      </w:r>
      <w:proofErr w:type="spellEnd"/>
      <w:r w:rsidR="00077AFF" w:rsidRPr="00077AFF">
        <w:rPr>
          <w:rFonts w:ascii="Times New Roman" w:eastAsia="Times New Roman" w:hAnsi="Times New Roman" w:cs="Times New Roman"/>
          <w:color w:val="000000"/>
          <w:sz w:val="20"/>
          <w:szCs w:val="20"/>
        </w:rPr>
        <w:t xml:space="preserve"> and affects male ligers and mules. For 10 points, name this phenomenon in which the offspring of two different species can’t propagate.</w:t>
      </w:r>
    </w:p>
    <w:p w:rsidR="00077AFF" w:rsidRPr="00077AFF" w:rsidRDefault="00077AFF" w:rsidP="00077AFF">
      <w:pPr>
        <w:spacing w:after="0" w:line="240" w:lineRule="auto"/>
        <w:rPr>
          <w:rFonts w:ascii="Times New Roman" w:hAnsi="Times New Roman" w:cs="Times New Roman"/>
          <w:sz w:val="20"/>
          <w:szCs w:val="20"/>
        </w:rPr>
      </w:pPr>
      <w:r w:rsidRPr="00077AFF">
        <w:rPr>
          <w:rFonts w:ascii="Times New Roman" w:eastAsia="Times New Roman" w:hAnsi="Times New Roman" w:cs="Times New Roman"/>
          <w:color w:val="000000"/>
          <w:sz w:val="20"/>
          <w:szCs w:val="20"/>
        </w:rPr>
        <w:t xml:space="preserve">ANSWER: hybrid </w:t>
      </w:r>
      <w:r w:rsidRPr="00077AFF">
        <w:rPr>
          <w:rFonts w:ascii="Times New Roman" w:eastAsia="Times New Roman" w:hAnsi="Times New Roman" w:cs="Times New Roman"/>
          <w:b/>
          <w:bCs/>
          <w:color w:val="000000"/>
          <w:sz w:val="20"/>
          <w:szCs w:val="20"/>
          <w:u w:val="single"/>
        </w:rPr>
        <w:t>incompatibility</w:t>
      </w:r>
      <w:r w:rsidRPr="00077AFF">
        <w:rPr>
          <w:rFonts w:ascii="Times New Roman" w:eastAsia="Times New Roman" w:hAnsi="Times New Roman" w:cs="Times New Roman"/>
          <w:color w:val="000000"/>
          <w:sz w:val="20"/>
          <w:szCs w:val="20"/>
        </w:rPr>
        <w:t xml:space="preserve"> [accept hybrid</w:t>
      </w:r>
      <w:r w:rsidRPr="00077AFF">
        <w:rPr>
          <w:rFonts w:ascii="Times New Roman" w:eastAsia="Times New Roman" w:hAnsi="Times New Roman" w:cs="Times New Roman"/>
          <w:b/>
          <w:bCs/>
          <w:color w:val="000000"/>
          <w:sz w:val="20"/>
          <w:szCs w:val="20"/>
          <w:u w:val="single"/>
        </w:rPr>
        <w:t xml:space="preserve"> lethality</w:t>
      </w:r>
      <w:r w:rsidRPr="00077AFF">
        <w:rPr>
          <w:rFonts w:ascii="Times New Roman" w:eastAsia="Times New Roman" w:hAnsi="Times New Roman" w:cs="Times New Roman"/>
          <w:color w:val="000000"/>
          <w:sz w:val="20"/>
          <w:szCs w:val="20"/>
        </w:rPr>
        <w:t xml:space="preserve"> or hybrid </w:t>
      </w:r>
      <w:r w:rsidRPr="00077AFF">
        <w:rPr>
          <w:rFonts w:ascii="Times New Roman" w:eastAsia="Times New Roman" w:hAnsi="Times New Roman" w:cs="Times New Roman"/>
          <w:b/>
          <w:bCs/>
          <w:color w:val="000000"/>
          <w:sz w:val="20"/>
          <w:szCs w:val="20"/>
          <w:u w:val="single"/>
        </w:rPr>
        <w:t>sterility</w:t>
      </w:r>
      <w:r w:rsidRPr="00077AFF">
        <w:rPr>
          <w:rFonts w:ascii="Times New Roman" w:eastAsia="Times New Roman" w:hAnsi="Times New Roman" w:cs="Times New Roman"/>
          <w:color w:val="000000"/>
          <w:sz w:val="20"/>
          <w:szCs w:val="20"/>
        </w:rPr>
        <w:t>; accept answers like “</w:t>
      </w:r>
      <w:r w:rsidRPr="00077AFF">
        <w:rPr>
          <w:rFonts w:ascii="Times New Roman" w:eastAsia="Times New Roman" w:hAnsi="Times New Roman" w:cs="Times New Roman"/>
          <w:b/>
          <w:bCs/>
          <w:color w:val="000000"/>
          <w:sz w:val="20"/>
          <w:szCs w:val="20"/>
          <w:u w:val="single"/>
        </w:rPr>
        <w:t>hybrids aren’t viable</w:t>
      </w:r>
      <w:r w:rsidRPr="00077AFF">
        <w:rPr>
          <w:rFonts w:ascii="Times New Roman" w:eastAsia="Times New Roman" w:hAnsi="Times New Roman" w:cs="Times New Roman"/>
          <w:color w:val="000000"/>
          <w:sz w:val="20"/>
          <w:szCs w:val="20"/>
        </w:rPr>
        <w:t>” or “</w:t>
      </w:r>
      <w:r w:rsidRPr="00077AFF">
        <w:rPr>
          <w:rFonts w:ascii="Times New Roman" w:eastAsia="Times New Roman" w:hAnsi="Times New Roman" w:cs="Times New Roman"/>
          <w:b/>
          <w:bCs/>
          <w:color w:val="000000"/>
          <w:sz w:val="20"/>
          <w:szCs w:val="20"/>
          <w:u w:val="single"/>
        </w:rPr>
        <w:t>hybrids can’t reproduce</w:t>
      </w:r>
      <w:r w:rsidRPr="00077AFF">
        <w:rPr>
          <w:rFonts w:ascii="Times New Roman" w:eastAsia="Times New Roman" w:hAnsi="Times New Roman" w:cs="Times New Roman"/>
          <w:color w:val="000000"/>
          <w:sz w:val="20"/>
          <w:szCs w:val="20"/>
        </w:rPr>
        <w:t>”]</w:t>
      </w:r>
    </w:p>
    <w:sectPr w:rsidR="00077AFF" w:rsidRPr="0007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EE"/>
    <w:rsid w:val="00077AFF"/>
    <w:rsid w:val="000F4E62"/>
    <w:rsid w:val="001B67EE"/>
    <w:rsid w:val="003E6434"/>
    <w:rsid w:val="00510D39"/>
    <w:rsid w:val="005C5B80"/>
    <w:rsid w:val="00600BE5"/>
    <w:rsid w:val="00F1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3E19-4187-4A3F-B87F-A4EF4920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2588">
      <w:bodyDiv w:val="1"/>
      <w:marLeft w:val="0"/>
      <w:marRight w:val="0"/>
      <w:marTop w:val="0"/>
      <w:marBottom w:val="0"/>
      <w:divBdr>
        <w:top w:val="none" w:sz="0" w:space="0" w:color="auto"/>
        <w:left w:val="none" w:sz="0" w:space="0" w:color="auto"/>
        <w:bottom w:val="none" w:sz="0" w:space="0" w:color="auto"/>
        <w:right w:val="none" w:sz="0" w:space="0" w:color="auto"/>
      </w:divBdr>
    </w:div>
    <w:div w:id="262109689">
      <w:bodyDiv w:val="1"/>
      <w:marLeft w:val="0"/>
      <w:marRight w:val="0"/>
      <w:marTop w:val="0"/>
      <w:marBottom w:val="0"/>
      <w:divBdr>
        <w:top w:val="none" w:sz="0" w:space="0" w:color="auto"/>
        <w:left w:val="none" w:sz="0" w:space="0" w:color="auto"/>
        <w:bottom w:val="none" w:sz="0" w:space="0" w:color="auto"/>
        <w:right w:val="none" w:sz="0" w:space="0" w:color="auto"/>
      </w:divBdr>
    </w:div>
    <w:div w:id="280654204">
      <w:bodyDiv w:val="1"/>
      <w:marLeft w:val="0"/>
      <w:marRight w:val="0"/>
      <w:marTop w:val="0"/>
      <w:marBottom w:val="0"/>
      <w:divBdr>
        <w:top w:val="none" w:sz="0" w:space="0" w:color="auto"/>
        <w:left w:val="none" w:sz="0" w:space="0" w:color="auto"/>
        <w:bottom w:val="none" w:sz="0" w:space="0" w:color="auto"/>
        <w:right w:val="none" w:sz="0" w:space="0" w:color="auto"/>
      </w:divBdr>
    </w:div>
    <w:div w:id="325402927">
      <w:bodyDiv w:val="1"/>
      <w:marLeft w:val="0"/>
      <w:marRight w:val="0"/>
      <w:marTop w:val="0"/>
      <w:marBottom w:val="0"/>
      <w:divBdr>
        <w:top w:val="none" w:sz="0" w:space="0" w:color="auto"/>
        <w:left w:val="none" w:sz="0" w:space="0" w:color="auto"/>
        <w:bottom w:val="none" w:sz="0" w:space="0" w:color="auto"/>
        <w:right w:val="none" w:sz="0" w:space="0" w:color="auto"/>
      </w:divBdr>
    </w:div>
    <w:div w:id="368531904">
      <w:bodyDiv w:val="1"/>
      <w:marLeft w:val="0"/>
      <w:marRight w:val="0"/>
      <w:marTop w:val="0"/>
      <w:marBottom w:val="0"/>
      <w:divBdr>
        <w:top w:val="none" w:sz="0" w:space="0" w:color="auto"/>
        <w:left w:val="none" w:sz="0" w:space="0" w:color="auto"/>
        <w:bottom w:val="none" w:sz="0" w:space="0" w:color="auto"/>
        <w:right w:val="none" w:sz="0" w:space="0" w:color="auto"/>
      </w:divBdr>
    </w:div>
    <w:div w:id="578100699">
      <w:bodyDiv w:val="1"/>
      <w:marLeft w:val="0"/>
      <w:marRight w:val="0"/>
      <w:marTop w:val="0"/>
      <w:marBottom w:val="0"/>
      <w:divBdr>
        <w:top w:val="none" w:sz="0" w:space="0" w:color="auto"/>
        <w:left w:val="none" w:sz="0" w:space="0" w:color="auto"/>
        <w:bottom w:val="none" w:sz="0" w:space="0" w:color="auto"/>
        <w:right w:val="none" w:sz="0" w:space="0" w:color="auto"/>
      </w:divBdr>
    </w:div>
    <w:div w:id="623999756">
      <w:bodyDiv w:val="1"/>
      <w:marLeft w:val="0"/>
      <w:marRight w:val="0"/>
      <w:marTop w:val="0"/>
      <w:marBottom w:val="0"/>
      <w:divBdr>
        <w:top w:val="none" w:sz="0" w:space="0" w:color="auto"/>
        <w:left w:val="none" w:sz="0" w:space="0" w:color="auto"/>
        <w:bottom w:val="none" w:sz="0" w:space="0" w:color="auto"/>
        <w:right w:val="none" w:sz="0" w:space="0" w:color="auto"/>
      </w:divBdr>
    </w:div>
    <w:div w:id="845705134">
      <w:bodyDiv w:val="1"/>
      <w:marLeft w:val="0"/>
      <w:marRight w:val="0"/>
      <w:marTop w:val="0"/>
      <w:marBottom w:val="0"/>
      <w:divBdr>
        <w:top w:val="none" w:sz="0" w:space="0" w:color="auto"/>
        <w:left w:val="none" w:sz="0" w:space="0" w:color="auto"/>
        <w:bottom w:val="none" w:sz="0" w:space="0" w:color="auto"/>
        <w:right w:val="none" w:sz="0" w:space="0" w:color="auto"/>
      </w:divBdr>
    </w:div>
    <w:div w:id="979533430">
      <w:bodyDiv w:val="1"/>
      <w:marLeft w:val="0"/>
      <w:marRight w:val="0"/>
      <w:marTop w:val="0"/>
      <w:marBottom w:val="0"/>
      <w:divBdr>
        <w:top w:val="none" w:sz="0" w:space="0" w:color="auto"/>
        <w:left w:val="none" w:sz="0" w:space="0" w:color="auto"/>
        <w:bottom w:val="none" w:sz="0" w:space="0" w:color="auto"/>
        <w:right w:val="none" w:sz="0" w:space="0" w:color="auto"/>
      </w:divBdr>
    </w:div>
    <w:div w:id="1297176637">
      <w:bodyDiv w:val="1"/>
      <w:marLeft w:val="0"/>
      <w:marRight w:val="0"/>
      <w:marTop w:val="0"/>
      <w:marBottom w:val="0"/>
      <w:divBdr>
        <w:top w:val="none" w:sz="0" w:space="0" w:color="auto"/>
        <w:left w:val="none" w:sz="0" w:space="0" w:color="auto"/>
        <w:bottom w:val="none" w:sz="0" w:space="0" w:color="auto"/>
        <w:right w:val="none" w:sz="0" w:space="0" w:color="auto"/>
      </w:divBdr>
    </w:div>
    <w:div w:id="1320839326">
      <w:bodyDiv w:val="1"/>
      <w:marLeft w:val="0"/>
      <w:marRight w:val="0"/>
      <w:marTop w:val="0"/>
      <w:marBottom w:val="0"/>
      <w:divBdr>
        <w:top w:val="none" w:sz="0" w:space="0" w:color="auto"/>
        <w:left w:val="none" w:sz="0" w:space="0" w:color="auto"/>
        <w:bottom w:val="none" w:sz="0" w:space="0" w:color="auto"/>
        <w:right w:val="none" w:sz="0" w:space="0" w:color="auto"/>
      </w:divBdr>
    </w:div>
    <w:div w:id="1422019334">
      <w:bodyDiv w:val="1"/>
      <w:marLeft w:val="0"/>
      <w:marRight w:val="0"/>
      <w:marTop w:val="0"/>
      <w:marBottom w:val="0"/>
      <w:divBdr>
        <w:top w:val="none" w:sz="0" w:space="0" w:color="auto"/>
        <w:left w:val="none" w:sz="0" w:space="0" w:color="auto"/>
        <w:bottom w:val="none" w:sz="0" w:space="0" w:color="auto"/>
        <w:right w:val="none" w:sz="0" w:space="0" w:color="auto"/>
      </w:divBdr>
    </w:div>
    <w:div w:id="1431586274">
      <w:bodyDiv w:val="1"/>
      <w:marLeft w:val="0"/>
      <w:marRight w:val="0"/>
      <w:marTop w:val="0"/>
      <w:marBottom w:val="0"/>
      <w:divBdr>
        <w:top w:val="none" w:sz="0" w:space="0" w:color="auto"/>
        <w:left w:val="none" w:sz="0" w:space="0" w:color="auto"/>
        <w:bottom w:val="none" w:sz="0" w:space="0" w:color="auto"/>
        <w:right w:val="none" w:sz="0" w:space="0" w:color="auto"/>
      </w:divBdr>
    </w:div>
    <w:div w:id="1434590658">
      <w:bodyDiv w:val="1"/>
      <w:marLeft w:val="0"/>
      <w:marRight w:val="0"/>
      <w:marTop w:val="0"/>
      <w:marBottom w:val="0"/>
      <w:divBdr>
        <w:top w:val="none" w:sz="0" w:space="0" w:color="auto"/>
        <w:left w:val="none" w:sz="0" w:space="0" w:color="auto"/>
        <w:bottom w:val="none" w:sz="0" w:space="0" w:color="auto"/>
        <w:right w:val="none" w:sz="0" w:space="0" w:color="auto"/>
      </w:divBdr>
    </w:div>
    <w:div w:id="1461653262">
      <w:bodyDiv w:val="1"/>
      <w:marLeft w:val="0"/>
      <w:marRight w:val="0"/>
      <w:marTop w:val="0"/>
      <w:marBottom w:val="0"/>
      <w:divBdr>
        <w:top w:val="none" w:sz="0" w:space="0" w:color="auto"/>
        <w:left w:val="none" w:sz="0" w:space="0" w:color="auto"/>
        <w:bottom w:val="none" w:sz="0" w:space="0" w:color="auto"/>
        <w:right w:val="none" w:sz="0" w:space="0" w:color="auto"/>
      </w:divBdr>
    </w:div>
    <w:div w:id="1563324038">
      <w:bodyDiv w:val="1"/>
      <w:marLeft w:val="0"/>
      <w:marRight w:val="0"/>
      <w:marTop w:val="0"/>
      <w:marBottom w:val="0"/>
      <w:divBdr>
        <w:top w:val="none" w:sz="0" w:space="0" w:color="auto"/>
        <w:left w:val="none" w:sz="0" w:space="0" w:color="auto"/>
        <w:bottom w:val="none" w:sz="0" w:space="0" w:color="auto"/>
        <w:right w:val="none" w:sz="0" w:space="0" w:color="auto"/>
      </w:divBdr>
    </w:div>
    <w:div w:id="180704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9394-CA56-4953-B144-7BEB6998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4</cp:revision>
  <dcterms:created xsi:type="dcterms:W3CDTF">2014-03-28T06:47:00Z</dcterms:created>
  <dcterms:modified xsi:type="dcterms:W3CDTF">2014-03-28T18:35:00Z</dcterms:modified>
</cp:coreProperties>
</file>