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lineRule="auto" w:line="240" w:before="0" w:after="0"/>
        <w:rPr>
          <w:rFonts w:eastAsia="Times New Roman" w:cs="Times New Roman" w:ascii="Times New Roman" w:hAnsi="Times New Roman"/>
          <w:b w:val="false"/>
          <w:position w:val="0"/>
          <w:sz w:val="20"/>
          <w:sz w:val="20"/>
          <w:szCs w:val="20"/>
          <w:vertAlign w:val="baseline"/>
        </w:rPr>
      </w:pPr>
      <w:bookmarkStart w:id="0" w:name="h.gjdgxs"/>
      <w:bookmarkEnd w:id="0"/>
      <w:r>
        <w:rPr>
          <w:rFonts w:eastAsia="Times New Roman" w:cs="Times New Roman" w:ascii="Times New Roman" w:hAnsi="Times New Roman"/>
          <w:b w:val="false"/>
          <w:position w:val="0"/>
          <w:sz w:val="20"/>
          <w:sz w:val="20"/>
          <w:szCs w:val="20"/>
          <w:vertAlign w:val="baseline"/>
        </w:rPr>
        <w:t>2015 Chicago Open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position w:val="0"/>
          <w:sz w:val="20"/>
          <w:sz w:val="20"/>
          <w:szCs w:val="20"/>
          <w:vertAlign w:val="baseline"/>
        </w:rPr>
        <w:t>Packet by PROBABLY BE S</w:t>
      </w:r>
      <w:r>
        <w:rPr>
          <w:rFonts w:eastAsia="Times New Roman" w:cs="Times New Roman" w:ascii="Times New Roman" w:hAnsi="Times New Roman"/>
          <w:sz w:val="20"/>
          <w:szCs w:val="20"/>
        </w:rPr>
        <w:t>KEPTICAL OF THA POLICE</w:t>
      </w:r>
      <w:r>
        <w:rPr>
          <w:rFonts w:eastAsia="Times New Roman" w:cs="Times New Roman" w:ascii="Times New Roman" w:hAnsi="Times New Roman"/>
          <w:b w:val="false"/>
          <w:position w:val="0"/>
          <w:sz w:val="20"/>
          <w:sz w:val="20"/>
          <w:szCs w:val="20"/>
          <w:vertAlign w:val="baseline"/>
        </w:rPr>
        <w:t xml:space="preserve"> (Stephen Liu, Brian McPeak, Saajid Moyen, and Chris Ray</w:t>
      </w:r>
      <w:r>
        <w:rPr>
          <w:rFonts w:eastAsia="Times New Roman" w:cs="Times New Roman" w:ascii="Times New Roman" w:hAnsi="Times New Roman"/>
          <w:sz w:val="20"/>
          <w:szCs w:val="20"/>
        </w:rPr>
        <w: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The John Doe-like placeholder name “Ploni Almoni” derives from a text read on this holiday. The special </w:t>
      </w:r>
      <w:r>
        <w:rPr>
          <w:rFonts w:eastAsia="Times New Roman" w:cs="Times New Roman" w:ascii="Times New Roman" w:hAnsi="Times New Roman"/>
          <w:b/>
          <w:i/>
          <w:sz w:val="20"/>
          <w:szCs w:val="20"/>
        </w:rPr>
        <w:t>ta’am elyon</w:t>
      </w:r>
      <w:r>
        <w:rPr>
          <w:rFonts w:eastAsia="Times New Roman" w:cs="Times New Roman" w:ascii="Times New Roman" w:hAnsi="Times New Roman"/>
          <w:b/>
          <w:sz w:val="20"/>
          <w:szCs w:val="20"/>
        </w:rPr>
        <w:t xml:space="preserve"> melody is used for reading a section of the Parsha Yitro only on this holiday. A mnemonic for this holiday’s customs is </w:t>
      </w:r>
      <w:r>
        <w:rPr>
          <w:rFonts w:eastAsia="Times New Roman" w:cs="Times New Roman" w:ascii="Times New Roman" w:hAnsi="Times New Roman"/>
          <w:b/>
          <w:i/>
          <w:sz w:val="20"/>
          <w:szCs w:val="20"/>
        </w:rPr>
        <w:t>acharit</w:t>
      </w:r>
      <w:r>
        <w:rPr>
          <w:rFonts w:eastAsia="Times New Roman" w:cs="Times New Roman" w:ascii="Times New Roman" w:hAnsi="Times New Roman"/>
          <w:b/>
          <w:sz w:val="20"/>
          <w:szCs w:val="20"/>
        </w:rPr>
        <w:t xml:space="preserve">, meaning last. Sephardim often recite Azharot, poetic summaries of all the </w:t>
      </w:r>
      <w:r>
        <w:rPr>
          <w:rFonts w:eastAsia="Times New Roman" w:cs="Times New Roman" w:ascii="Times New Roman" w:hAnsi="Times New Roman"/>
          <w:b/>
          <w:i/>
          <w:sz w:val="20"/>
          <w:szCs w:val="20"/>
        </w:rPr>
        <w:t>mitzvot</w:t>
      </w:r>
      <w:r>
        <w:rPr>
          <w:rFonts w:eastAsia="Times New Roman" w:cs="Times New Roman" w:ascii="Times New Roman" w:hAnsi="Times New Roman"/>
          <w:b/>
          <w:sz w:val="20"/>
          <w:szCs w:val="20"/>
        </w:rPr>
        <w:t xml:space="preserve">, on this holiday. The description of a land flowing with milk and honey in Exodus 3:8 is a widely cited reason for why foods such as </w:t>
      </w:r>
      <w:r>
        <w:rPr>
          <w:rFonts w:eastAsia="Times New Roman" w:cs="Times New Roman" w:ascii="Times New Roman" w:hAnsi="Times New Roman"/>
          <w:sz w:val="20"/>
          <w:szCs w:val="20"/>
        </w:rPr>
        <w:t>(*) blintzes are eaten on this holiday. The tractate at the end of the first Mishnah Order, Bikkurim, commands the first fruits to be brought to the Temple for this last of the “Three Leg” holidays per year.  It is customary to eat dairy food and read the Book of Ruth is on this holiday. It occurs at the end of the fifty-day Omer that began at Passover, and its name means “Weeks.” For 10 points, name this holiday coincident with Pentecost, which celebrates Moses receiving the Torah on Mount Sinai.</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Shavuot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highlight w:val="white"/>
          <w:u w:val="single"/>
        </w:rPr>
        <w:t>Pentecost</w:t>
      </w:r>
      <w:r>
        <w:rPr>
          <w:rFonts w:eastAsia="Times New Roman" w:cs="Times New Roman" w:ascii="Times New Roman" w:hAnsi="Times New Roman"/>
          <w:sz w:val="20"/>
          <w:szCs w:val="20"/>
        </w:rPr>
        <w:t xml:space="preserve"> before mention]</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w:t>
      </w:r>
      <w:r>
        <w:rPr>
          <w:rFonts w:eastAsia="Times New Roman" w:cs="Times New Roman" w:ascii="Times New Roman" w:hAnsi="Times New Roman"/>
          <w:b/>
          <w:sz w:val="20"/>
          <w:szCs w:val="20"/>
        </w:rPr>
        <w:t xml:space="preserve"> One of these texts defending public displays in McCreary County raised eyebrows for citing the author as a source seven times. Another of these documents described “transparently false” logic that weakened the confrontation clause of the Sixth Amendment in </w:t>
      </w:r>
      <w:r>
        <w:rPr>
          <w:rFonts w:eastAsia="Times New Roman" w:cs="Times New Roman" w:ascii="Times New Roman" w:hAnsi="Times New Roman"/>
          <w:b/>
          <w:i/>
          <w:sz w:val="20"/>
          <w:szCs w:val="20"/>
        </w:rPr>
        <w:t>Michigan v. Bryant</w:t>
      </w:r>
      <w:r>
        <w:rPr>
          <w:rFonts w:eastAsia="Times New Roman" w:cs="Times New Roman" w:ascii="Times New Roman" w:hAnsi="Times New Roman"/>
          <w:b/>
          <w:sz w:val="20"/>
          <w:szCs w:val="20"/>
        </w:rPr>
        <w:t xml:space="preserve">. A controversial one predicted that </w:t>
      </w:r>
      <w:r>
        <w:rPr>
          <w:rFonts w:eastAsia="Times New Roman" w:cs="Times New Roman" w:ascii="Times New Roman" w:hAnsi="Times New Roman"/>
          <w:b/>
          <w:i/>
          <w:sz w:val="20"/>
          <w:szCs w:val="20"/>
        </w:rPr>
        <w:t>Boumediene v. Bush</w:t>
      </w:r>
      <w:r>
        <w:rPr>
          <w:rFonts w:eastAsia="Times New Roman" w:cs="Times New Roman" w:ascii="Times New Roman" w:hAnsi="Times New Roman"/>
          <w:b/>
          <w:sz w:val="20"/>
          <w:szCs w:val="20"/>
        </w:rPr>
        <w:t xml:space="preserve"> “will almost certainly cause more Americans to be killed.” A more recent document of this type was read from the bench,</w:t>
      </w:r>
      <w:r>
        <w:rPr>
          <w:rFonts w:eastAsia="Times New Roman" w:cs="Times New Roman" w:ascii="Times New Roman" w:hAnsi="Times New Roman"/>
          <w:sz w:val="20"/>
          <w:szCs w:val="20"/>
        </w:rPr>
        <w:t xml:space="preserve"> (*) denounced “legalistic argle-bargle,” and ridiculed the Court for labeling the opposition “</w:t>
      </w:r>
      <w:r>
        <w:rPr>
          <w:rFonts w:eastAsia="Times New Roman" w:cs="Times New Roman" w:ascii="Times New Roman" w:hAnsi="Times New Roman"/>
          <w:i/>
          <w:sz w:val="20"/>
          <w:szCs w:val="20"/>
        </w:rPr>
        <w:t>hostes humani generis</w:t>
      </w:r>
      <w:r>
        <w:rPr>
          <w:rFonts w:eastAsia="Times New Roman" w:cs="Times New Roman" w:ascii="Times New Roman" w:hAnsi="Times New Roman"/>
          <w:sz w:val="20"/>
          <w:szCs w:val="20"/>
        </w:rPr>
        <w:t xml:space="preserve">, enemies of the human race.” That example from </w:t>
      </w:r>
      <w:r>
        <w:rPr>
          <w:rFonts w:eastAsia="Times New Roman" w:cs="Times New Roman" w:ascii="Times New Roman" w:hAnsi="Times New Roman"/>
          <w:i/>
          <w:sz w:val="20"/>
          <w:szCs w:val="20"/>
        </w:rPr>
        <w:t>U.S. v. Windsor</w:t>
      </w:r>
      <w:r>
        <w:rPr>
          <w:rFonts w:eastAsia="Times New Roman" w:cs="Times New Roman" w:ascii="Times New Roman" w:hAnsi="Times New Roman"/>
          <w:sz w:val="20"/>
          <w:szCs w:val="20"/>
        </w:rPr>
        <w:t xml:space="preserve"> referenced another one of these texts, which lamented that </w:t>
      </w:r>
      <w:r>
        <w:rPr>
          <w:rFonts w:eastAsia="Times New Roman" w:cs="Times New Roman" w:ascii="Times New Roman" w:hAnsi="Times New Roman"/>
          <w:i/>
          <w:sz w:val="20"/>
          <w:szCs w:val="20"/>
        </w:rPr>
        <w:t xml:space="preserve">Bowers v. Hardwick </w:t>
      </w:r>
      <w:r>
        <w:rPr>
          <w:rFonts w:eastAsia="Times New Roman" w:cs="Times New Roman" w:ascii="Times New Roman" w:hAnsi="Times New Roman"/>
          <w:sz w:val="20"/>
          <w:szCs w:val="20"/>
        </w:rPr>
        <w:t xml:space="preserve">was being revisited to promote the “homosexual agenda.” Notably issued in </w:t>
      </w:r>
      <w:r>
        <w:rPr>
          <w:rFonts w:eastAsia="Times New Roman" w:cs="Times New Roman" w:ascii="Times New Roman" w:hAnsi="Times New Roman"/>
          <w:i/>
          <w:sz w:val="20"/>
          <w:szCs w:val="20"/>
        </w:rPr>
        <w:t xml:space="preserve">Planned Parenthood v. Casey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 xml:space="preserve">Lawrence v. Texas, </w:t>
      </w:r>
      <w:r>
        <w:rPr>
          <w:rFonts w:eastAsia="Times New Roman" w:cs="Times New Roman" w:ascii="Times New Roman" w:hAnsi="Times New Roman"/>
          <w:sz w:val="20"/>
          <w:szCs w:val="20"/>
        </w:rPr>
        <w:t>they are often joined by Clarence Thomas. For 10 points, name these frequently “pure applesauce” minority opinions issued by a conservative U.S. Supreme Court Justice.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Dissents</w:t>
      </w:r>
      <w:r>
        <w:rPr>
          <w:rFonts w:eastAsia="Times New Roman" w:cs="Times New Roman" w:ascii="Times New Roman" w:hAnsi="Times New Roman"/>
          <w:sz w:val="20"/>
          <w:szCs w:val="20"/>
        </w:rPr>
        <w:t xml:space="preserve"> of Antonin </w:t>
      </w:r>
      <w:r>
        <w:rPr>
          <w:rFonts w:eastAsia="Times New Roman" w:cs="Times New Roman" w:ascii="Times New Roman" w:hAnsi="Times New Roman"/>
          <w:b/>
          <w:sz w:val="20"/>
          <w:szCs w:val="20"/>
          <w:u w:val="single"/>
        </w:rPr>
        <w:t>Scalia</w:t>
      </w:r>
      <w:r>
        <w:rPr>
          <w:rFonts w:eastAsia="Times New Roman" w:cs="Times New Roman" w:ascii="Times New Roman" w:hAnsi="Times New Roman"/>
          <w:sz w:val="20"/>
          <w:szCs w:val="20"/>
        </w:rPr>
        <w:t xml:space="preserve"> [or equivalents; accept just </w:t>
      </w:r>
      <w:r>
        <w:rPr>
          <w:rFonts w:eastAsia="Times New Roman" w:cs="Times New Roman" w:ascii="Times New Roman" w:hAnsi="Times New Roman"/>
          <w:b/>
          <w:sz w:val="20"/>
          <w:szCs w:val="20"/>
          <w:u w:val="single"/>
        </w:rPr>
        <w:t>opinions</w:t>
      </w:r>
      <w:r>
        <w:rPr>
          <w:rFonts w:eastAsia="Times New Roman" w:cs="Times New Roman" w:ascii="Times New Roman" w:hAnsi="Times New Roman"/>
          <w:sz w:val="20"/>
          <w:szCs w:val="20"/>
        </w:rPr>
        <w:t xml:space="preserve"> of Antonin </w:t>
      </w:r>
      <w:r>
        <w:rPr>
          <w:rFonts w:eastAsia="Times New Roman" w:cs="Times New Roman" w:ascii="Times New Roman" w:hAnsi="Times New Roman"/>
          <w:b/>
          <w:sz w:val="20"/>
          <w:szCs w:val="20"/>
          <w:u w:val="single"/>
        </w:rPr>
        <w:t>Scalia</w:t>
      </w:r>
      <w:r>
        <w:rPr>
          <w:rFonts w:eastAsia="Times New Roman" w:cs="Times New Roman" w:ascii="Times New Roman" w:hAnsi="Times New Roman"/>
          <w:sz w:val="20"/>
          <w:szCs w:val="20"/>
        </w:rPr>
        <w:t xml:space="preserve"> or equivalents before “opinions,” and prompt afterward]</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In this work, one character identifies "the semblance of a bird" and "a trident, symbol of a god" on two of the statues on stage following the parados, which begins with an invocation to Zeus asking him to "look down benign on us who crave thine aid"; that sequence precedes a speech proclaiming, "Hateful, and fain of love more hateful still, / Foul is the bird that rends another bird". This work was the first and only surviving member of a trilogy or tetralogy that ended with the satyr play </w:t>
      </w:r>
      <w:r>
        <w:rPr>
          <w:rFonts w:eastAsia="Times New Roman" w:cs="Times New Roman" w:ascii="Times New Roman" w:hAnsi="Times New Roman"/>
          <w:b/>
          <w:i/>
          <w:sz w:val="20"/>
          <w:szCs w:val="20"/>
        </w:rPr>
        <w:t>Amymone</w:t>
      </w:r>
      <w:r>
        <w:rPr>
          <w:rFonts w:eastAsia="Times New Roman" w:cs="Times New Roman" w:ascii="Times New Roman" w:hAnsi="Times New Roman"/>
          <w:b/>
          <w:sz w:val="20"/>
          <w:szCs w:val="20"/>
        </w:rPr>
        <w:t>. At one point in this work, the title characters propose that they be hanged,</w:t>
      </w:r>
      <w:r>
        <w:rPr>
          <w:rFonts w:eastAsia="Times New Roman" w:cs="Times New Roman" w:ascii="Times New Roman" w:hAnsi="Times New Roman"/>
          <w:sz w:val="20"/>
          <w:szCs w:val="20"/>
        </w:rPr>
        <w:t xml:space="preserve"> (*) but instead are told to put wands onto an altar. This play, which centers on the families of the twin sons of Belus and Anchinoe, involves a vote by the Argives to allow Pelasgus to grant shelter to the title characters; those title characters are a group of fifty daughters who flee to avoid marriage to the fifty sons of Egyptus. For 10 points, name this drama by Aeschylus about the title chorus comprising the Danaids.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highlight w:val="white"/>
          <w:u w:val="single"/>
        </w:rPr>
        <w:t>Suppliants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highlight w:val="white"/>
          <w:u w:val="single"/>
        </w:rPr>
        <w:t>Hiketides</w:t>
      </w:r>
      <w:r>
        <w:rPr>
          <w:rFonts w:eastAsia="Times New Roman" w:cs="Times New Roman" w:ascii="Times New Roman" w:hAnsi="Times New Roman"/>
          <w:sz w:val="20"/>
          <w:szCs w:val="20"/>
        </w:rPr>
        <w:t xml:space="preserve">; accept equivalents of </w:t>
      </w:r>
      <w:r>
        <w:rPr>
          <w:rFonts w:eastAsia="Times New Roman" w:cs="Times New Roman" w:ascii="Times New Roman" w:hAnsi="Times New Roman"/>
          <w:b/>
          <w:sz w:val="20"/>
          <w:szCs w:val="20"/>
          <w:highlight w:val="white"/>
          <w:u w:val="single"/>
        </w:rPr>
        <w:t>suppliant women</w:t>
      </w:r>
      <w:r>
        <w:rPr>
          <w:rFonts w:eastAsia="Times New Roman" w:cs="Times New Roman" w:ascii="Times New Roman" w:hAnsi="Times New Roman"/>
          <w:sz w:val="20"/>
          <w:szCs w:val="20"/>
        </w:rPr>
        <w:t>]</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4. During this event, a jackal’s howls are answered by the cries of birds and the brays of donkeys. Before the last phase of this event, a man is called an “old blind fool” and a “scared rabbit.” An observer likens this event to scorching a garden to the roots instead of plucking its flowers day by day and tells the story of a king who domesticates a flock of birds that vomit gold, but then kills them in a fit of folly. This event takes place at a specially-built palace two miles in length and breadth that has one thousand columns, one hundred gates, and crystal arches. A figure who is dragged to this event by the hair elects to use only two of the three boons granted her by a king. An attempt to (*)</w:t>
      </w:r>
      <w:r>
        <w:rPr>
          <w:rFonts w:eastAsia="Times New Roman" w:cs="Times New Roman" w:ascii="Times New Roman" w:hAnsi="Times New Roman"/>
          <w:sz w:val="20"/>
          <w:szCs w:val="20"/>
        </w:rPr>
        <w:t xml:space="preserve"> disrobe one participant’s wife in this event fails when her garment magically lengthens, The loser of this event successively bets his wealth, his kingdom, and his brothers. During this event, Bhima vows to break Duryodhana’s thighs . For 10 points, name this event from Book Two of the </w:t>
      </w:r>
      <w:r>
        <w:rPr>
          <w:rFonts w:eastAsia="Times New Roman" w:cs="Times New Roman" w:ascii="Times New Roman" w:hAnsi="Times New Roman"/>
          <w:i/>
          <w:sz w:val="20"/>
          <w:szCs w:val="20"/>
        </w:rPr>
        <w:t>Mahabharata</w:t>
      </w:r>
      <w:r>
        <w:rPr>
          <w:rFonts w:eastAsia="Times New Roman" w:cs="Times New Roman" w:ascii="Times New Roman" w:hAnsi="Times New Roman"/>
          <w:sz w:val="20"/>
          <w:szCs w:val="20"/>
        </w:rPr>
        <w:t xml:space="preserve"> that ends with the Pandavas going into exile after Shakuni defeats Yudhishthira in a gambling match.</w:t>
      </w:r>
    </w:p>
    <w:p>
      <w:pPr>
        <w:pStyle w:val="Normal"/>
        <w:widowControl w:val="false"/>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highlight w:val="white"/>
          <w:u w:val="single"/>
        </w:rPr>
        <w:t>game of dice</w:t>
      </w:r>
      <w:r>
        <w:rPr>
          <w:rFonts w:eastAsia="Times New Roman" w:cs="Times New Roman" w:ascii="Times New Roman" w:hAnsi="Times New Roman"/>
          <w:sz w:val="20"/>
          <w:szCs w:val="20"/>
        </w:rPr>
        <w:t xml:space="preserve"> in the </w:t>
      </w:r>
      <w:r>
        <w:rPr>
          <w:rFonts w:eastAsia="Times New Roman" w:cs="Times New Roman" w:ascii="Times New Roman" w:hAnsi="Times New Roman"/>
          <w:i/>
          <w:sz w:val="20"/>
          <w:szCs w:val="20"/>
        </w:rPr>
        <w:t>Mahabharata</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The historians Keith Thomas and Alan Macfarlane developed a paradigm for studying these people which linked their existence to a refusal of charity. In the 19th century, the Reverend J.C. Atkinson undertook an ethnographic survey in Yorkshire that demonstrated the persistence of beliefs associated with these people. Hugh Trevor-Roper argued that the existence of a “craze” involving these people was part of a more general “Crisis of the Seventeenth Century,” as it had not existed in the Middle Ages. An erroneous figure for the number of deaths of these people was worked out in the late 18th century by Gottfried Voigt; that nine million figure</w:t>
      </w:r>
      <w:r>
        <w:rPr>
          <w:rFonts w:eastAsia="Times New Roman" w:cs="Times New Roman" w:ascii="Times New Roman" w:hAnsi="Times New Roman"/>
          <w:sz w:val="20"/>
          <w:szCs w:val="20"/>
        </w:rPr>
        <w:t xml:space="preserve"> is now considered bogus. In Scotland, the skepticism of magistrate George Mackenzie greatly reduced the number of deaths of these people, though more than 70 alleged ones perished earlier in an event in North Berwick in 1590. The alleged evils of these people were catalogued by a tag team of Johann Sprenger and Heinrich Kramer, as well as by James I in his </w:t>
      </w:r>
      <w:r>
        <w:rPr>
          <w:rFonts w:eastAsia="Times New Roman" w:cs="Times New Roman" w:ascii="Times New Roman" w:hAnsi="Times New Roman"/>
          <w:i/>
          <w:sz w:val="20"/>
          <w:szCs w:val="20"/>
        </w:rPr>
        <w:t>Daemonologie</w:t>
      </w:r>
      <w:r>
        <w:rPr>
          <w:rFonts w:eastAsia="Times New Roman" w:cs="Times New Roman" w:ascii="Times New Roman" w:hAnsi="Times New Roman"/>
          <w:sz w:val="20"/>
          <w:szCs w:val="20"/>
        </w:rPr>
        <w:t xml:space="preserve">. For 10 points, identify these people described in the </w:t>
      </w:r>
      <w:r>
        <w:rPr>
          <w:rFonts w:eastAsia="Times New Roman" w:cs="Times New Roman" w:ascii="Times New Roman" w:hAnsi="Times New Roman"/>
          <w:i/>
          <w:sz w:val="20"/>
          <w:szCs w:val="20"/>
        </w:rPr>
        <w:t>Malleus maleficarum</w:t>
      </w:r>
      <w:r>
        <w:rPr>
          <w:rFonts w:eastAsia="Times New Roman" w:cs="Times New Roman" w:ascii="Times New Roman" w:hAnsi="Times New Roman"/>
          <w:sz w:val="20"/>
          <w:szCs w:val="20"/>
        </w:rPr>
        <w:t>, women who were accused of consorting with the Devil.</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witch</w:t>
      </w:r>
      <w:r>
        <w:rPr>
          <w:rFonts w:eastAsia="Times New Roman" w:cs="Times New Roman" w:ascii="Times New Roman" w:hAnsi="Times New Roman"/>
          <w:sz w:val="20"/>
          <w:szCs w:val="20"/>
        </w:rPr>
        <w:t>es [accept anything that mentions “</w:t>
      </w:r>
      <w:r>
        <w:rPr>
          <w:rFonts w:eastAsia="Times New Roman" w:cs="Times New Roman" w:ascii="Times New Roman" w:hAnsi="Times New Roman"/>
          <w:b/>
          <w:sz w:val="20"/>
          <w:szCs w:val="20"/>
          <w:u w:val="single"/>
        </w:rPr>
        <w:t>witches</w:t>
      </w:r>
      <w:r>
        <w:rPr>
          <w:rFonts w:eastAsia="Times New Roman" w:cs="Times New Roman" w:ascii="Times New Roman" w:hAnsi="Times New Roman"/>
          <w:sz w:val="20"/>
          <w:szCs w:val="20"/>
        </w:rPr>
        <w:t>” e.g. “</w:t>
      </w:r>
      <w:r>
        <w:rPr>
          <w:rFonts w:eastAsia="Times New Roman" w:cs="Times New Roman" w:ascii="Times New Roman" w:hAnsi="Times New Roman"/>
          <w:b/>
          <w:sz w:val="20"/>
          <w:szCs w:val="20"/>
          <w:u w:val="single"/>
        </w:rPr>
        <w:t>witch trials</w:t>
      </w:r>
      <w:r>
        <w:rPr>
          <w:rFonts w:eastAsia="Times New Roman" w:cs="Times New Roman" w:ascii="Times New Roman" w:hAnsi="Times New Roman"/>
          <w:sz w:val="20"/>
          <w:szCs w:val="20"/>
        </w:rPr>
        <w:t>”; do not accept or prompt on “women”]</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 A module over R has this property if and only if every module homomorphism from an ideal of R to the module can be extended to a homomorphism from R to the module according to Baer’s criterion.  The Ext functor of M and N can be computed by taking this type of resolution of N and then finding the Hom of the resolution and taking the homology of that complex, and this type of module can be defined by dualizing the commutative diagram that defines a projective module. If a mapping into a space has a differential with this property, then that mapping is an immersion.</w:t>
      </w:r>
      <w:r>
        <w:rPr>
          <w:rFonts w:eastAsia="Times New Roman" w:cs="Times New Roman" w:ascii="Times New Roman" w:hAnsi="Times New Roman"/>
          <w:sz w:val="20"/>
          <w:szCs w:val="20"/>
        </w:rPr>
        <w:t xml:space="preserve"> (*) In a short exact sequence, A goes to B goes to C, the mapping on the left must have this property. This property is often checked by starting with f of a equals f of b and showing that in that case, a must equal b. The horizontal line test checks for this property and a bijection must be surjective and have this property. For ten points, name this property of mappings which means that each element of the domain is mapped to a unique element in the codomain.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Injective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highlight w:val="white"/>
          <w:u w:val="single"/>
        </w:rPr>
        <w:t>one-to-one</w:t>
      </w:r>
      <w:r>
        <w:rPr>
          <w:rFonts w:eastAsia="Times New Roman" w:cs="Times New Roman" w:ascii="Times New Roman" w:hAnsi="Times New Roman"/>
          <w:sz w:val="20"/>
          <w:szCs w:val="20"/>
        </w:rPr>
        <w:t>]</w:t>
      </w:r>
    </w:p>
    <w:p>
      <w:pPr>
        <w:pStyle w:val="Normal"/>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7. The left background of this painting was changed after the painter’s death to make it look like the landscape in the modifier’s similarly-themed depiction of the Andrians, originally located in the same room as this painting. A pheasant perched in the trees at the upper right may have been added by the artist’s patron, who was an amateur painter himself. The artist’s signature is inscribed on a piece of paper attached to a wooden tub at the bottom right, beside a sleeping woman over whom stands a man with blue flowers in his hair. It may have been the first Western work to show</w:t>
      </w:r>
      <w:r>
        <w:rPr>
          <w:rFonts w:eastAsia="Times New Roman" w:cs="Times New Roman" w:ascii="Times New Roman" w:hAnsi="Times New Roman"/>
          <w:sz w:val="20"/>
          <w:szCs w:val="20"/>
        </w:rPr>
        <w:t xml:space="preserve"> (*) Chinese-style porcelain. One of those porcelain bowl in this painting is filled with peaches and grapes, and sits at the feet of Mercury, who sits against a rock. Behind him are Bacchus, who fills a jar of wine from a large barrel, and Silenus, whose donkey is about to bray and wake up Lotis, saving her from being raped by Priapus. For 10 points, name this Ovid-inspired painting by Giovanni Bellini that shows a group of deities getting drunk.</w:t>
      </w:r>
    </w:p>
    <w:p>
      <w:pPr>
        <w:pStyle w:val="Normal"/>
        <w:widowControl w:val="false"/>
        <w:spacing w:lineRule="auto" w:line="240" w:before="0" w:after="0"/>
        <w:rPr>
          <w:rFonts w:eastAsia="Times New Roman" w:cs="Times New Roman" w:ascii="Times New Roman" w:hAnsi="Times New Roman"/>
          <w:b/>
          <w:i/>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highlight w:val="white"/>
          <w:u w:val="single"/>
        </w:rPr>
        <w:t>Feast of the Gods</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Herbert Croly’s </w:t>
      </w:r>
      <w:r>
        <w:rPr>
          <w:rFonts w:eastAsia="Times New Roman" w:cs="Times New Roman" w:ascii="Times New Roman" w:hAnsi="Times New Roman"/>
          <w:b/>
          <w:i/>
          <w:sz w:val="20"/>
          <w:szCs w:val="20"/>
        </w:rPr>
        <w:t xml:space="preserve">The Promise of American Life </w:t>
      </w:r>
      <w:r>
        <w:rPr>
          <w:rFonts w:eastAsia="Times New Roman" w:cs="Times New Roman" w:ascii="Times New Roman" w:hAnsi="Times New Roman"/>
          <w:b/>
          <w:sz w:val="20"/>
          <w:szCs w:val="20"/>
        </w:rPr>
        <w:t>helped shape the founding ideology of this party. A cartoon about this party's infighting depicts its executive secretary parrying with a giant checkbook as he is assaulted with a rolled-up letter from Joseph Dixon. A vice presidential nominee for this party rose to prominence by aiding in the prosecution of Abe Ruef and Eugene Schmitz for corruption and opposing the Southern Pacific Railroad Company. This party was damaged by eleventh-hour rewording of a campaign plank about (*)</w:t>
      </w:r>
      <w:r>
        <w:rPr>
          <w:rFonts w:eastAsia="Times New Roman" w:cs="Times New Roman" w:ascii="Times New Roman" w:hAnsi="Times New Roman"/>
          <w:sz w:val="20"/>
          <w:szCs w:val="20"/>
        </w:rPr>
        <w:t xml:space="preserve"> trust-busting, blamed on U.S. Steel director George W. Perkins. The enraged ghost of William McKinley ordered John Schrank to kill the leader of this party, which advocated a national health service and women’s suffrage to the delight of Jane Addams. Hiram Johnson ran for Vice President with, for 10 points, what political party that ran against Wilson and Taft in 1912 under Teddy Roosevelt?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Progressive</w:t>
      </w:r>
      <w:r>
        <w:rPr>
          <w:rFonts w:eastAsia="Times New Roman" w:cs="Times New Roman" w:ascii="Times New Roman" w:hAnsi="Times New Roman"/>
          <w:sz w:val="20"/>
          <w:szCs w:val="20"/>
        </w:rPr>
        <w:t xml:space="preserve"> Party [or the </w:t>
      </w:r>
      <w:r>
        <w:rPr>
          <w:rFonts w:eastAsia="Times New Roman" w:cs="Times New Roman" w:ascii="Times New Roman" w:hAnsi="Times New Roman"/>
          <w:b/>
          <w:sz w:val="20"/>
          <w:szCs w:val="20"/>
          <w:u w:val="single"/>
        </w:rPr>
        <w:t>Bull Moose</w:t>
      </w:r>
      <w:r>
        <w:rPr>
          <w:rFonts w:eastAsia="Times New Roman" w:cs="Times New Roman" w:ascii="Times New Roman" w:hAnsi="Times New Roman"/>
          <w:sz w:val="20"/>
          <w:szCs w:val="20"/>
        </w:rPr>
        <w:t xml:space="preserve"> Party] </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This author described how “unbodied presences” reenact “the horrors of unhouseld crime” on a night when “the south-wind strengthens to a gale” in his poem “Low Barometer.” Another of this author’s poems observes that “the ravishing music that the small birds make” is “but a light disturbance of the atoms of air,” and is divided into four sections, including ones named “Selfhood,” “Breed,” and “Ethick.” He depicted boys playing with “crystal manna” after an overnight snowfall in his poem “London Snow,” and argued that </w:t>
      </w:r>
      <w:r>
        <w:rPr>
          <w:rFonts w:eastAsia="Times New Roman" w:cs="Times New Roman" w:ascii="Times New Roman" w:hAnsi="Times New Roman"/>
          <w:b/>
          <w:i/>
          <w:sz w:val="20"/>
          <w:szCs w:val="20"/>
        </w:rPr>
        <w:t>Paradise Lost</w:t>
      </w:r>
      <w:r>
        <w:rPr>
          <w:rFonts w:eastAsia="Times New Roman" w:cs="Times New Roman" w:ascii="Times New Roman" w:hAnsi="Times New Roman"/>
          <w:b/>
          <w:sz w:val="20"/>
          <w:szCs w:val="20"/>
        </w:rPr>
        <w:t xml:space="preserve"> was written in syllabic verse in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Milton’s Prosody</w:t>
      </w:r>
      <w:r>
        <w:rPr>
          <w:rFonts w:eastAsia="Times New Roman" w:cs="Times New Roman" w:ascii="Times New Roman" w:hAnsi="Times New Roman"/>
          <w:sz w:val="20"/>
          <w:szCs w:val="20"/>
        </w:rPr>
        <w:t xml:space="preserve">. This poet wrote a popular English translation of the hymn “Jesu, Joy of Man’s Desiring,” as well as a poem that declares “Man’s Reason is in such deep insolvency to sense.” He published a posthumous edition of poems of Gerard Manley Hopkins that established Hopkins’s fame during his time as England’s Poet Laureate from 1913 to 1930. For 10 points, name this doctor, the author of the long poem </w:t>
      </w:r>
      <w:r>
        <w:rPr>
          <w:rFonts w:eastAsia="Times New Roman" w:cs="Times New Roman" w:ascii="Times New Roman" w:hAnsi="Times New Roman"/>
          <w:i/>
          <w:sz w:val="20"/>
          <w:szCs w:val="20"/>
        </w:rPr>
        <w:t>The Testament of Beauty</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Robert Seymour </w:t>
      </w:r>
      <w:r>
        <w:rPr>
          <w:rFonts w:eastAsia="Times New Roman" w:cs="Times New Roman" w:ascii="Times New Roman" w:hAnsi="Times New Roman"/>
          <w:b/>
          <w:sz w:val="20"/>
          <w:szCs w:val="20"/>
          <w:highlight w:val="white"/>
          <w:u w:val="single"/>
        </w:rPr>
        <w:t>Bridges</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10. One episode in this work relates how a ruler entered his outhouse to find the dismembered, rotting corpse of his father's lover, traumatizing him into a life of sexual deviancy and leaving the throne in the hands of his mother. A major source for this work was a man who visited the Tocharians during his 12-year travels. This work imagines a worm eating a mulberry leaf to explain the rapid success of one figure; that man's near-murder with a knife concealed in a scroll appears in this work's catalogue of assassinations. The first figure described in this work affixed a compass to a chariot to defeat a bronze-headed tyrant. Modern critics of this first of the (*) </w:t>
      </w:r>
      <w:r>
        <w:rPr>
          <w:rFonts w:eastAsia="Times New Roman" w:cs="Times New Roman" w:ascii="Times New Roman" w:hAnsi="Times New Roman"/>
          <w:i/>
          <w:sz w:val="20"/>
          <w:szCs w:val="20"/>
        </w:rPr>
        <w:t>24 Histories</w:t>
      </w:r>
      <w:r>
        <w:rPr>
          <w:rFonts w:eastAsia="Times New Roman" w:cs="Times New Roman" w:ascii="Times New Roman" w:hAnsi="Times New Roman"/>
          <w:sz w:val="20"/>
          <w:szCs w:val="20"/>
        </w:rPr>
        <w:t xml:space="preserve"> were shocked after excavations at Anyang mostly matched its early king list with Shang-era oracle bones. To finish this work, its author refrained from suicide after Li Ling's failed attack on the Xiongnu led to his castration. Running from the Yellow Emperor to Wudi, for 10 points, name this most famous history of China, compiled by Han historian Sima Qian.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Records of the Grand Historian</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Shiji</w:t>
      </w:r>
      <w:r>
        <w:rPr>
          <w:rFonts w:eastAsia="Times New Roman" w:cs="Times New Roman" w:ascii="Times New Roman" w:hAnsi="Times New Roman"/>
          <w:sz w:val="20"/>
          <w:szCs w:val="20"/>
        </w:rPr>
        <w:t xml:space="preserve">; accept just </w:t>
      </w:r>
      <w:r>
        <w:rPr>
          <w:rFonts w:eastAsia="Times New Roman" w:cs="Times New Roman" w:ascii="Times New Roman" w:hAnsi="Times New Roman"/>
          <w:b/>
          <w:i/>
          <w:sz w:val="20"/>
          <w:szCs w:val="20"/>
          <w:u w:val="single"/>
        </w:rPr>
        <w:t>Historical Records</w:t>
      </w:r>
      <w:r>
        <w:rPr>
          <w:rFonts w:eastAsia="Times New Roman" w:cs="Times New Roman" w:ascii="Times New Roman" w:hAnsi="Times New Roman"/>
          <w:sz w:val="20"/>
          <w:szCs w:val="20"/>
        </w:rPr>
        <w:t xml:space="preserve">; accept clear equivalents like </w:t>
      </w:r>
      <w:r>
        <w:rPr>
          <w:rFonts w:eastAsia="Times New Roman" w:cs="Times New Roman" w:ascii="Times New Roman" w:hAnsi="Times New Roman"/>
          <w:b/>
          <w:sz w:val="20"/>
          <w:szCs w:val="20"/>
          <w:u w:val="single"/>
        </w:rPr>
        <w:t>Sima</w:t>
      </w:r>
      <w:r>
        <w:rPr>
          <w:rFonts w:eastAsia="Times New Roman" w:cs="Times New Roman" w:ascii="Times New Roman" w:hAnsi="Times New Roman"/>
          <w:sz w:val="20"/>
          <w:szCs w:val="20"/>
        </w:rPr>
        <w:t xml:space="preserve"> Qian's </w:t>
      </w:r>
      <w:r>
        <w:rPr>
          <w:rFonts w:eastAsia="Times New Roman" w:cs="Times New Roman" w:ascii="Times New Roman" w:hAnsi="Times New Roman"/>
          <w:b/>
          <w:i/>
          <w:sz w:val="20"/>
          <w:szCs w:val="20"/>
          <w:u w:val="single"/>
        </w:rPr>
        <w:t>History</w:t>
      </w:r>
      <w:r>
        <w:rPr>
          <w:rFonts w:eastAsia="Times New Roman" w:cs="Times New Roman" w:ascii="Times New Roman" w:hAnsi="Times New Roman"/>
          <w:sz w:val="20"/>
          <w:szCs w:val="20"/>
        </w:rPr>
        <w:t>]</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11. The third of a six part work by W. K. C. Gurthrie concerns this figure and draws on both a 1818 paper by Schleiermacher and the 20th century work on this figure by Olof Gigon. In one episode, this figure compares himself to a midwife who is barren himself but may help others have children. This figure is referred to as the “second spectator” in a book in which he replaces Apollo and becomes the opposing force to Dionysus. In that book, </w:t>
      </w:r>
      <w:r>
        <w:rPr>
          <w:rFonts w:eastAsia="Times New Roman" w:cs="Times New Roman" w:ascii="Times New Roman" w:hAnsi="Times New Roman"/>
          <w:b/>
          <w:i/>
          <w:sz w:val="20"/>
          <w:szCs w:val="20"/>
        </w:rPr>
        <w:t>The Birth of Tragedy</w:t>
      </w:r>
      <w:r>
        <w:rPr>
          <w:rFonts w:eastAsia="Times New Roman" w:cs="Times New Roman" w:ascii="Times New Roman" w:hAnsi="Times New Roman"/>
          <w:b/>
          <w:sz w:val="20"/>
          <w:szCs w:val="20"/>
        </w:rPr>
        <w:t>, Nietzsche says that this figure had a “monstrous lack of any capacity for mysticism” because of his divine sign</w:t>
      </w:r>
      <w:r>
        <w:rPr>
          <w:rFonts w:eastAsia="Times New Roman" w:cs="Times New Roman" w:ascii="Times New Roman" w:hAnsi="Times New Roman"/>
          <w:sz w:val="20"/>
          <w:szCs w:val="20"/>
        </w:rPr>
        <w:t xml:space="preserve">, (*) which warns him </w:t>
      </w:r>
      <w:r>
        <w:rPr>
          <w:rFonts w:eastAsia="Times New Roman" w:cs="Times New Roman" w:ascii="Times New Roman" w:hAnsi="Times New Roman"/>
          <w:i/>
          <w:sz w:val="20"/>
          <w:szCs w:val="20"/>
        </w:rPr>
        <w:t>not</w:t>
      </w:r>
      <w:r>
        <w:rPr>
          <w:rFonts w:eastAsia="Times New Roman" w:cs="Times New Roman" w:ascii="Times New Roman" w:hAnsi="Times New Roman"/>
          <w:sz w:val="20"/>
          <w:szCs w:val="20"/>
        </w:rPr>
        <w:t xml:space="preserve"> to do certain things. Epictetus’ </w:t>
      </w:r>
      <w:r>
        <w:rPr>
          <w:rFonts w:eastAsia="Times New Roman" w:cs="Times New Roman" w:ascii="Times New Roman" w:hAnsi="Times New Roman"/>
          <w:i/>
          <w:sz w:val="20"/>
          <w:szCs w:val="20"/>
        </w:rPr>
        <w:t>Discourses</w:t>
      </w:r>
      <w:r>
        <w:rPr>
          <w:rFonts w:eastAsia="Times New Roman" w:cs="Times New Roman" w:ascii="Times New Roman" w:hAnsi="Times New Roman"/>
          <w:sz w:val="20"/>
          <w:szCs w:val="20"/>
        </w:rPr>
        <w:t xml:space="preserve"> has multiple references to this man’s quote that “Anytus and Meletus may kill me, but they cannot hurt me.” Cicero remarked that this thinker “brought philosophy down from heaven” and this man’s discussions often lead to aporia, or impasse, with his interlocutors who include Charmides and Gorgias. For ten points, name this man who was the wisest man in Athens because he knew that he knew nothing.</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Socrates</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A “sacrificial” work in this collection describes an “admirable” and “complete” set of “hand-drums” that “resound harmonious and loud” to the delight of a “meritorious” figure. Another section of this collection proclaims, “Oh! bright is he in heaven” when describing a king who “ascends and descends on the left and the right of God” and was “full of earnest activity.” This collection begins by portraying a “modest, retiring, virtuous, young lady” as a “good mate” for a (*)</w:t>
      </w:r>
      <w:r>
        <w:rPr>
          <w:rFonts w:eastAsia="Times New Roman" w:cs="Times New Roman" w:ascii="Times New Roman" w:hAnsi="Times New Roman"/>
          <w:sz w:val="20"/>
          <w:szCs w:val="20"/>
        </w:rPr>
        <w:t xml:space="preserve"> prince after describing the sound of “ospreys, on the islet in the river.” This collection includes Court Hymns and Eulogies after beginning with 160 Airs of the States, and features a sequence praising King Wen Wang. For 10 points, name this collection of 305 works mostly written during the Western Zhou, one of Confucianism’s Five Classics.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highlight w:val="white"/>
          <w:u w:val="single"/>
        </w:rPr>
        <w:t>Classic of Poetry</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rPr>
        <w:t>Shijing</w:t>
      </w:r>
      <w:r>
        <w:rPr>
          <w:rFonts w:eastAsia="Times New Roman" w:cs="Times New Roman" w:ascii="Times New Roman" w:hAnsi="Times New Roman"/>
          <w:sz w:val="20"/>
          <w:szCs w:val="20"/>
        </w:rPr>
        <w:t xml:space="preserve">; accept </w:t>
      </w:r>
      <w:r>
        <w:rPr>
          <w:rFonts w:eastAsia="Times New Roman" w:cs="Times New Roman" w:ascii="Times New Roman" w:hAnsi="Times New Roman"/>
          <w:i/>
          <w:sz w:val="20"/>
          <w:szCs w:val="20"/>
        </w:rPr>
        <w:t xml:space="preserve">The Book of </w:t>
      </w:r>
      <w:r>
        <w:rPr>
          <w:rFonts w:eastAsia="Times New Roman" w:cs="Times New Roman" w:ascii="Times New Roman" w:hAnsi="Times New Roman"/>
          <w:b/>
          <w:i/>
          <w:sz w:val="20"/>
          <w:szCs w:val="20"/>
          <w:highlight w:val="white"/>
          <w:u w:val="single"/>
        </w:rPr>
        <w:t>Songs</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Book of </w:t>
      </w:r>
      <w:r>
        <w:rPr>
          <w:rFonts w:eastAsia="Times New Roman" w:cs="Times New Roman" w:ascii="Times New Roman" w:hAnsi="Times New Roman"/>
          <w:b/>
          <w:i/>
          <w:sz w:val="20"/>
          <w:szCs w:val="20"/>
          <w:highlight w:val="white"/>
          <w:u w:val="single"/>
        </w:rPr>
        <w:t>Odes</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Book of </w:t>
      </w:r>
      <w:r>
        <w:rPr>
          <w:rFonts w:eastAsia="Times New Roman" w:cs="Times New Roman" w:ascii="Times New Roman" w:hAnsi="Times New Roman"/>
          <w:b/>
          <w:i/>
          <w:sz w:val="20"/>
          <w:szCs w:val="20"/>
          <w:highlight w:val="white"/>
          <w:u w:val="single"/>
        </w:rPr>
        <w:t>Poetry</w:t>
      </w:r>
      <w:r>
        <w:rPr>
          <w:rFonts w:eastAsia="Times New Roman" w:cs="Times New Roman" w:ascii="Times New Roman" w:hAnsi="Times New Roman"/>
          <w:sz w:val="20"/>
          <w:szCs w:val="20"/>
        </w:rPr>
        <w:t>]</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13. This composer wrote an opera whose title character reminds Napoleon that he owes her sixty francs for laundry, </w:t>
      </w:r>
      <w:r>
        <w:rPr>
          <w:rFonts w:eastAsia="Times New Roman" w:cs="Times New Roman" w:ascii="Times New Roman" w:hAnsi="Times New Roman"/>
          <w:b/>
          <w:i/>
          <w:sz w:val="20"/>
          <w:szCs w:val="20"/>
        </w:rPr>
        <w:t>Madame Sans-Gêne</w:t>
      </w:r>
      <w:r>
        <w:rPr>
          <w:rFonts w:eastAsia="Times New Roman" w:cs="Times New Roman" w:ascii="Times New Roman" w:hAnsi="Times New Roman"/>
          <w:b/>
          <w:sz w:val="20"/>
          <w:szCs w:val="20"/>
        </w:rPr>
        <w:t xml:space="preserve"> [sawn-jen]. Elena Obraztsova, Rosalind Plowright, and Fedora Barbieri are among the singers who have made cameo appearances in productions of this composer’s most famous opera, playing old blind Madelon. This man’s most famous opera opens with an apostrophe to a blue sofa, while another aria from that opera is sometimes called the “Improvviso,” instead of its first line “Un dì all’azzurro spazio,” because it follows the claim that true poetry cannot be produced on command. Enrico Caruso shot to fame after his performance as Loris, who sings “Amor ti vieta” in this composer’s opera (*) </w:t>
      </w:r>
      <w:r>
        <w:rPr>
          <w:rFonts w:eastAsia="Times New Roman" w:cs="Times New Roman" w:ascii="Times New Roman" w:hAnsi="Times New Roman"/>
          <w:i/>
          <w:sz w:val="20"/>
          <w:szCs w:val="20"/>
        </w:rPr>
        <w:t>Fedora</w:t>
      </w:r>
      <w:r>
        <w:rPr>
          <w:rFonts w:eastAsia="Times New Roman" w:cs="Times New Roman" w:ascii="Times New Roman" w:hAnsi="Times New Roman"/>
          <w:sz w:val="20"/>
          <w:szCs w:val="20"/>
        </w:rPr>
        <w:t xml:space="preserve">. In this composer’s best-known aria, the singer remembers Love telling her to keep on living after her house was burned and her mother killed. That aria, “La mamma morta,” is sung by Maddalena to Gérard, who retracts his accusations against her lover during the Reign of Terror. For 10 points, name this proponent of verismo who composed </w:t>
      </w:r>
      <w:r>
        <w:rPr>
          <w:rFonts w:eastAsia="Times New Roman" w:cs="Times New Roman" w:ascii="Times New Roman" w:hAnsi="Times New Roman"/>
          <w:i/>
          <w:sz w:val="20"/>
          <w:szCs w:val="20"/>
        </w:rPr>
        <w:t>Andrea Chénier</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Umberto Menotti Maria </w:t>
      </w:r>
      <w:r>
        <w:rPr>
          <w:rFonts w:eastAsia="Times New Roman" w:cs="Times New Roman" w:ascii="Times New Roman" w:hAnsi="Times New Roman"/>
          <w:b/>
          <w:sz w:val="20"/>
          <w:szCs w:val="20"/>
          <w:u w:val="single"/>
        </w:rPr>
        <w:t>Giordano</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A form of cyclical fever in patients with this disease is named for Pel and Ebstein. Like mononucleosis and Q fever, this disease can show fibrin-ring granulomas. The ABVD and Stanford V regimes are used to treat this disease. Popcorn cells are the hallmark of a form of this disease that can progress to DLBCL, which is called its NLP subtype. This disease also comes in nodular sclerosing and mixed-cellularity subtypes. The staging for this condition, which is named for the city of (*)</w:t>
      </w:r>
      <w:r>
        <w:rPr>
          <w:rFonts w:eastAsia="Times New Roman" w:cs="Times New Roman" w:ascii="Times New Roman" w:hAnsi="Times New Roman"/>
          <w:sz w:val="20"/>
          <w:szCs w:val="20"/>
        </w:rPr>
        <w:t xml:space="preserve"> Ann Arbor, is partly dependent on how many side of the diaphragm the disease has spread to. Night sweats and weight loss are among the B-symptoms caused by this disease. The pathological hallmark of this disease is a CD15-CD30 positive with prominent nuclei with an owl-eyes appearance, called the Reed-Sternberg cell. For 10 points, name this type of lymphoma named for a British physician.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Hodgkin</w:t>
      </w:r>
      <w:r>
        <w:rPr>
          <w:rFonts w:eastAsia="Times New Roman" w:cs="Times New Roman" w:ascii="Times New Roman" w:hAnsi="Times New Roman"/>
          <w:sz w:val="20"/>
          <w:szCs w:val="20"/>
        </w:rPr>
        <w:t xml:space="preserve">’s lymphoma [or </w:t>
      </w:r>
      <w:r>
        <w:rPr>
          <w:rFonts w:eastAsia="Times New Roman" w:cs="Times New Roman" w:ascii="Times New Roman" w:hAnsi="Times New Roman"/>
          <w:b/>
          <w:sz w:val="20"/>
          <w:szCs w:val="20"/>
          <w:u w:val="single"/>
        </w:rPr>
        <w:t>Hodgkin</w:t>
      </w:r>
      <w:r>
        <w:rPr>
          <w:rFonts w:eastAsia="Times New Roman" w:cs="Times New Roman" w:ascii="Times New Roman" w:hAnsi="Times New Roman"/>
          <w:sz w:val="20"/>
          <w:szCs w:val="20"/>
        </w:rPr>
        <w:t>’s disease]</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The standard derivation of this equation is achieved by multiplying the equation for hydrostatic equilibrium by "r squared" and differentiating with respect to r before combining it with the mass continuity equation. The parameter w in this equation is computed through the relation "density equals critical density times w to the n" and in the equation its derivative is multiplied by the inverse square of a dimensionless radius parameter. While there is no general solution to this equation, it can be solved analytically for the indices 0, 1, and 5, where the index 0 corresponds to a homogeneous gas sphere</w:t>
      </w:r>
      <w:r>
        <w:rPr>
          <w:rFonts w:eastAsia="Times New Roman" w:cs="Times New Roman" w:ascii="Times New Roman" w:hAnsi="Times New Roman"/>
          <w:sz w:val="20"/>
          <w:szCs w:val="20"/>
        </w:rPr>
        <w:t xml:space="preserve"> (*) with density equal to the critical density and the index 1 yields a solution in which the radius is independent of the mass. The index that determines this equation is given by the equation of state "pressure equals a constant times density to the quantity (1 + 1 over n)" and is called the polytropic index. For 10 points, name this form of Poisson's equation, a second order differential equation that is used to construct a polytropic stellar model in which pressure is a known function of density.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Lane-Emden</w:t>
      </w:r>
      <w:r>
        <w:rPr>
          <w:rFonts w:eastAsia="Times New Roman" w:cs="Times New Roman" w:ascii="Times New Roman" w:hAnsi="Times New Roman"/>
          <w:sz w:val="20"/>
          <w:szCs w:val="20"/>
        </w:rPr>
        <w:t xml:space="preserve"> equation</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w:t>
      </w:r>
      <w:r>
        <w:rPr>
          <w:rFonts w:eastAsia="Times New Roman" w:cs="Times New Roman" w:ascii="Times New Roman" w:hAnsi="Times New Roman"/>
          <w:b/>
          <w:position w:val="0"/>
          <w:sz w:val="20"/>
          <w:sz w:val="20"/>
          <w:szCs w:val="20"/>
          <w:vertAlign w:val="baseline"/>
        </w:rPr>
        <w:t xml:space="preserve">A woman in this novel </w:t>
      </w:r>
      <w:r>
        <w:rPr>
          <w:rFonts w:eastAsia="Times New Roman" w:cs="Times New Roman" w:ascii="Times New Roman" w:hAnsi="Times New Roman"/>
          <w:b/>
          <w:sz w:val="20"/>
          <w:szCs w:val="20"/>
        </w:rPr>
        <w:t>tells a fable about an Indian</w:t>
      </w:r>
      <w:r>
        <w:rPr>
          <w:rFonts w:eastAsia="Times New Roman" w:cs="Times New Roman" w:ascii="Times New Roman" w:hAnsi="Times New Roman"/>
          <w:b/>
          <w:position w:val="0"/>
          <w:sz w:val="20"/>
          <w:sz w:val="20"/>
          <w:szCs w:val="20"/>
          <w:vertAlign w:val="baseline"/>
        </w:rPr>
        <w:t xml:space="preserve"> chief named </w:t>
      </w:r>
      <w:r>
        <w:rPr>
          <w:rFonts w:eastAsia="Times New Roman" w:cs="Times New Roman" w:ascii="Times New Roman" w:hAnsi="Times New Roman"/>
          <w:b/>
          <w:sz w:val="20"/>
          <w:szCs w:val="20"/>
        </w:rPr>
        <w:t>“</w:t>
      </w:r>
      <w:r>
        <w:rPr>
          <w:rFonts w:eastAsia="Times New Roman" w:cs="Times New Roman" w:ascii="Times New Roman" w:hAnsi="Times New Roman"/>
          <w:b/>
          <w:position w:val="0"/>
          <w:sz w:val="20"/>
          <w:sz w:val="20"/>
          <w:szCs w:val="20"/>
          <w:vertAlign w:val="baseline"/>
        </w:rPr>
        <w:t>Vendonah,</w:t>
      </w:r>
      <w:r>
        <w:rPr>
          <w:rFonts w:eastAsia="Times New Roman" w:cs="Times New Roman" w:ascii="Times New Roman" w:hAnsi="Times New Roman"/>
          <w:b/>
          <w:sz w:val="20"/>
          <w:szCs w:val="20"/>
        </w:rPr>
        <w:t>”</w:t>
      </w:r>
      <w:r>
        <w:rPr>
          <w:rFonts w:eastAsia="Times New Roman" w:cs="Times New Roman" w:ascii="Times New Roman" w:hAnsi="Times New Roman"/>
          <w:b/>
          <w:position w:val="0"/>
          <w:sz w:val="20"/>
          <w:sz w:val="20"/>
          <w:szCs w:val="20"/>
          <w:vertAlign w:val="baseline"/>
        </w:rPr>
        <w:t xml:space="preserve"> or</w:t>
      </w:r>
      <w:r>
        <w:rPr>
          <w:rFonts w:eastAsia="Times New Roman" w:cs="Times New Roman" w:ascii="Times New Roman" w:hAnsi="Times New Roman"/>
          <w:b/>
          <w:sz w:val="20"/>
          <w:szCs w:val="20"/>
        </w:rPr>
        <w:t xml:space="preserve"> “</w:t>
      </w:r>
      <w:r>
        <w:rPr>
          <w:rFonts w:eastAsia="Times New Roman" w:cs="Times New Roman" w:ascii="Times New Roman" w:hAnsi="Times New Roman"/>
          <w:b/>
          <w:position w:val="0"/>
          <w:sz w:val="20"/>
          <w:sz w:val="20"/>
          <w:szCs w:val="20"/>
          <w:vertAlign w:val="baseline"/>
        </w:rPr>
        <w:t>Rides-Down-Everything</w:t>
      </w:r>
      <w:r>
        <w:rPr>
          <w:rFonts w:eastAsia="Times New Roman" w:cs="Times New Roman" w:ascii="Times New Roman" w:hAnsi="Times New Roman"/>
          <w:b/>
          <w:sz w:val="20"/>
          <w:szCs w:val="20"/>
        </w:rPr>
        <w:t xml:space="preserve">,” who walks over people’s faces with iron shoes before his tribe forces him to ride a canoe into the ocean. Late in this novel, one of the Kinneys reveals that the protagonist accepted a job as a nitro-glycerin expert at the Akers Chemical Company. It’s the second novel in its author’s Growth trilogy, which also includes </w:t>
      </w:r>
      <w:r>
        <w:rPr>
          <w:rFonts w:eastAsia="Times New Roman" w:cs="Times New Roman" w:ascii="Times New Roman" w:hAnsi="Times New Roman"/>
          <w:b/>
          <w:i/>
          <w:sz w:val="20"/>
          <w:szCs w:val="20"/>
        </w:rPr>
        <w:t>The Turmoil</w:t>
      </w:r>
      <w:r>
        <w:rPr>
          <w:rFonts w:eastAsia="Times New Roman" w:cs="Times New Roman" w:ascii="Times New Roman" w:hAnsi="Times New Roman"/>
          <w:b/>
          <w:sz w:val="20"/>
          <w:szCs w:val="20"/>
        </w:rPr>
        <w:t xml:space="preserve"> and </w:t>
      </w:r>
      <w:r>
        <w:rPr>
          <w:rFonts w:eastAsia="Times New Roman" w:cs="Times New Roman" w:ascii="Times New Roman" w:hAnsi="Times New Roman"/>
          <w:b/>
          <w:i/>
          <w:sz w:val="20"/>
          <w:szCs w:val="20"/>
        </w:rPr>
        <w:t>The Midlander</w:t>
      </w:r>
      <w:r>
        <w:rPr>
          <w:rFonts w:eastAsia="Times New Roman" w:cs="Times New Roman" w:ascii="Times New Roman" w:hAnsi="Times New Roman"/>
          <w:b/>
          <w:sz w:val="20"/>
          <w:szCs w:val="20"/>
        </w:rPr>
        <w:t xml:space="preserve">, Its protagonist crashes his sleigh after yelling “Get a hoss!” in order to mock the inventor (*) </w:t>
      </w:r>
      <w:r>
        <w:rPr>
          <w:rFonts w:eastAsia="Times New Roman" w:cs="Times New Roman" w:ascii="Times New Roman" w:hAnsi="Times New Roman"/>
          <w:sz w:val="20"/>
          <w:szCs w:val="20"/>
        </w:rPr>
        <w:t>Eugene Morgan, despite falling in love with his daughter Lucy. This novel contrasts the rise of</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horseless carriages with the decline of the central family, whose fortunes were originally established by the Major after the Civil War. It won the Pulitzer Prize in 1919, and focuses on the spoiled, arrogant heir George Minafer. For 10 points, name this novel by Booth Tarkington which was turned into a 1942 movie directed by Orson Welles.</w:t>
      </w:r>
    </w:p>
    <w:p>
      <w:pPr>
        <w:pStyle w:val="Normal"/>
        <w:widowControl w:val="false"/>
        <w:spacing w:lineRule="auto" w:line="240" w:before="0" w:after="0"/>
        <w:rPr>
          <w:rFonts w:eastAsia="Times New Roman" w:cs="Times New Roman" w:ascii="Times New Roman" w:hAnsi="Times New Roman"/>
          <w:b/>
          <w:i/>
          <w:caps w:val="false"/>
          <w:smallCaps w:val="false"/>
          <w:position w:val="0"/>
          <w:sz w:val="20"/>
          <w:sz w:val="20"/>
          <w:szCs w:val="20"/>
          <w:highlight w:val="white"/>
          <w:u w:val="single"/>
          <w:vertAlign w:val="baselin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b w:val="false"/>
          <w:i/>
          <w:caps w:val="false"/>
          <w:smallCaps w:val="false"/>
          <w:strike w:val="false"/>
          <w:dstrike w:val="false"/>
          <w:position w:val="0"/>
          <w:sz w:val="20"/>
          <w:sz w:val="20"/>
          <w:szCs w:val="20"/>
          <w:u w:val="none"/>
          <w:vertAlign w:val="baseline"/>
        </w:rPr>
        <w:t xml:space="preserve">The </w:t>
      </w:r>
      <w:r>
        <w:rPr>
          <w:rFonts w:eastAsia="Times New Roman" w:cs="Times New Roman" w:ascii="Times New Roman" w:hAnsi="Times New Roman"/>
          <w:b/>
          <w:i/>
          <w:caps w:val="false"/>
          <w:smallCaps w:val="false"/>
          <w:position w:val="0"/>
          <w:sz w:val="20"/>
          <w:sz w:val="20"/>
          <w:szCs w:val="20"/>
          <w:highlight w:val="white"/>
          <w:u w:val="single"/>
          <w:vertAlign w:val="baseline"/>
        </w:rPr>
        <w:t>Magnificent Ambersons</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17. During the 1970s, the nature of this entity was debated by the Marxist theorists Ralph Miliband and Nicos Poulantzas. A 1998 book about the way this entity’s need to standardize and simplify information worked with high-modernist ideology to obscure local knowledge and fuel man-made calamities is subtitled “How Certain Schemes to Improve the Local Condition Have Failed.” James Scott wrote a book about </w:t>
      </w:r>
      <w:r>
        <w:rPr>
          <w:rFonts w:eastAsia="Times New Roman" w:cs="Times New Roman" w:ascii="Times New Roman" w:hAnsi="Times New Roman"/>
          <w:b/>
          <w:i/>
          <w:sz w:val="20"/>
          <w:szCs w:val="20"/>
        </w:rPr>
        <w:t>Seeing Like</w:t>
      </w:r>
      <w:r>
        <w:rPr>
          <w:rFonts w:eastAsia="Times New Roman" w:cs="Times New Roman" w:ascii="Times New Roman" w:hAnsi="Times New Roman"/>
          <w:b/>
          <w:sz w:val="20"/>
          <w:szCs w:val="20"/>
        </w:rPr>
        <w:t xml:space="preserve"> [this entity]. Warnings about this entity’s use of a rediscovered veneration of mythology comprise the final work by Ernst Cassirer. Charles Tilly’s work about the formation of this entity inspired the refrain that (*)</w:t>
      </w:r>
      <w:r>
        <w:rPr>
          <w:rFonts w:eastAsia="Times New Roman" w:cs="Times New Roman" w:ascii="Times New Roman" w:hAnsi="Times New Roman"/>
          <w:sz w:val="20"/>
          <w:szCs w:val="20"/>
        </w:rPr>
        <w:t xml:space="preserve"> “war made [this entity], and [this entity] made war.” Along with human motivation and the anarchic system, the makeup of this entity also drives war according to the magnum opus of Kenneth Waltz, in which it serves as the second title concept. Max Weber’s </w:t>
      </w:r>
      <w:r>
        <w:rPr>
          <w:rFonts w:eastAsia="Times New Roman" w:cs="Times New Roman" w:ascii="Times New Roman" w:hAnsi="Times New Roman"/>
          <w:i/>
          <w:sz w:val="20"/>
          <w:szCs w:val="20"/>
        </w:rPr>
        <w:t>Politics as a Vocation</w:t>
      </w:r>
      <w:r>
        <w:rPr>
          <w:rFonts w:eastAsia="Times New Roman" w:cs="Times New Roman" w:ascii="Times New Roman" w:hAnsi="Times New Roman"/>
          <w:sz w:val="20"/>
          <w:szCs w:val="20"/>
        </w:rPr>
        <w:t xml:space="preserve"> defined it as the entity monopolizing a territory’s legitimate use of violence. For 10 points, identify this political entity that enforces sovereignty over a select area.</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State</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Kevin Vortmann starred in a May 2015 staging of this work with the Philadelphia Orchestra that involved the first ever use of the pit below the stage in Verizon Hall at the Kimmel Center. This composition includes a section in which a tenor sings, "Haven't you ever seen an accident before?", between repetitions of the phrase "Isn't that odd?" with a finger snap between "that" and "odd". The opening section of this work includes that same soloist instructing "Make it up as you go along" and "Sing like you like to sing" after recorded 12 tone words are interrupted by a single note on electric guitar. This composition includes the songs</w:t>
      </w:r>
      <w:r>
        <w:rPr>
          <w:rFonts w:eastAsia="Times New Roman" w:cs="Times New Roman" w:ascii="Times New Roman" w:hAnsi="Times New Roman"/>
          <w:sz w:val="20"/>
          <w:szCs w:val="20"/>
        </w:rPr>
        <w:t xml:space="preserve"> (*) "Things Get Broken" and "A Simple Song," both of which are performed by the Celebrant. This piece was written for the opening of the Kennedy Center and features additional lyrics Stephen Schwartz. It calls for an onstage rock band and marching band, and mixes folk and rock tunes with more typical sections like the Agnus Dei and Offertory. For 10 points, name this "Theatre Piece for Singers, Players, and Dancers", an ostensibly liturgical work by Leonard Bernstein.</w:t>
      </w:r>
    </w:p>
    <w:p>
      <w:pPr>
        <w:pStyle w:val="Normal"/>
        <w:widowControl w:val="false"/>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highlight w:val="white"/>
          <w:u w:val="single"/>
        </w:rPr>
        <w:t>MASS</w:t>
      </w:r>
      <w:r>
        <w:rPr>
          <w:rFonts w:eastAsia="Times New Roman" w:cs="Times New Roman" w:ascii="Times New Roman" w:hAnsi="Times New Roman"/>
          <w:i/>
          <w:sz w:val="20"/>
          <w:szCs w:val="20"/>
        </w:rPr>
        <w:t>: A Theatre Piece for Singers, Players, and Dancers</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Adelaide of Maurienne spent her last days as the abbess of a Benedictine facility in this location. The last abbess of this place’s Royal Abbey, Marie-Louise de Montmorency-Laval, was guillotined during the Reign of Terror, and the abbey was torn down in favor of gypsum mining. An illuminated manuscript created by a monk named Yves depicts Sisinnius ordering the deaths of several Christians at this location as part of the persecutions under Decius. Generals Lecomte and Clement-Thomas</w:t>
      </w:r>
      <w:r>
        <w:rPr>
          <w:rFonts w:eastAsia="Times New Roman" w:cs="Times New Roman" w:ascii="Times New Roman" w:hAnsi="Times New Roman"/>
          <w:sz w:val="20"/>
          <w:szCs w:val="20"/>
        </w:rPr>
        <w:t xml:space="preserve"> (*) were killed by National Guardsmen while attempting to capture strategically located cannons at this location. The schoolteacher-turned-anarchist Louise Michel was known as the “Red Virgin” of this place, where she died during the Bloody Week of the Paris Commune. This place is thought to take its name from an event involving a man who picked up his severed head and walked for five miles to his final resting place, St. Denis. For 10 points, name this site of the Basilica de Sacre-Coeur, a Parisian hill named for Christian martyrs.</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Montmartre</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20. Takahata et al showed that one parameter in this equation correlated linearly with the change in core-electron binding energy. One modification of this equation uses 80% ethanol as a reference to determine changes due to solvent effects; that modification is named for Grunwald and Weinstein. One parameter of this equation can be redefined as a linear combination of resonance and field effects. A different modification to this equation includes a delta term that accounts for steric effects and is named for (*)</w:t>
      </w:r>
      <w:r>
        <w:rPr>
          <w:rFonts w:eastAsia="Times New Roman" w:cs="Times New Roman" w:ascii="Times New Roman" w:hAnsi="Times New Roman"/>
          <w:sz w:val="20"/>
          <w:szCs w:val="20"/>
        </w:rPr>
        <w:t xml:space="preserve"> Taft. This quantitative structure-activity relationship was developed when its discoverer attempted to correlate the rate of ester hydrolysis with the pKa of the corresponding acid. This linear free-energy relationship predicts that the effect of meta- and para- substitutents can be described by the product of a reaction constant, rho, and a substituent constant, sigma. The developer of this equation also names a function used to measure the strength of superacids. For 10 points, name this equation that relates reaction rates and equilibria constants for benzoic acid derivatives.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 xml:space="preserve">Hammett </w:t>
      </w:r>
      <w:r>
        <w:rPr>
          <w:rFonts w:eastAsia="Times New Roman" w:cs="Times New Roman" w:ascii="Times New Roman" w:hAnsi="Times New Roman"/>
          <w:sz w:val="20"/>
          <w:szCs w:val="20"/>
        </w:rPr>
        <w:t>equation</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rPr/>
      </w:pPr>
      <w:r>
        <w:rPr/>
      </w:r>
    </w:p>
    <w:p>
      <w:pPr>
        <w:pStyle w:val="Normal"/>
        <w:pageBreakBefore/>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The only known complete sculpture of this activity is a bronze found in Rethymno.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activity most famously shown in a blue-background fresco in which two white-skinned figures stand on opposite sides of a large animal while a brown-skinned, upside-down figure grasps the animal’s back from above.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bull-leap</w:t>
      </w:r>
      <w:r>
        <w:rPr>
          <w:rFonts w:eastAsia="Times New Roman" w:cs="Times New Roman" w:ascii="Times New Roman" w:hAnsi="Times New Roman"/>
          <w:sz w:val="20"/>
          <w:szCs w:val="20"/>
        </w:rPr>
        <w:t>ing</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bull-leaping fresco was found at this site, whose throne room has red walls with painted griffins. This place was excavated by Arthur Evans, and its Corridor of the Procession included the </w:t>
      </w:r>
      <w:r>
        <w:rPr>
          <w:rFonts w:eastAsia="Times New Roman" w:cs="Times New Roman" w:ascii="Times New Roman" w:hAnsi="Times New Roman"/>
          <w:i/>
          <w:sz w:val="20"/>
          <w:szCs w:val="20"/>
        </w:rPr>
        <w:t xml:space="preserve">Princes of the Lilies </w:t>
      </w:r>
      <w:r>
        <w:rPr>
          <w:rFonts w:eastAsia="Times New Roman" w:cs="Times New Roman" w:ascii="Times New Roman" w:hAnsi="Times New Roman"/>
          <w:sz w:val="20"/>
          <w:szCs w:val="20"/>
        </w:rPr>
        <w:t>fresco.</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Knossos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well-known theme of Minoan sculpture centers around this figure, who was given a spot at Judy Chicago’s </w:t>
      </w:r>
      <w:r>
        <w:rPr>
          <w:rFonts w:eastAsia="Times New Roman" w:cs="Times New Roman" w:ascii="Times New Roman" w:hAnsi="Times New Roman"/>
          <w:i/>
          <w:sz w:val="20"/>
          <w:szCs w:val="20"/>
        </w:rPr>
        <w:t>The Dinner Party</w:t>
      </w:r>
      <w:r>
        <w:rPr>
          <w:rFonts w:eastAsia="Times New Roman" w:cs="Times New Roman" w:ascii="Times New Roman" w:hAnsi="Times New Roman"/>
          <w:sz w:val="20"/>
          <w:szCs w:val="20"/>
        </w:rPr>
        <w:t>. In perhaps her best-known depiction, an owl sits on top of her head and her breasts are bared.</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highlight w:val="white"/>
          <w:u w:val="single"/>
        </w:rPr>
        <w:t>snake goddess</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With William von Hippel, this man offered a revolutionary theory of self-deception in which humans evolved to delude themselves in order to more persuasively deceive others.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Rutgers sociobiologist whose foundational contributions to evolutionary theory include reciprocal altruism and parental-offspring conflict.</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Robert </w:t>
      </w:r>
      <w:r>
        <w:rPr>
          <w:rFonts w:eastAsia="Times New Roman" w:cs="Times New Roman" w:ascii="Times New Roman" w:hAnsi="Times New Roman"/>
          <w:b/>
          <w:sz w:val="20"/>
          <w:szCs w:val="20"/>
          <w:u w:val="single"/>
        </w:rPr>
        <w:t>Trivers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Trivers was invoked by this author in a feud with Daniel Levitin over the neurocognition of music. This thinker's </w:t>
      </w:r>
      <w:r>
        <w:rPr>
          <w:rFonts w:eastAsia="Times New Roman" w:cs="Times New Roman" w:ascii="Times New Roman" w:hAnsi="Times New Roman"/>
          <w:i/>
          <w:sz w:val="20"/>
          <w:szCs w:val="20"/>
        </w:rPr>
        <w:t>How the Mind Works</w:t>
      </w:r>
      <w:r>
        <w:rPr>
          <w:rFonts w:eastAsia="Times New Roman" w:cs="Times New Roman" w:ascii="Times New Roman" w:hAnsi="Times New Roman"/>
          <w:sz w:val="20"/>
          <w:szCs w:val="20"/>
        </w:rPr>
        <w:t xml:space="preserve"> was savaged by Jerry Fodor in </w:t>
      </w:r>
      <w:r>
        <w:rPr>
          <w:rFonts w:eastAsia="Times New Roman" w:cs="Times New Roman" w:ascii="Times New Roman" w:hAnsi="Times New Roman"/>
          <w:i/>
          <w:sz w:val="20"/>
          <w:szCs w:val="20"/>
        </w:rPr>
        <w:t>The Mind Doesn't Work that Way</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Steven </w:t>
      </w:r>
      <w:r>
        <w:rPr>
          <w:rFonts w:eastAsia="Times New Roman" w:cs="Times New Roman" w:ascii="Times New Roman" w:hAnsi="Times New Roman"/>
          <w:b/>
          <w:sz w:val="20"/>
          <w:szCs w:val="20"/>
          <w:u w:val="single"/>
        </w:rPr>
        <w:t>Pinker</w:t>
      </w:r>
    </w:p>
    <w:p>
      <w:pPr>
        <w:pStyle w:val="Normal"/>
        <w:widowControl w:val="false"/>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[10] Robert Trivers is extensively cited in this man’s magnum opus, </w:t>
      </w:r>
      <w:r>
        <w:rPr>
          <w:rFonts w:eastAsia="Times New Roman" w:cs="Times New Roman" w:ascii="Times New Roman" w:hAnsi="Times New Roman"/>
          <w:i/>
          <w:sz w:val="20"/>
          <w:szCs w:val="20"/>
        </w:rPr>
        <w:t>The Selfish Gene</w:t>
      </w:r>
      <w:r>
        <w:rPr>
          <w:rFonts w:eastAsia="Times New Roman" w:cs="Times New Roman" w:ascii="Times New Roman" w:hAnsi="Times New Roman"/>
          <w:sz w:val="20"/>
          <w:szCs w:val="20"/>
        </w:rPr>
        <w:t xml:space="preserve">. He later followed it up with </w:t>
      </w:r>
      <w:r>
        <w:rPr>
          <w:rFonts w:eastAsia="Times New Roman" w:cs="Times New Roman" w:ascii="Times New Roman" w:hAnsi="Times New Roman"/>
          <w:i/>
          <w:sz w:val="20"/>
          <w:szCs w:val="20"/>
        </w:rPr>
        <w:t xml:space="preserve">The Extended Phenotype. </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Clinton Richard </w:t>
      </w:r>
      <w:r>
        <w:rPr>
          <w:rFonts w:eastAsia="Times New Roman" w:cs="Times New Roman" w:ascii="Times New Roman" w:hAnsi="Times New Roman"/>
          <w:b/>
          <w:sz w:val="20"/>
          <w:szCs w:val="20"/>
          <w:u w:val="single"/>
        </w:rPr>
        <w:t>Dawkins</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The wheel that symbolizes this concept eight spokes, corresponding to the eightfold path, and often appears paired with lions in groups of four facing each cardinal direction.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term which refers to natural law or the doctrines of the buddha and which forms the second jewel of Buddhism. </w:t>
      </w:r>
    </w:p>
    <w:p>
      <w:pPr>
        <w:pStyle w:val="Normal"/>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dharma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When faced by the daunting task of teaching others the path to enlightenment, the Buddha came up with this method of presenting dharma in a more convincing or understandable way.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skillful means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highlight w:val="white"/>
          <w:u w:val="single"/>
        </w:rPr>
        <w:t>upaya</w:t>
      </w:r>
      <w:r>
        <w:rPr>
          <w:rFonts w:eastAsia="Times New Roman" w:cs="Times New Roman" w:ascii="Times New Roman" w:hAnsi="Times New Roman"/>
          <w:sz w:val="20"/>
          <w:szCs w:val="20"/>
        </w:rPr>
        <w:t xml:space="preserve">-kaushalya, or </w:t>
      </w:r>
      <w:r>
        <w:rPr>
          <w:rFonts w:eastAsia="Times New Roman" w:cs="Times New Roman" w:ascii="Times New Roman" w:hAnsi="Times New Roman"/>
          <w:b/>
          <w:sz w:val="20"/>
          <w:szCs w:val="20"/>
          <w:highlight w:val="white"/>
          <w:u w:val="single"/>
        </w:rPr>
        <w:t>expedient means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Among the illustrations of skillful means in the Lotus sutra is the story of the caravan leader who conjures this image to inspire his companions to continue on the road. For some reason they aren’t mad at him when they reach it and learn that he had deceived them.</w:t>
      </w:r>
    </w:p>
    <w:p>
      <w:pPr>
        <w:pStyle w:val="Normal"/>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an imaginary </w:t>
      </w:r>
      <w:r>
        <w:rPr>
          <w:rFonts w:eastAsia="Times New Roman" w:cs="Times New Roman" w:ascii="Times New Roman" w:hAnsi="Times New Roman"/>
          <w:b/>
          <w:sz w:val="20"/>
          <w:szCs w:val="20"/>
          <w:highlight w:val="white"/>
          <w:u w:val="single"/>
        </w:rPr>
        <w:t>city</w:t>
      </w:r>
    </w:p>
    <w:p>
      <w:pPr>
        <w:pStyle w:val="Normal"/>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An OSS plan to have Chinese prostitutes slip capsules of this disease to Japanese officers was foiled when soldiers fed them to local donkeys.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Identify this disease caused by a neuromuscular toxin from the </w:t>
      </w:r>
      <w:r>
        <w:rPr>
          <w:rFonts w:eastAsia="Times New Roman" w:cs="Times New Roman" w:ascii="Times New Roman" w:hAnsi="Times New Roman"/>
          <w:i/>
          <w:sz w:val="20"/>
          <w:szCs w:val="20"/>
        </w:rPr>
        <w:t>Clostridium</w:t>
      </w:r>
      <w:r>
        <w:rPr>
          <w:rFonts w:eastAsia="Times New Roman" w:cs="Times New Roman" w:ascii="Times New Roman" w:hAnsi="Times New Roman"/>
          <w:sz w:val="20"/>
          <w:szCs w:val="20"/>
        </w:rPr>
        <w:t xml:space="preserve"> bacteria, often acquired after eating improperly-stored canned goods.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Botulism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Botulinum</w:t>
      </w:r>
      <w:r>
        <w:rPr>
          <w:rFonts w:eastAsia="Times New Roman" w:cs="Times New Roman" w:ascii="Times New Roman" w:hAnsi="Times New Roman"/>
          <w:sz w:val="20"/>
          <w:szCs w:val="20"/>
        </w:rPr>
        <w:t xml:space="preserve"> Toxin]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Botulism was weaponized in WWII by this British research complex, which set off a 1942 anthrax bomb that made Gruinard Island in Scotland uninhabitable for decades. In 1951, Airman Ronald Maddison was accidentally killed with Sarin at this headquarters of the Dstl.</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Porton Down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Porton Down is rather dubiously claimed to have supplied Botulism-outfitted No. 73 grenades for this 1942 operation, which killed the </w:t>
      </w:r>
      <w:r>
        <w:rPr>
          <w:rFonts w:eastAsia="Times New Roman" w:cs="Times New Roman" w:ascii="Times New Roman" w:hAnsi="Times New Roman"/>
          <w:i/>
          <w:sz w:val="20"/>
          <w:szCs w:val="20"/>
        </w:rPr>
        <w:t xml:space="preserve">Reichsprotektor </w:t>
      </w:r>
      <w:r>
        <w:rPr>
          <w:rFonts w:eastAsia="Times New Roman" w:cs="Times New Roman" w:ascii="Times New Roman" w:hAnsi="Times New Roman"/>
          <w:sz w:val="20"/>
          <w:szCs w:val="20"/>
        </w:rPr>
        <w:t>of Bohemia. Brutal reprisals for this action were carried out by Erich Bach-Zelewski and included the killing of Bishop Gorazd of Prague.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Operation </w:t>
      </w:r>
      <w:r>
        <w:rPr>
          <w:rFonts w:eastAsia="Times New Roman" w:cs="Times New Roman" w:ascii="Times New Roman" w:hAnsi="Times New Roman"/>
          <w:b/>
          <w:sz w:val="20"/>
          <w:szCs w:val="20"/>
          <w:u w:val="single"/>
        </w:rPr>
        <w:t>Anthropoid</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assassination</w:t>
      </w:r>
      <w:r>
        <w:rPr>
          <w:rFonts w:eastAsia="Times New Roman" w:cs="Times New Roman" w:ascii="Times New Roman" w:hAnsi="Times New Roman"/>
          <w:sz w:val="20"/>
          <w:szCs w:val="20"/>
        </w:rPr>
        <w:t xml:space="preserve"> of Reinhard </w:t>
      </w:r>
      <w:r>
        <w:rPr>
          <w:rFonts w:eastAsia="Times New Roman" w:cs="Times New Roman" w:ascii="Times New Roman" w:hAnsi="Times New Roman"/>
          <w:b/>
          <w:sz w:val="20"/>
          <w:szCs w:val="20"/>
          <w:u w:val="single"/>
        </w:rPr>
        <w:t>Heydrich</w:t>
      </w:r>
      <w:r>
        <w:rPr>
          <w:rFonts w:eastAsia="Times New Roman" w:cs="Times New Roman" w:ascii="Times New Roman" w:hAnsi="Times New Roman"/>
          <w:sz w:val="20"/>
          <w:szCs w:val="20"/>
        </w:rPr>
        <w:t>; accept clear equivalents]</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During this scene, a middle-aged man tells of poems titled "The Grand Inquisitor" and "Geological Cataclysm" before another character throws a glass at him.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literary scene in which a person who claims to be the devil taunts a man who seems to be chained to his sofa. The scene ends when the man's brother knocks on the door and he is finally able to rise.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Ivan's nightmare</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highlight w:val="white"/>
          <w:u w:val="single"/>
        </w:rPr>
        <w:t>hallucination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highlight w:val="white"/>
          <w:u w:val="single"/>
        </w:rPr>
        <w:t>dream</w:t>
      </w:r>
      <w:r>
        <w:rPr>
          <w:rFonts w:eastAsia="Times New Roman" w:cs="Times New Roman" w:ascii="Times New Roman" w:hAnsi="Times New Roman"/>
          <w:sz w:val="20"/>
          <w:szCs w:val="20"/>
        </w:rPr>
        <w:t xml:space="preserve">, or other equivalents instead of "nightmare"; accept </w:t>
      </w:r>
      <w:r>
        <w:rPr>
          <w:rFonts w:eastAsia="Times New Roman" w:cs="Times New Roman" w:ascii="Times New Roman" w:hAnsi="Times New Roman"/>
          <w:b/>
          <w:sz w:val="20"/>
          <w:szCs w:val="20"/>
          <w:highlight w:val="white"/>
          <w:u w:val="single"/>
        </w:rPr>
        <w:t>Ivan</w:t>
      </w:r>
      <w:r>
        <w:rPr>
          <w:rFonts w:eastAsia="Times New Roman" w:cs="Times New Roman" w:ascii="Times New Roman" w:hAnsi="Times New Roman"/>
          <w:sz w:val="20"/>
          <w:szCs w:val="20"/>
        </w:rPr>
        <w:t xml:space="preserve"> Fyodorovich Karamazov for "Ivan"]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youngest of </w:t>
      </w:r>
      <w:r>
        <w:rPr>
          <w:rFonts w:eastAsia="Times New Roman" w:cs="Times New Roman" w:ascii="Times New Roman" w:hAnsi="Times New Roman"/>
          <w:i/>
          <w:sz w:val="20"/>
          <w:szCs w:val="20"/>
        </w:rPr>
        <w:t>The Brothers Karamazov</w:t>
      </w:r>
      <w:r>
        <w:rPr>
          <w:rFonts w:eastAsia="Times New Roman" w:cs="Times New Roman" w:ascii="Times New Roman" w:hAnsi="Times New Roman"/>
          <w:sz w:val="20"/>
          <w:szCs w:val="20"/>
        </w:rPr>
        <w:t xml:space="preserve"> interrupts Ivan's nightmare to tell Ivan that Smerdyakov has hanged himself.</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Alyosha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highlight w:val="white"/>
          <w:u w:val="single"/>
        </w:rPr>
        <w:t>Alexei</w:t>
      </w:r>
      <w:r>
        <w:rPr>
          <w:rFonts w:eastAsia="Times New Roman" w:cs="Times New Roman" w:ascii="Times New Roman" w:hAnsi="Times New Roman"/>
          <w:sz w:val="20"/>
          <w:szCs w:val="20"/>
        </w:rPr>
        <w:t xml:space="preserve"> Fyodorovich Karamazov</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other character from </w:t>
      </w:r>
      <w:r>
        <w:rPr>
          <w:rFonts w:eastAsia="Times New Roman" w:cs="Times New Roman" w:ascii="Times New Roman" w:hAnsi="Times New Roman"/>
          <w:i/>
          <w:sz w:val="20"/>
          <w:szCs w:val="20"/>
        </w:rPr>
        <w:t>The Brothers Karamazov</w:t>
      </w:r>
      <w:r>
        <w:rPr>
          <w:rFonts w:eastAsia="Times New Roman" w:cs="Times New Roman" w:ascii="Times New Roman" w:hAnsi="Times New Roman"/>
          <w:sz w:val="20"/>
          <w:szCs w:val="20"/>
        </w:rPr>
        <w:t xml:space="preserve"> is a deranged ascetic who fasts strictly and opposed Zosima. After Zosima's death, he attempts to exorcise the demons from Zosima's cell.</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Father </w:t>
      </w:r>
      <w:r>
        <w:rPr>
          <w:rFonts w:eastAsia="Times New Roman" w:cs="Times New Roman" w:ascii="Times New Roman" w:hAnsi="Times New Roman"/>
          <w:b/>
          <w:sz w:val="20"/>
          <w:szCs w:val="20"/>
          <w:highlight w:val="white"/>
          <w:u w:val="single"/>
        </w:rPr>
        <w:t>Ferapont</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The "traditional approximation" to these equations is made by ignoring the "2 omega cosine theta w" and "2 omega cosine theta u" terms.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ordinary differential equations modeling a thin fluid on a sphere with only horizontal motion. These equations are used to model phenomena that have diurnal and semidiurnal types.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Laplace</w:t>
      </w:r>
      <w:r>
        <w:rPr>
          <w:rFonts w:eastAsia="Times New Roman" w:cs="Times New Roman" w:ascii="Times New Roman" w:hAnsi="Times New Roman"/>
          <w:sz w:val="20"/>
          <w:szCs w:val="20"/>
        </w:rPr>
        <w:t xml:space="preserve">'s </w:t>
      </w:r>
      <w:r>
        <w:rPr>
          <w:rFonts w:eastAsia="Times New Roman" w:cs="Times New Roman" w:ascii="Times New Roman" w:hAnsi="Times New Roman"/>
          <w:b/>
          <w:sz w:val="20"/>
          <w:szCs w:val="20"/>
          <w:highlight w:val="white"/>
          <w:u w:val="single"/>
        </w:rPr>
        <w:t>tidal</w:t>
      </w:r>
      <w:r>
        <w:rPr>
          <w:rFonts w:eastAsia="Times New Roman" w:cs="Times New Roman" w:ascii="Times New Roman" w:hAnsi="Times New Roman"/>
          <w:sz w:val="20"/>
          <w:szCs w:val="20"/>
          <w:highlight w:val="white"/>
        </w:rPr>
        <w:t xml:space="preserve"> equation</w:t>
      </w:r>
      <w:r>
        <w:rPr>
          <w:rFonts w:eastAsia="Times New Roman" w:cs="Times New Roman" w:ascii="Times New Roman" w:hAnsi="Times New Roman"/>
          <w:sz w:val="20"/>
          <w:szCs w:val="20"/>
        </w:rPr>
        <w:t>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Laplace's tidal equations are a rearrangement of the rotating shallow water equations, which depend on the fact that the phase and group speed of non-dispersive, shallow water waves is always this function of gravitational acceleration and water depth.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square root of (g times 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highlight w:val="white"/>
          <w:u w:val="single"/>
        </w:rPr>
        <w:t>sqrt(gd)</w:t>
      </w:r>
      <w:r>
        <w:rPr>
          <w:rFonts w:eastAsia="Times New Roman" w:cs="Times New Roman" w:ascii="Times New Roman" w:hAnsi="Times New Roman"/>
          <w:sz w:val="20"/>
          <w:szCs w:val="20"/>
        </w:rPr>
        <w:t>, where g is gravitational acceleration and d is water depth]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Tides along coastlines behave like Poincare waves or non-dispersive waves named for this scientist. Those waves have an offshore scale equal to the barotropic Rossby radius. This scientist is also the alphabetically latter namesake of a fluid instability governing the transition to turbulence.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William </w:t>
      </w:r>
      <w:r>
        <w:rPr>
          <w:rFonts w:eastAsia="Times New Roman" w:cs="Times New Roman" w:ascii="Times New Roman" w:hAnsi="Times New Roman"/>
          <w:b/>
          <w:sz w:val="20"/>
          <w:szCs w:val="20"/>
          <w:highlight w:val="white"/>
          <w:u w:val="single"/>
        </w:rPr>
        <w:t>Thomson</w:t>
      </w:r>
      <w:r>
        <w:rPr>
          <w:rFonts w:eastAsia="Times New Roman" w:cs="Times New Roman" w:ascii="Times New Roman" w:hAnsi="Times New Roman"/>
          <w:sz w:val="20"/>
          <w:szCs w:val="20"/>
        </w:rPr>
        <w:t xml:space="preserve">, 1st Baron </w:t>
      </w:r>
      <w:r>
        <w:rPr>
          <w:rFonts w:eastAsia="Times New Roman" w:cs="Times New Roman" w:ascii="Times New Roman" w:hAnsi="Times New Roman"/>
          <w:b/>
          <w:sz w:val="20"/>
          <w:szCs w:val="20"/>
          <w:highlight w:val="white"/>
          <w:u w:val="single"/>
        </w:rPr>
        <w:t>Kelvin</w:t>
      </w:r>
      <w:r>
        <w:rPr>
          <w:rFonts w:eastAsia="Times New Roman" w:cs="Times New Roman" w:ascii="Times New Roman" w:hAnsi="Times New Roman"/>
          <w:sz w:val="20"/>
          <w:szCs w:val="20"/>
        </w:rPr>
        <w:t xml:space="preserve"> [accept either underlined portion]</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7. This work’s 1980 postscript attempts to answer a question posed by Morris Weitz by proposing “an arragnement of conditions… capable of affording an experience” that has a certain type of character. For 10 points each:</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[10] Identify this philosophical work whose sections include “Categories of Critical Analysis,” “The Meaning of Music,” and “Literature and Knowledge.” It is subtitled “Problems in the Philosophy of Criticism.”</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Aesthetics</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[10] </w:t>
      </w:r>
      <w:r>
        <w:rPr>
          <w:rFonts w:eastAsia="Times New Roman" w:cs="Times New Roman" w:ascii="Times New Roman" w:hAnsi="Times New Roman"/>
          <w:i/>
          <w:sz w:val="20"/>
          <w:szCs w:val="20"/>
          <w:highlight w:val="white"/>
        </w:rPr>
        <w:t>Aesthetics</w:t>
      </w:r>
      <w:r>
        <w:rPr>
          <w:rFonts w:eastAsia="Times New Roman" w:cs="Times New Roman" w:ascii="Times New Roman" w:hAnsi="Times New Roman"/>
          <w:sz w:val="20"/>
          <w:szCs w:val="20"/>
          <w:highlight w:val="white"/>
        </w:rPr>
        <w:t xml:space="preserve"> is the magnum opus of this American philosopher, whose other works include </w:t>
      </w:r>
      <w:r>
        <w:rPr>
          <w:rFonts w:eastAsia="Times New Roman" w:cs="Times New Roman" w:ascii="Times New Roman" w:hAnsi="Times New Roman"/>
          <w:i/>
          <w:sz w:val="20"/>
          <w:szCs w:val="20"/>
          <w:highlight w:val="white"/>
        </w:rPr>
        <w:t>The Possibility of Criticism</w:t>
      </w:r>
      <w:r>
        <w:rPr>
          <w:rFonts w:eastAsia="Times New Roman" w:cs="Times New Roman" w:ascii="Times New Roman" w:hAnsi="Times New Roman"/>
          <w:sz w:val="20"/>
          <w:szCs w:val="20"/>
          <w:highlight w:val="white"/>
        </w:rPr>
        <w:t xml:space="preserve"> and </w:t>
      </w:r>
      <w:r>
        <w:rPr>
          <w:rFonts w:eastAsia="Times New Roman" w:cs="Times New Roman" w:ascii="Times New Roman" w:hAnsi="Times New Roman"/>
          <w:i/>
          <w:sz w:val="20"/>
          <w:szCs w:val="20"/>
          <w:highlight w:val="white"/>
        </w:rPr>
        <w:t>The Aesthetic Point of View</w:t>
      </w:r>
      <w:r>
        <w:rPr>
          <w:rFonts w:eastAsia="Times New Roman" w:cs="Times New Roman" w:ascii="Times New Roman" w:hAnsi="Times New Roman"/>
          <w:sz w:val="20"/>
          <w:szCs w:val="20"/>
          <w:highlight w:val="white"/>
        </w:rPr>
        <w:t>. With W.K. Wimsatt, he wrote “The Intentional Fallacy” and “The Affective Fallacy.”</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highlight w:val="white"/>
        </w:rPr>
        <w:t xml:space="preserve">ANSWER: Monroe </w:t>
      </w:r>
      <w:r>
        <w:rPr>
          <w:rFonts w:eastAsia="Times New Roman" w:cs="Times New Roman" w:ascii="Times New Roman" w:hAnsi="Times New Roman"/>
          <w:b/>
          <w:sz w:val="20"/>
          <w:szCs w:val="20"/>
          <w:highlight w:val="white"/>
          <w:u w:val="single"/>
        </w:rPr>
        <w:t>Beardsley</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[10] In the section “Literature and Knowledge,” Beardsley argues against this kind of “theory of poetic truth,” which he characterizes as holding that “all the true implicit predications in poetry are… confirmable.” This kind of philosophy was notably expounded by thinkers like George Berkeley and David Hume.</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empiricist</w:t>
      </w:r>
      <w:r>
        <w:rPr>
          <w:rFonts w:eastAsia="Times New Roman" w:cs="Times New Roman" w:ascii="Times New Roman" w:hAnsi="Times New Roman"/>
          <w:sz w:val="20"/>
          <w:szCs w:val="20"/>
          <w:highlight w:val="white"/>
        </w:rPr>
        <w:t xml:space="preserve"> [accept word forms]</w:t>
      </w:r>
    </w:p>
    <w:p>
      <w:pPr>
        <w:pStyle w:val="Normal"/>
        <w:widowControl w:val="fals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Health, Education, and Welfare Secretary Anthony Celebrezze had to resign while working on this initiative because his government salary could not dissuade the bank from foreclosing on his home.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governmental initiative outlined in the 1964 State of the Union speech that included VISTA, the Elementary and Secondary Education Act, and the Food Stamp Act of 1964.</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War on Poverty</w:t>
      </w:r>
      <w:r>
        <w:rPr>
          <w:rFonts w:eastAsia="Times New Roman" w:cs="Times New Roman" w:ascii="Times New Roman" w:hAnsi="Times New Roman"/>
          <w:sz w:val="20"/>
          <w:szCs w:val="20"/>
        </w:rPr>
        <w:t xml:space="preserve"> [prompt on “Great Society,” etc.]</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War on Poverty created this flagship organization through an eponymous act the same year. Led by Sargent Shriver, it administered the Community Action Agencies, Head Start, and Job Corps.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Office of </w:t>
      </w:r>
      <w:r>
        <w:rPr>
          <w:rFonts w:eastAsia="Times New Roman" w:cs="Times New Roman" w:ascii="Times New Roman" w:hAnsi="Times New Roman"/>
          <w:b/>
          <w:sz w:val="20"/>
          <w:szCs w:val="20"/>
          <w:u w:val="single"/>
        </w:rPr>
        <w:t>Economic Opportunity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OEO</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Economic Opportunity</w:t>
      </w:r>
      <w:r>
        <w:rPr>
          <w:rFonts w:eastAsia="Times New Roman" w:cs="Times New Roman" w:ascii="Times New Roman" w:hAnsi="Times New Roman"/>
          <w:sz w:val="20"/>
          <w:szCs w:val="20"/>
        </w:rPr>
        <w:t xml:space="preserve"> Act of 1964 or </w:t>
      </w:r>
      <w:r>
        <w:rPr>
          <w:rFonts w:eastAsia="Times New Roman" w:cs="Times New Roman" w:ascii="Times New Roman" w:hAnsi="Times New Roman"/>
          <w:b/>
          <w:sz w:val="20"/>
          <w:szCs w:val="20"/>
          <w:u w:val="single"/>
        </w:rPr>
        <w:t>EOA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[10] The War on Poverty was inspired in part by this man’s study </w:t>
      </w:r>
      <w:r>
        <w:rPr>
          <w:rFonts w:eastAsia="Times New Roman" w:cs="Times New Roman" w:ascii="Times New Roman" w:hAnsi="Times New Roman"/>
          <w:i/>
          <w:sz w:val="20"/>
          <w:szCs w:val="20"/>
        </w:rPr>
        <w:t>The Other America</w:t>
      </w:r>
      <w:r>
        <w:rPr>
          <w:rFonts w:eastAsia="Times New Roman" w:cs="Times New Roman" w:ascii="Times New Roman" w:hAnsi="Times New Roman"/>
          <w:sz w:val="20"/>
          <w:szCs w:val="20"/>
        </w:rPr>
        <w:t>. This Queens College professor and leader of the Social Democratic movement engaged in a number of public debates with conservative icons.</w:t>
        <w:br/>
        <w:t xml:space="preserve">ANSWER: Michael </w:t>
      </w:r>
      <w:r>
        <w:rPr>
          <w:rFonts w:eastAsia="Times New Roman" w:cs="Times New Roman" w:ascii="Times New Roman" w:hAnsi="Times New Roman"/>
          <w:b/>
          <w:sz w:val="20"/>
          <w:szCs w:val="20"/>
          <w:u w:val="single"/>
        </w:rPr>
        <w:t>Harrington</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One of these reactions relies on a continuously varying concentration of cerium(III) and cerium(IV) ions.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type of reaction in which the concentrations of reactants and products shows periodic changes. A popular reaction of this type is named for Belousov and Zhabotinsky.</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 xml:space="preserve">clock </w:t>
      </w:r>
      <w:r>
        <w:rPr>
          <w:rFonts w:eastAsia="Times New Roman" w:cs="Times New Roman" w:ascii="Times New Roman" w:hAnsi="Times New Roman"/>
          <w:sz w:val="20"/>
          <w:szCs w:val="20"/>
        </w:rPr>
        <w:t xml:space="preserve">reaction [or </w:t>
      </w:r>
      <w:r>
        <w:rPr>
          <w:rFonts w:eastAsia="Times New Roman" w:cs="Times New Roman" w:ascii="Times New Roman" w:hAnsi="Times New Roman"/>
          <w:b/>
          <w:sz w:val="20"/>
          <w:szCs w:val="20"/>
          <w:u w:val="single"/>
        </w:rPr>
        <w:t>oscillating</w:t>
      </w:r>
      <w:r>
        <w:rPr>
          <w:rFonts w:eastAsia="Times New Roman" w:cs="Times New Roman" w:ascii="Times New Roman" w:hAnsi="Times New Roman"/>
          <w:sz w:val="20"/>
          <w:szCs w:val="20"/>
        </w:rPr>
        <w:t xml:space="preserve"> reactions]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popular clock reaction is one in which iodate ion is added to an acidified solution of this anion. This anion is also used to distinguish methylcytosine from cytosine in a type of DNA sequencing. </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bisulfite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Ilya Prigogne developed this set of equations to describe an oscillating reaction. It has a fixed point when the concentration of intermediate X is equal to A and the concentration of Y is equal to B divided by A.</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Brusselator</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b w:val="false"/>
          <w:position w:val="0"/>
          <w:sz w:val="20"/>
          <w:sz w:val="20"/>
          <w:szCs w:val="20"/>
          <w:vertAlign w:val="baseline"/>
        </w:rPr>
      </w:pPr>
      <w:r>
        <w:rPr>
          <w:rFonts w:eastAsia="Times New Roman" w:cs="Times New Roman" w:ascii="Times New Roman" w:hAnsi="Times New Roman"/>
          <w:sz w:val="20"/>
          <w:szCs w:val="20"/>
        </w:rPr>
        <w:t xml:space="preserve">10. </w:t>
      </w:r>
      <w:r>
        <w:rPr>
          <w:rFonts w:eastAsia="Times New Roman" w:cs="Times New Roman" w:ascii="Times New Roman" w:hAnsi="Times New Roman"/>
          <w:b w:val="false"/>
          <w:position w:val="0"/>
          <w:sz w:val="20"/>
          <w:sz w:val="20"/>
          <w:szCs w:val="20"/>
          <w:vertAlign w:val="baseline"/>
        </w:rPr>
        <w:t>The first widely distributed</w:t>
      </w:r>
      <w:r>
        <w:rPr>
          <w:rFonts w:eastAsia="Times New Roman" w:cs="Times New Roman" w:ascii="Times New Roman" w:hAnsi="Times New Roman"/>
          <w:sz w:val="20"/>
          <w:szCs w:val="20"/>
        </w:rPr>
        <w:t xml:space="preserve"> example</w:t>
      </w:r>
      <w:r>
        <w:rPr>
          <w:rFonts w:eastAsia="Times New Roman" w:cs="Times New Roman" w:ascii="Times New Roman" w:hAnsi="Times New Roman"/>
          <w:b w:val="false"/>
          <w:position w:val="0"/>
          <w:sz w:val="20"/>
          <w:sz w:val="20"/>
          <w:szCs w:val="20"/>
          <w:vertAlign w:val="baseline"/>
        </w:rPr>
        <w:t xml:space="preserve"> of these works was published in Augsburg by the jurist Andrea Alciato, and like its successors, featured hundreds of woodcut illustrations. For 10 points each:</w:t>
      </w:r>
    </w:p>
    <w:p>
      <w:pPr>
        <w:pStyle w:val="Normal"/>
        <w:widowControl w:val="false"/>
        <w:spacing w:lineRule="auto" w:line="240" w:before="0" w:after="0"/>
        <w:rPr>
          <w:rFonts w:eastAsia="Times New Roman" w:cs="Times New Roman" w:ascii="Times New Roman" w:hAnsi="Times New Roman"/>
          <w:b w:val="false"/>
          <w:position w:val="0"/>
          <w:sz w:val="20"/>
          <w:sz w:val="20"/>
          <w:szCs w:val="20"/>
          <w:vertAlign w:val="baseline"/>
        </w:rPr>
      </w:pPr>
      <w:r>
        <w:rPr>
          <w:rFonts w:eastAsia="Times New Roman" w:cs="Times New Roman" w:ascii="Times New Roman" w:hAnsi="Times New Roman"/>
          <w:b w:val="false"/>
          <w:position w:val="0"/>
          <w:sz w:val="20"/>
          <w:sz w:val="20"/>
          <w:szCs w:val="20"/>
          <w:vertAlign w:val="baseline"/>
        </w:rPr>
        <w:t xml:space="preserve">[10] Name these books of morally-charged poems accompanying its namesake allegorical images. Guillaume de La Perrière and Francis Quarles </w:t>
      </w:r>
      <w:r>
        <w:rPr>
          <w:rFonts w:eastAsia="Times New Roman" w:cs="Times New Roman" w:ascii="Times New Roman" w:hAnsi="Times New Roman"/>
          <w:sz w:val="20"/>
          <w:szCs w:val="20"/>
        </w:rPr>
        <w:t xml:space="preserve">also wrote </w:t>
      </w:r>
      <w:r>
        <w:rPr>
          <w:rFonts w:eastAsia="Times New Roman" w:cs="Times New Roman" w:ascii="Times New Roman" w:hAnsi="Times New Roman"/>
          <w:b w:val="false"/>
          <w:position w:val="0"/>
          <w:sz w:val="20"/>
          <w:sz w:val="20"/>
          <w:szCs w:val="20"/>
          <w:vertAlign w:val="baseline"/>
        </w:rPr>
        <w:t xml:space="preserve">notable </w:t>
      </w:r>
      <w:r>
        <w:rPr>
          <w:rFonts w:eastAsia="Times New Roman" w:cs="Times New Roman" w:ascii="Times New Roman" w:hAnsi="Times New Roman"/>
          <w:sz w:val="20"/>
          <w:szCs w:val="20"/>
        </w:rPr>
        <w:t xml:space="preserve">examples </w:t>
      </w:r>
      <w:r>
        <w:rPr>
          <w:rFonts w:eastAsia="Times New Roman" w:cs="Times New Roman" w:ascii="Times New Roman" w:hAnsi="Times New Roman"/>
          <w:b w:val="false"/>
          <w:position w:val="0"/>
          <w:sz w:val="20"/>
          <w:sz w:val="20"/>
          <w:szCs w:val="20"/>
          <w:vertAlign w:val="baseline"/>
        </w:rPr>
        <w:t>of these books.</w:t>
      </w:r>
    </w:p>
    <w:p>
      <w:pPr>
        <w:pStyle w:val="Normal"/>
        <w:widowControl w:val="false"/>
        <w:spacing w:lineRule="auto" w:line="240" w:before="0" w:after="0"/>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b/>
          <w:i w:val="false"/>
          <w:caps w:val="false"/>
          <w:smallCaps w:val="false"/>
          <w:position w:val="0"/>
          <w:sz w:val="20"/>
          <w:sz w:val="20"/>
          <w:szCs w:val="20"/>
          <w:highlight w:val="white"/>
          <w:u w:val="single"/>
          <w:vertAlign w:val="baseline"/>
        </w:rPr>
        <w:t>emblem</w:t>
      </w:r>
      <w:r>
        <w:rPr>
          <w:rFonts w:eastAsia="Times New Roman" w:cs="Times New Roman" w:ascii="Times New Roman" w:hAnsi="Times New Roman"/>
          <w:b w:val="false"/>
          <w:caps w:val="false"/>
          <w:smallCaps w:val="false"/>
          <w:strike w:val="false"/>
          <w:dstrike w:val="false"/>
          <w:position w:val="0"/>
          <w:sz w:val="20"/>
          <w:sz w:val="20"/>
          <w:szCs w:val="20"/>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books [</w:t>
      </w:r>
      <w:r>
        <w:rPr>
          <w:rFonts w:eastAsia="Times New Roman" w:cs="Times New Roman" w:ascii="Times New Roman" w:hAnsi="Times New Roman"/>
          <w:sz w:val="20"/>
          <w:szCs w:val="20"/>
        </w:rPr>
        <w:t>or</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 </w:t>
      </w:r>
      <w:r>
        <w:rPr>
          <w:rFonts w:eastAsia="Times New Roman" w:cs="Times New Roman" w:ascii="Times New Roman" w:hAnsi="Times New Roman"/>
          <w:b/>
          <w:i/>
          <w:caps w:val="false"/>
          <w:smallCaps w:val="false"/>
          <w:position w:val="0"/>
          <w:sz w:val="20"/>
          <w:sz w:val="20"/>
          <w:szCs w:val="20"/>
          <w:highlight w:val="white"/>
          <w:u w:val="single"/>
          <w:vertAlign w:val="baseline"/>
        </w:rPr>
        <w:t>Emblemata</w:t>
      </w:r>
      <w:r>
        <w:rPr>
          <w:rFonts w:eastAsia="Times New Roman" w:cs="Times New Roman" w:ascii="Times New Roman" w:hAnsi="Times New Roman"/>
          <w:sz w:val="20"/>
          <w:szCs w:val="20"/>
        </w:rPr>
        <w:t xml:space="preserve">; </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or </w:t>
      </w:r>
      <w:r>
        <w:rPr>
          <w:rFonts w:eastAsia="Times New Roman" w:cs="Times New Roman" w:ascii="Times New Roman" w:hAnsi="Times New Roman"/>
          <w:b/>
          <w:i/>
          <w:caps w:val="false"/>
          <w:smallCaps w:val="false"/>
          <w:position w:val="0"/>
          <w:sz w:val="20"/>
          <w:sz w:val="20"/>
          <w:szCs w:val="20"/>
          <w:highlight w:val="white"/>
          <w:u w:val="single"/>
          <w:vertAlign w:val="baseline"/>
        </w:rPr>
        <w:t>Emblems</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w:t>
      </w:r>
    </w:p>
    <w:p>
      <w:pPr>
        <w:pStyle w:val="Normal"/>
        <w:widowControl w:val="false"/>
        <w:spacing w:lineRule="auto" w:line="240" w:before="0" w:after="0"/>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[10] Francis Quarles’ verse-romance </w:t>
      </w:r>
      <w:r>
        <w:rPr>
          <w:rFonts w:eastAsia="Times New Roman" w:cs="Times New Roman" w:ascii="Times New Roman" w:hAnsi="Times New Roman"/>
          <w:b w:val="false"/>
          <w:i/>
          <w:caps w:val="false"/>
          <w:smallCaps w:val="false"/>
          <w:strike w:val="false"/>
          <w:dstrike w:val="false"/>
          <w:position w:val="0"/>
          <w:sz w:val="20"/>
          <w:sz w:val="20"/>
          <w:szCs w:val="20"/>
          <w:u w:val="none"/>
          <w:vertAlign w:val="baseline"/>
        </w:rPr>
        <w:t>Argalus and Parthenia</w:t>
      </w:r>
      <w:r>
        <w:rPr>
          <w:rFonts w:eastAsia="Times New Roman" w:cs="Times New Roman" w:ascii="Times New Roman" w:hAnsi="Times New Roman"/>
          <w:b w:val="false"/>
          <w:caps w:val="false"/>
          <w:smallCaps w:val="false"/>
          <w:strike w:val="false"/>
          <w:dstrike w:val="false"/>
          <w:position w:val="0"/>
          <w:sz w:val="20"/>
          <w:sz w:val="20"/>
          <w:szCs w:val="20"/>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was thematically based on this 16th</w:t>
      </w:r>
      <w:r>
        <w:rPr>
          <w:rFonts w:eastAsia="Times New Roman" w:cs="Times New Roman" w:ascii="Times New Roman" w:hAnsi="Times New Roman"/>
          <w:sz w:val="20"/>
          <w:szCs w:val="20"/>
        </w:rPr>
        <w:t>-</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century prose work by Philip Sidney, in which Pyrocles disguises himself as an Amazon to get close to Basilius’ daughter Philoclea. It was dedicated to the Countess of Pembroke.</w:t>
      </w:r>
    </w:p>
    <w:p>
      <w:pPr>
        <w:pStyle w:val="Normal"/>
        <w:widowControl w:val="false"/>
        <w:spacing w:lineRule="auto" w:line="240" w:before="0" w:after="0"/>
        <w:rPr>
          <w:rFonts w:eastAsia="Times New Roman" w:cs="Times New Roman" w:ascii="Times New Roman" w:hAnsi="Times New Roman"/>
          <w:b/>
          <w:i/>
          <w:caps w:val="false"/>
          <w:smallCaps w:val="false"/>
          <w:position w:val="0"/>
          <w:sz w:val="20"/>
          <w:sz w:val="20"/>
          <w:szCs w:val="20"/>
          <w:highlight w:val="white"/>
          <w:u w:val="single"/>
          <w:vertAlign w:val="baselin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b w:val="false"/>
          <w:i/>
          <w:caps w:val="false"/>
          <w:smallCaps w:val="false"/>
          <w:strike w:val="false"/>
          <w:dstrike w:val="false"/>
          <w:position w:val="0"/>
          <w:sz w:val="20"/>
          <w:sz w:val="20"/>
          <w:szCs w:val="20"/>
          <w:u w:val="none"/>
          <w:vertAlign w:val="baseline"/>
        </w:rPr>
        <w:t xml:space="preserve">The Countess of Pembroke’s </w:t>
      </w:r>
      <w:r>
        <w:rPr>
          <w:rFonts w:eastAsia="Times New Roman" w:cs="Times New Roman" w:ascii="Times New Roman" w:hAnsi="Times New Roman"/>
          <w:b/>
          <w:i/>
          <w:caps w:val="false"/>
          <w:smallCaps w:val="false"/>
          <w:position w:val="0"/>
          <w:sz w:val="20"/>
          <w:sz w:val="20"/>
          <w:szCs w:val="20"/>
          <w:highlight w:val="white"/>
          <w:u w:val="single"/>
          <w:vertAlign w:val="baseline"/>
        </w:rPr>
        <w:t>Arcadia</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[10] In Book III of </w:t>
      </w:r>
      <w:r>
        <w:rPr>
          <w:rFonts w:eastAsia="Times New Roman" w:cs="Times New Roman" w:ascii="Times New Roman" w:hAnsi="Times New Roman"/>
          <w:i/>
          <w:sz w:val="20"/>
          <w:szCs w:val="20"/>
        </w:rPr>
        <w:t>Arcadia</w:t>
      </w:r>
      <w:r>
        <w:rPr>
          <w:rFonts w:eastAsia="Times New Roman" w:cs="Times New Roman" w:ascii="Times New Roman" w:hAnsi="Times New Roman"/>
          <w:sz w:val="20"/>
          <w:szCs w:val="20"/>
        </w:rPr>
        <w:t>, Musidorus elopes with this daughter of Basilius, and nearly rapes her before being stopped by some “clownish villains.” A later character with this name secretly corresponds with the Reverend Arthur Williams while being kept as a virtual prisoner under the watchful eye of Mrs. Jewkes.</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b/>
          <w:sz w:val="20"/>
          <w:szCs w:val="20"/>
          <w:u w:val="single"/>
        </w:rPr>
        <w:t>Pamela</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This problem is more accurately phrased as why the ratio between the electroweak scale and the Planck mass is so small.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problem in theoretical physics of why gravity is so many orders of magnitude weaker than other forces.</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hierarchy problem</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hierarchy problem is one violation of this principle, which states that theories shouldn’t require extreme fine-tuning like a really big number happening to almost cancel out another really big number. Parameters in this type of theory should have coefficients which are UV insensitive and order one, or zero in some symmetry limit.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natural</w:t>
      </w:r>
      <w:r>
        <w:rPr>
          <w:rFonts w:eastAsia="Times New Roman" w:cs="Times New Roman" w:ascii="Times New Roman" w:hAnsi="Times New Roman"/>
          <w:sz w:val="20"/>
          <w:szCs w:val="20"/>
        </w:rPr>
        <w:t>ness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Another important naturalness problem is why the mass of this particle is so insanely small. This particle undergoes spontaneous symmetry breaking to generate the mass of other heavy particles.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Higgs</w:t>
      </w:r>
      <w:r>
        <w:rPr>
          <w:rFonts w:eastAsia="Times New Roman" w:cs="Times New Roman" w:ascii="Times New Roman" w:hAnsi="Times New Roman"/>
          <w:sz w:val="20"/>
          <w:szCs w:val="20"/>
        </w:rPr>
        <w:t xml:space="preserve"> boson</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This story’s characters include Harelip, who terrorizes young girls at a pond and asks a soldier to have sex with a goat.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story in which a black pilot crashes near a village, whose members lock him in a basement and chain his ankles together. It ends with the narrator’s father smashing the pilot’s head with a hatchet.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w:t>
      </w:r>
      <w:r>
        <w:rPr>
          <w:rFonts w:eastAsia="Times New Roman" w:cs="Times New Roman" w:ascii="Times New Roman" w:hAnsi="Times New Roman"/>
          <w:b/>
          <w:sz w:val="20"/>
          <w:szCs w:val="20"/>
          <w:highlight w:val="white"/>
          <w:u w:val="single"/>
        </w:rPr>
        <w:t>Prize Stock</w:t>
      </w:r>
      <w:r>
        <w:rPr>
          <w:rFonts w:eastAsia="Times New Roman" w:cs="Times New Roman" w:ascii="Times New Roman" w:hAnsi="Times New Roman"/>
          <w:sz w:val="20"/>
          <w:szCs w:val="20"/>
          <w:highlight w:val="white"/>
        </w:rPr>
        <w:t>”</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 xml:space="preserve">[or “The </w:t>
      </w:r>
      <w:r>
        <w:rPr>
          <w:rFonts w:eastAsia="Times New Roman" w:cs="Times New Roman" w:ascii="Times New Roman" w:hAnsi="Times New Roman"/>
          <w:b/>
          <w:sz w:val="20"/>
          <w:szCs w:val="20"/>
          <w:u w:val="single"/>
        </w:rPr>
        <w:t>Catch</w:t>
      </w:r>
      <w:r>
        <w:rPr>
          <w:rFonts w:eastAsia="Times New Roman" w:cs="Times New Roman" w:ascii="Times New Roman" w:hAnsi="Times New Roman"/>
          <w:sz w:val="20"/>
          <w:szCs w:val="20"/>
        </w:rPr>
        <w:t>”; or “</w:t>
      </w:r>
      <w:r>
        <w:rPr>
          <w:rFonts w:eastAsia="Times New Roman" w:cs="Times New Roman" w:ascii="Times New Roman" w:hAnsi="Times New Roman"/>
          <w:b/>
          <w:sz w:val="20"/>
          <w:szCs w:val="20"/>
          <w:highlight w:val="white"/>
          <w:u w:val="single"/>
        </w:rPr>
        <w:t>Shiiku</w:t>
      </w:r>
      <w:r>
        <w:rPr>
          <w:rFonts w:eastAsia="Times New Roman" w:cs="Times New Roman" w:ascii="Times New Roman" w:hAnsi="Times New Roman"/>
          <w:sz w:val="20"/>
          <w:szCs w:val="20"/>
          <w:highlight w:val="white"/>
        </w:rPr>
        <w:t>”</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“Prize Stock” won the Akutagawa Prize for this Japanese author of </w:t>
      </w:r>
      <w:r>
        <w:rPr>
          <w:rFonts w:eastAsia="Times New Roman" w:cs="Times New Roman" w:ascii="Times New Roman" w:hAnsi="Times New Roman"/>
          <w:i/>
          <w:sz w:val="20"/>
          <w:szCs w:val="20"/>
        </w:rPr>
        <w:t>A Personal Matter</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Silent Cry</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Kenzaboru </w:t>
      </w:r>
      <w:r>
        <w:rPr>
          <w:rFonts w:eastAsia="Times New Roman" w:cs="Times New Roman" w:ascii="Times New Roman" w:hAnsi="Times New Roman"/>
          <w:b/>
          <w:sz w:val="20"/>
          <w:szCs w:val="20"/>
          <w:u w:val="single"/>
        </w:rPr>
        <w:t>Oe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narrator of “Prize Stock” is named for this animal. In another Japanese short story, Katagiri returns home to his apartment to find an enormous kind of this animal waiting for him.</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frog</w:t>
      </w:r>
      <w:r>
        <w:rPr>
          <w:rFonts w:eastAsia="Times New Roman" w:cs="Times New Roman" w:ascii="Times New Roman" w:hAnsi="Times New Roman"/>
          <w:sz w:val="20"/>
          <w:szCs w:val="20"/>
        </w:rPr>
        <w:t>s</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Ceyx buried a figure of this name, but the headstone was washed away when a river flooded at Apollo’s command.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Give this name that was also held by an invincible son of Poseidon who died when Achilles used the straps of his helmet to strangle him to death. After that, he was turned into a certain bird.</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Cycnus</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highlight w:val="white"/>
        </w:rPr>
        <w:t>Another Cycnus was a friend of this son of Helios who attempted to drive his father’s chariot but lost and had to be stopped by Zeus’s thunderbolt. His sisters were transformed into poplar trees in their mourning.</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Phaethon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Yet another Cycnus tested the devotion of Phylius by having him kill one of these creatures, which he accomplished by vomiting wine which the creature ate up and then strangling it. Heracles killed one of these creatures before copulating with the fifty daughters of Thespius.</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lion</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In one painting, this man crawls out a window while his lover begs her dying husband for forgiveness, and news of his hanging at Tyburn is written on a letter in another painting.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lawyer who carries out an affair with the Countess in a series of paintings. The sixth of that series,  entitled </w:t>
      </w:r>
      <w:r>
        <w:rPr>
          <w:rFonts w:eastAsia="Times New Roman" w:cs="Times New Roman" w:ascii="Times New Roman" w:hAnsi="Times New Roman"/>
          <w:i/>
          <w:sz w:val="20"/>
          <w:szCs w:val="20"/>
        </w:rPr>
        <w:t>The Lady’s Death</w:t>
      </w:r>
      <w:r>
        <w:rPr>
          <w:rFonts w:eastAsia="Times New Roman" w:cs="Times New Roman" w:ascii="Times New Roman" w:hAnsi="Times New Roman"/>
          <w:sz w:val="20"/>
          <w:szCs w:val="20"/>
        </w:rPr>
        <w:t>, shows the Countess dying of poison that she took after hearing of this man’s death.</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Silvertongue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Silvertongue appears in this satirical series by William Hogarth depicting a loveless arrangement between the daughter of a miserly merchant and the son of the bankrupt Earl Squanderfield.</w:t>
      </w:r>
    </w:p>
    <w:p>
      <w:pPr>
        <w:pStyle w:val="Normal"/>
        <w:widowControl w:val="false"/>
        <w:spacing w:lineRule="auto" w:line="240" w:before="0" w:after="0"/>
        <w:rPr>
          <w:rFonts w:eastAsia="Times New Roman" w:cs="Times New Roman" w:ascii="Times New Roman" w:hAnsi="Times New Roman"/>
          <w:b/>
          <w:i/>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highlight w:val="white"/>
          <w:u w:val="single"/>
        </w:rPr>
        <w:t>Marriage à-la-Mode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the first scene of </w:t>
      </w:r>
      <w:r>
        <w:rPr>
          <w:rFonts w:eastAsia="Times New Roman" w:cs="Times New Roman" w:ascii="Times New Roman" w:hAnsi="Times New Roman"/>
          <w:i/>
          <w:sz w:val="20"/>
          <w:szCs w:val="20"/>
        </w:rPr>
        <w:t>Marriage à-la-Mode</w:t>
      </w:r>
      <w:r>
        <w:rPr>
          <w:rFonts w:eastAsia="Times New Roman" w:cs="Times New Roman" w:ascii="Times New Roman" w:hAnsi="Times New Roman"/>
          <w:sz w:val="20"/>
          <w:szCs w:val="20"/>
        </w:rPr>
        <w:t>, Earl Squanderfield sits in a chair to the right pointing at one of these things. One of these in a Norman Rockwell painting features depictions of a pirate, a Native American woman, and both Union and Confederate soldiers.</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family tree</w:t>
      </w:r>
      <w:r>
        <w:rPr>
          <w:rFonts w:eastAsia="Times New Roman" w:cs="Times New Roman" w:ascii="Times New Roman" w:hAnsi="Times New Roman"/>
          <w:sz w:val="20"/>
          <w:szCs w:val="20"/>
        </w:rPr>
        <w:t>s [prompt on “genealogies”]</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Vamik Volkan is a leading expert on the collective form of this phenomenon, particularly its trans-generational transmission.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psychological phenomenon, which can be treated with the eye movement-based CBT techniques in the controversial EMDR or by focusing on physical sensations in Somatic Experiencing.</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Trauma</w:t>
      </w:r>
      <w:r>
        <w:rPr>
          <w:rFonts w:eastAsia="Times New Roman" w:cs="Times New Roman" w:ascii="Times New Roman" w:hAnsi="Times New Roman"/>
          <w:sz w:val="20"/>
          <w:szCs w:val="20"/>
        </w:rPr>
        <w:t xml:space="preserve"> [accept Post-</w:t>
      </w:r>
      <w:r>
        <w:rPr>
          <w:rFonts w:eastAsia="Times New Roman" w:cs="Times New Roman" w:ascii="Times New Roman" w:hAnsi="Times New Roman"/>
          <w:b/>
          <w:sz w:val="20"/>
          <w:szCs w:val="20"/>
          <w:u w:val="single"/>
        </w:rPr>
        <w:t>Trauma</w:t>
      </w:r>
      <w:r>
        <w:rPr>
          <w:rFonts w:eastAsia="Times New Roman" w:cs="Times New Roman" w:ascii="Times New Roman" w:hAnsi="Times New Roman"/>
          <w:sz w:val="20"/>
          <w:szCs w:val="20"/>
        </w:rPr>
        <w:t xml:space="preserve">tic Stress Disorder or </w:t>
      </w:r>
      <w:r>
        <w:rPr>
          <w:rFonts w:eastAsia="Times New Roman" w:cs="Times New Roman" w:ascii="Times New Roman" w:hAnsi="Times New Roman"/>
          <w:b/>
          <w:sz w:val="20"/>
          <w:szCs w:val="20"/>
          <w:u w:val="single"/>
        </w:rPr>
        <w:t>PTSD</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developer of “will therapy” explained art and religion as attempts to reconcile the anxieties that emerged from the titular event in his </w:t>
      </w:r>
      <w:r>
        <w:rPr>
          <w:rFonts w:eastAsia="Times New Roman" w:cs="Times New Roman" w:ascii="Times New Roman" w:hAnsi="Times New Roman"/>
          <w:i/>
          <w:sz w:val="20"/>
          <w:szCs w:val="20"/>
        </w:rPr>
        <w:t>The Trauma of Birth</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Otto </w:t>
      </w:r>
      <w:r>
        <w:rPr>
          <w:rFonts w:eastAsia="Times New Roman" w:cs="Times New Roman" w:ascii="Times New Roman" w:hAnsi="Times New Roman"/>
          <w:b/>
          <w:sz w:val="20"/>
          <w:szCs w:val="20"/>
          <w:u w:val="single"/>
        </w:rPr>
        <w:t>Rank</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Vamik's conception of trauma as galvanizing around specific geographic symbols echoes the foundational work of this historian, a leading French thinker who popularized the concept of </w:t>
      </w:r>
      <w:r>
        <w:rPr>
          <w:rFonts w:eastAsia="Times New Roman" w:cs="Times New Roman" w:ascii="Times New Roman" w:hAnsi="Times New Roman"/>
          <w:i/>
          <w:sz w:val="20"/>
          <w:szCs w:val="20"/>
        </w:rPr>
        <w:t>lieux de memoire</w:t>
      </w:r>
      <w:r>
        <w:rPr>
          <w:rFonts w:eastAsia="Times New Roman" w:cs="Times New Roman" w:ascii="Times New Roman" w:hAnsi="Times New Roman"/>
          <w:sz w:val="20"/>
          <w:szCs w:val="20"/>
        </w:rPr>
        <w:t xml:space="preserve">, or “sites of memory.”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Pierre </w:t>
      </w:r>
      <w:r>
        <w:rPr>
          <w:rFonts w:eastAsia="Times New Roman" w:cs="Times New Roman" w:ascii="Times New Roman" w:hAnsi="Times New Roman"/>
          <w:b/>
          <w:sz w:val="20"/>
          <w:szCs w:val="20"/>
          <w:u w:val="single"/>
        </w:rPr>
        <w:t>Nora</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These bonds are cleaved by beta-mercaptoethanol and they hold together the heavy and light chains of antibodies.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bonds that make your curly when they form between the cysteines of keratin.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disulfide</w:t>
      </w:r>
      <w:r>
        <w:rPr>
          <w:rFonts w:eastAsia="Times New Roman" w:cs="Times New Roman" w:ascii="Times New Roman" w:hAnsi="Times New Roman"/>
          <w:sz w:val="20"/>
          <w:szCs w:val="20"/>
        </w:rPr>
        <w:t xml:space="preserve"> bond [or </w:t>
      </w:r>
      <w:r>
        <w:rPr>
          <w:rFonts w:eastAsia="Times New Roman" w:cs="Times New Roman" w:ascii="Times New Roman" w:hAnsi="Times New Roman"/>
          <w:b/>
          <w:sz w:val="20"/>
          <w:szCs w:val="20"/>
          <w:highlight w:val="white"/>
          <w:u w:val="single"/>
        </w:rPr>
        <w:t>disulfide</w:t>
      </w:r>
      <w:r>
        <w:rPr>
          <w:rFonts w:eastAsia="Times New Roman" w:cs="Times New Roman" w:ascii="Times New Roman" w:hAnsi="Times New Roman"/>
          <w:sz w:val="20"/>
          <w:szCs w:val="20"/>
        </w:rPr>
        <w:t xml:space="preserve"> bridge]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tripeptide donates an electron to reactive oxygen species, after which it usually dimerizes by forming a disulfide bond. This molecule can be attached to sepharose beads to isolate proteins tagged with its namesake S-transferase.</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glutathione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molecule, also known as Cleland’s reagent, is used to reduce the disulfide bonds of proteins and deprotect thiolated DNA. It contains two hydroxyls and two thiols and forms a six-membered ring when oxidized.</w:t>
      </w:r>
    </w:p>
    <w:p>
      <w:pPr>
        <w:pStyle w:val="Normal"/>
        <w:widowControl w:val="false"/>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dithiothreitol</w:t>
      </w:r>
      <w:r>
        <w:rPr>
          <w:rFonts w:eastAsia="Times New Roman" w:cs="Times New Roman" w:ascii="Times New Roman" w:hAnsi="Times New Roman"/>
          <w:b/>
          <w:sz w:val="20"/>
          <w:szCs w:val="20"/>
          <w:highlight w:val="white"/>
        </w:rPr>
        <w:t xml:space="preserve"> </w:t>
      </w:r>
      <w:r>
        <w:rPr>
          <w:rFonts w:eastAsia="Times New Roman" w:cs="Times New Roman" w:ascii="Times New Roman" w:hAnsi="Times New Roman"/>
          <w:sz w:val="20"/>
          <w:szCs w:val="20"/>
          <w:highlight w:val="white"/>
        </w:rPr>
        <w:t xml:space="preserve">[or </w:t>
      </w:r>
      <w:r>
        <w:rPr>
          <w:rFonts w:eastAsia="Times New Roman" w:cs="Times New Roman" w:ascii="Times New Roman" w:hAnsi="Times New Roman"/>
          <w:b/>
          <w:sz w:val="20"/>
          <w:szCs w:val="20"/>
          <w:highlight w:val="white"/>
          <w:u w:val="single"/>
        </w:rPr>
        <w:t>DTT</w:t>
      </w:r>
      <w:r>
        <w:rPr>
          <w:rFonts w:eastAsia="Times New Roman" w:cs="Times New Roman" w:ascii="Times New Roman" w:hAnsi="Times New Roman"/>
          <w:sz w:val="20"/>
          <w:szCs w:val="20"/>
          <w:highlight w:val="white"/>
        </w:rPr>
        <w:t>]</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Using the retroactive death penalty reinstated earlier in the year, Georgy Malenkov and Lavrentiy Beria carried out a series of false accusations against this city’s leaders so that Stalin could assert control.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city whose leaders like Aleksei Kuznetsov were executed in its namesake “Affair.” Earlier, Sergey Kirov was assassinated here at the Smolny Institute.</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highlight w:val="white"/>
          <w:u w:val="single"/>
        </w:rPr>
        <w:t>Leningrad</w:t>
      </w:r>
      <w:r>
        <w:rPr>
          <w:rFonts w:eastAsia="Times New Roman" w:cs="Times New Roman" w:ascii="Times New Roman" w:hAnsi="Times New Roman"/>
          <w:sz w:val="20"/>
          <w:szCs w:val="20"/>
        </w:rPr>
        <w:t xml:space="preserve"> [prompt on “Petrograd” or “St. Petersburg”]</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man, who had formed a troika in Leningrad with Kuznetsov and Nikolai Voznesensky, made it through the affair alive. As Soviet Premier, this man implemented a 1965 economic reform sometimes named for him, and also oversaw the eighth, ninth, and tenth five-year-plans.</w:t>
      </w:r>
    </w:p>
    <w:p>
      <w:pPr>
        <w:pStyle w:val="Normal"/>
        <w:widowControl w:val="false"/>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rPr>
        <w:t xml:space="preserve">ANSWER: Alexei Nikolayevich </w:t>
      </w:r>
      <w:r>
        <w:rPr>
          <w:rFonts w:eastAsia="Times New Roman" w:cs="Times New Roman" w:ascii="Times New Roman" w:hAnsi="Times New Roman"/>
          <w:b/>
          <w:sz w:val="20"/>
          <w:szCs w:val="20"/>
          <w:highlight w:val="white"/>
          <w:u w:val="single"/>
        </w:rPr>
        <w:t>Kosygin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Kosygin briefly shared power with this Soviet Premier who dumped him after the unpopular reforms and ruled until his death in 1982, when he was succeeded by Yuri Andropov.</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Leonid Ilyich </w:t>
      </w:r>
      <w:r>
        <w:rPr>
          <w:rFonts w:eastAsia="Times New Roman" w:cs="Times New Roman" w:ascii="Times New Roman" w:hAnsi="Times New Roman"/>
          <w:b/>
          <w:sz w:val="20"/>
          <w:szCs w:val="20"/>
          <w:u w:val="single"/>
        </w:rPr>
        <w:t>Brezhnev</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b w:val="false"/>
          <w:position w:val="0"/>
          <w:sz w:val="20"/>
          <w:sz w:val="20"/>
          <w:szCs w:val="20"/>
          <w:vertAlign w:val="baseline"/>
        </w:rPr>
      </w:pPr>
      <w:r>
        <w:rPr>
          <w:rFonts w:eastAsia="Times New Roman" w:cs="Times New Roman" w:ascii="Times New Roman" w:hAnsi="Times New Roman"/>
          <w:sz w:val="20"/>
          <w:szCs w:val="20"/>
        </w:rPr>
        <w:t>18. This poem’s opening stanzas describe a man burned slowly at the stake in the Tower of London after a sack of gunpowder fails to ignite</w:t>
      </w:r>
      <w:r>
        <w:rPr>
          <w:rFonts w:eastAsia="Times New Roman" w:cs="Times New Roman" w:ascii="Times New Roman" w:hAnsi="Times New Roman"/>
          <w:b w:val="false"/>
          <w:position w:val="0"/>
          <w:sz w:val="20"/>
          <w:sz w:val="20"/>
          <w:szCs w:val="20"/>
          <w:vertAlign w:val="baseline"/>
        </w:rPr>
        <w:t>.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position w:val="0"/>
          <w:sz w:val="20"/>
          <w:sz w:val="20"/>
          <w:szCs w:val="20"/>
          <w:vertAlign w:val="baseline"/>
        </w:rPr>
        <w:t>[10] Name this poem</w:t>
      </w:r>
      <w:r>
        <w:rPr>
          <w:rFonts w:eastAsia="Times New Roman" w:cs="Times New Roman" w:ascii="Times New Roman" w:hAnsi="Times New Roman"/>
          <w:sz w:val="20"/>
          <w:szCs w:val="20"/>
        </w:rPr>
        <w:t xml:space="preserve"> about a Pole who initially refuses but then obeys an order to bury two Jews alive outside of Buchenwald. It was originally published in its author’s collection </w:t>
      </w:r>
      <w:r>
        <w:rPr>
          <w:rFonts w:eastAsia="Times New Roman" w:cs="Times New Roman" w:ascii="Times New Roman" w:hAnsi="Times New Roman"/>
          <w:i/>
          <w:sz w:val="20"/>
          <w:szCs w:val="20"/>
        </w:rPr>
        <w:t>The Hard Hours</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sz w:val="20"/>
          <w:szCs w:val="20"/>
        </w:rPr>
        <w:t>“</w:t>
      </w:r>
      <w:r>
        <w:rPr>
          <w:rFonts w:eastAsia="Times New Roman" w:cs="Times New Roman" w:ascii="Times New Roman" w:hAnsi="Times New Roman"/>
          <w:b/>
          <w:i w:val="false"/>
          <w:caps w:val="false"/>
          <w:smallCaps w:val="false"/>
          <w:position w:val="0"/>
          <w:sz w:val="20"/>
          <w:sz w:val="20"/>
          <w:szCs w:val="20"/>
          <w:highlight w:val="white"/>
          <w:u w:val="single"/>
          <w:vertAlign w:val="baseline"/>
        </w:rPr>
        <w:t>More Light! More Light!</w:t>
      </w:r>
      <w:r>
        <w:rPr>
          <w:rFonts w:eastAsia="Times New Roman" w:cs="Times New Roman" w:ascii="Times New Roman" w:hAnsi="Times New Roman"/>
          <w:sz w:val="20"/>
          <w:szCs w:val="20"/>
        </w:rPr>
        <w: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[10] </w:t>
      </w:r>
      <w:r>
        <w:rPr>
          <w:rFonts w:eastAsia="Times New Roman" w:cs="Times New Roman" w:ascii="Times New Roman" w:hAnsi="Times New Roman"/>
          <w:sz w:val="20"/>
          <w:szCs w:val="20"/>
        </w:rPr>
        <w:t>“</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More Light! More Light!</w:t>
      </w:r>
      <w:r>
        <w:rPr>
          <w:rFonts w:eastAsia="Times New Roman" w:cs="Times New Roman" w:ascii="Times New Roman" w:hAnsi="Times New Roman"/>
          <w:sz w:val="20"/>
          <w:szCs w:val="20"/>
        </w:rPr>
        <w:t>”</w:t>
      </w: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 </w:t>
      </w:r>
      <w:r>
        <w:rPr>
          <w:rFonts w:eastAsia="Times New Roman" w:cs="Times New Roman" w:ascii="Times New Roman" w:hAnsi="Times New Roman"/>
          <w:sz w:val="20"/>
          <w:szCs w:val="20"/>
        </w:rPr>
        <w:t>was written by this American poet of “The Venetian Vespers” and “The Ghost in the Martini,” who parodied a poem by Matthew Arnold in “The Dover Bitch.”</w:t>
      </w:r>
    </w:p>
    <w:p>
      <w:pPr>
        <w:pStyle w:val="Normal"/>
        <w:widowControl w:val="false"/>
        <w:spacing w:lineRule="auto" w:line="240" w:before="0" w:after="0"/>
        <w:rPr>
          <w:rFonts w:eastAsia="Times New Roman" w:cs="Times New Roman" w:ascii="Times New Roman" w:hAnsi="Times New Roman"/>
          <w:b/>
          <w:i w:val="false"/>
          <w:caps w:val="false"/>
          <w:smallCaps w:val="false"/>
          <w:position w:val="0"/>
          <w:sz w:val="20"/>
          <w:sz w:val="20"/>
          <w:szCs w:val="20"/>
          <w:highlight w:val="white"/>
          <w:u w:val="single"/>
          <w:vertAlign w:val="baselin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Anthony Evan </w:t>
      </w:r>
      <w:r>
        <w:rPr>
          <w:rFonts w:eastAsia="Times New Roman" w:cs="Times New Roman" w:ascii="Times New Roman" w:hAnsi="Times New Roman"/>
          <w:b/>
          <w:i w:val="false"/>
          <w:caps w:val="false"/>
          <w:smallCaps w:val="false"/>
          <w:position w:val="0"/>
          <w:sz w:val="20"/>
          <w:sz w:val="20"/>
          <w:szCs w:val="20"/>
          <w:highlight w:val="white"/>
          <w:u w:val="single"/>
          <w:vertAlign w:val="baseline"/>
        </w:rPr>
        <w:t>Hecht</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position w:val="0"/>
          <w:sz w:val="20"/>
          <w:sz w:val="20"/>
          <w:szCs w:val="20"/>
          <w:vertAlign w:val="baseline"/>
        </w:rPr>
        <w:t xml:space="preserve">[10] </w:t>
      </w:r>
      <w:r>
        <w:rPr>
          <w:rFonts w:eastAsia="Times New Roman" w:cs="Times New Roman" w:ascii="Times New Roman" w:hAnsi="Times New Roman"/>
          <w:sz w:val="20"/>
          <w:szCs w:val="20"/>
        </w:rPr>
        <w:t xml:space="preserve">Hecht invented the double dactyl along with this author of </w:t>
      </w:r>
      <w:r>
        <w:rPr>
          <w:rFonts w:eastAsia="Times New Roman" w:cs="Times New Roman" w:ascii="Times New Roman" w:hAnsi="Times New Roman"/>
          <w:i/>
          <w:sz w:val="20"/>
          <w:szCs w:val="20"/>
        </w:rPr>
        <w:t>Rhyme’s Reason</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Spectral Emanations</w:t>
      </w:r>
      <w:r>
        <w:rPr>
          <w:rFonts w:eastAsia="Times New Roman" w:cs="Times New Roman" w:ascii="Times New Roman" w:hAnsi="Times New Roman"/>
          <w:sz w:val="20"/>
          <w:szCs w:val="20"/>
        </w:rPr>
        <w:t>, who edited the Library of America’s anthology of 19th-century American poetry.</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i w:val="false"/>
          <w:caps w:val="false"/>
          <w:smallCaps w:val="false"/>
          <w:strike w:val="false"/>
          <w:dstrike w:val="false"/>
          <w:position w:val="0"/>
          <w:sz w:val="20"/>
          <w:sz w:val="20"/>
          <w:szCs w:val="20"/>
          <w:u w:val="none"/>
          <w:vertAlign w:val="baseline"/>
        </w:rPr>
        <w:t xml:space="preserve">ANSWER: </w:t>
      </w:r>
      <w:r>
        <w:rPr>
          <w:rFonts w:eastAsia="Times New Roman" w:cs="Times New Roman" w:ascii="Times New Roman" w:hAnsi="Times New Roman"/>
          <w:sz w:val="20"/>
          <w:szCs w:val="20"/>
        </w:rPr>
        <w:t xml:space="preserve">John </w:t>
      </w:r>
      <w:r>
        <w:rPr>
          <w:rFonts w:eastAsia="Times New Roman" w:cs="Times New Roman" w:ascii="Times New Roman" w:hAnsi="Times New Roman"/>
          <w:b/>
          <w:sz w:val="20"/>
          <w:szCs w:val="20"/>
          <w:u w:val="single"/>
        </w:rPr>
        <w:t>Hollander</w:t>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Identify the following concerning massacres of indigenous peoples, for 10 points each:</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Charrua people were massacred in this country at a site called Salsipuedes, meaning “get-out-while-you-can.” This country's conflicts include the actions of the Tupamaros, whose members included former president Jose Mujica.</w:t>
      </w:r>
    </w:p>
    <w:p>
      <w:pPr>
        <w:pStyle w:val="Normal"/>
        <w:widowControl w:val="false"/>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Oriental Republic of </w:t>
      </w:r>
      <w:r>
        <w:rPr>
          <w:rFonts w:eastAsia="Times New Roman" w:cs="Times New Roman" w:ascii="Times New Roman" w:hAnsi="Times New Roman"/>
          <w:b/>
          <w:sz w:val="20"/>
          <w:szCs w:val="20"/>
          <w:u w:val="single"/>
        </w:rPr>
        <w:t>Uruguay</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massacre of indigenous peoples at Acteal led to a lawsuit against this world leader, who was in power during a secret meeting in the Lacandon Jungle with leaders of the EZLN rebel group.</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Enesto </w:t>
      </w:r>
      <w:r>
        <w:rPr>
          <w:rFonts w:eastAsia="Times New Roman" w:cs="Times New Roman" w:ascii="Times New Roman" w:hAnsi="Times New Roman"/>
          <w:b/>
          <w:sz w:val="20"/>
          <w:szCs w:val="20"/>
          <w:u w:val="single"/>
        </w:rPr>
        <w:t>Zedillo</w:t>
      </w:r>
      <w:r>
        <w:rPr>
          <w:rFonts w:eastAsia="Times New Roman" w:cs="Times New Roman" w:ascii="Times New Roman" w:hAnsi="Times New Roman"/>
          <w:sz w:val="20"/>
          <w:szCs w:val="20"/>
        </w:rPr>
        <w:t xml:space="preserve"> Ponce de Leon</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Over a thousands Assyrians fleeing Iraqi pogroms were slaughtered at this 1933 massacre, in which children were notably run over by armored cars. It ended only after the Chaldean Catholic Church intervened.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Simele</w:t>
      </w:r>
      <w:r>
        <w:rPr>
          <w:rFonts w:eastAsia="Times New Roman" w:cs="Times New Roman" w:ascii="Times New Roman" w:hAnsi="Times New Roman"/>
          <w:sz w:val="20"/>
          <w:szCs w:val="20"/>
        </w:rPr>
        <w:t xml:space="preserve"> Massacre</w:t>
      </w:r>
    </w:p>
    <w:p>
      <w:pPr>
        <w:pStyle w:val="Normal"/>
        <w:widowControl w:val="false"/>
        <w:spacing w:lineRule="auto" w:line="240"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This air promises that “Trees, where you sit, shall crowd into a shade.”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air, sung by Jupiter in </w:t>
      </w:r>
      <w:r>
        <w:rPr>
          <w:rFonts w:eastAsia="Times New Roman" w:cs="Times New Roman" w:ascii="Times New Roman" w:hAnsi="Times New Roman"/>
          <w:i/>
          <w:sz w:val="20"/>
          <w:szCs w:val="20"/>
        </w:rPr>
        <w:t>Semele</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Where’er you walk</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Semele</w:t>
      </w:r>
      <w:r>
        <w:rPr>
          <w:rFonts w:eastAsia="Times New Roman" w:cs="Times New Roman" w:ascii="Times New Roman" w:hAnsi="Times New Roman"/>
          <w:sz w:val="20"/>
          <w:szCs w:val="20"/>
        </w:rPr>
        <w:t xml:space="preserve"> was written by this composer to a libretto by William Congreve. His other oratorios include </w:t>
      </w:r>
      <w:r>
        <w:rPr>
          <w:rFonts w:eastAsia="Times New Roman" w:cs="Times New Roman" w:ascii="Times New Roman" w:hAnsi="Times New Roman"/>
          <w:i/>
          <w:sz w:val="20"/>
          <w:szCs w:val="20"/>
        </w:rPr>
        <w:t xml:space="preserve">Israel in Egypt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Solomon</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George Frideric </w:t>
      </w:r>
      <w:r>
        <w:rPr>
          <w:rFonts w:eastAsia="Times New Roman" w:cs="Times New Roman" w:ascii="Times New Roman" w:hAnsi="Times New Roman"/>
          <w:b/>
          <w:sz w:val="20"/>
          <w:szCs w:val="20"/>
          <w:u w:val="single"/>
        </w:rPr>
        <w:t>Handel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Handel often tried to squeeze out multiple compositions from his music, such as by weaving this funeral anthem for Queen Caroline into his oratorio </w:t>
      </w:r>
      <w:r>
        <w:rPr>
          <w:rFonts w:eastAsia="Times New Roman" w:cs="Times New Roman" w:ascii="Times New Roman" w:hAnsi="Times New Roman"/>
          <w:i/>
          <w:sz w:val="20"/>
          <w:szCs w:val="20"/>
        </w:rPr>
        <w:t>Israel in Egypt</w:t>
      </w:r>
      <w:r>
        <w:rPr>
          <w:rFonts w:eastAsia="Times New Roman" w:cs="Times New Roman" w:ascii="Times New Roman" w:hAnsi="Times New Roman"/>
          <w:sz w:val="20"/>
          <w:szCs w:val="20"/>
        </w:rPr>
        <w:t>. For the oratorio, he altered the title by changing two words to “sons” and “Israel.”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Ways of Zion do Mourn</w:t>
      </w:r>
      <w:r>
        <w:rPr>
          <w:rFonts w:eastAsia="Times New Roman" w:cs="Times New Roman" w:ascii="Times New Roman" w:hAnsi="Times New Roman"/>
          <w:sz w:val="20"/>
          <w:szCs w:val="20"/>
        </w:rPr>
        <w: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