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07A7" w:rsidRDefault="00F20B4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TIEBREAKER TOSSUPS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INSTRUCTIONS: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If a replacement bonus needs to be read, ask the teams which, if any, of the replacement tossups they have heard previously, if any.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Then, choose at random a replacement tossup to read to them.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 1998, X-ray studies showed a painting in this color originally had a composition of mother and child underneath. This color represents concentric movement and spirituality according to “On the Spiritual in Art.” In São Paulo in 2009, a portrait in this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color of Suzanne Bloch was stolen. (*)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Death of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Casagemas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commemorates an event that inspired a time period of this color, which titles a painting showing a man on a horse in a green field that gave its name to an art movement. For 10 points,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Old 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uitarist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was painted during a Picasso period named for what color?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blue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[or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bleu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This philosopher argued that “cogito ergo sum” made no sense after the “turn” in philosophy brought about by Kant and used the word “discourse” to designate a mode 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f speaking pertaining to unconscious rules that determine conceptual possibilities possible within an era. This philosopher initially used (*)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“archaeological” methods to analyze the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epistemes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of given periods, but later used a method of “genealogy” which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employed to analyze the shift away from torture and execution in prisons. For 10 points, identify this author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Order of Things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Discipline and Punish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Michel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Foucault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Observed values of the electric dipole moment constrain the extent 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this phenomenon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 the strong force. Proposed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axions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 QCD would allow this phenomenon, which requires that matrices describing some particle oscillations be complex. (*)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Baryogenesis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requires this phenomenon to occur, since created baryons would otherw</w:t>
      </w:r>
      <w:r>
        <w:rPr>
          <w:rFonts w:ascii="Times New Roman" w:eastAsia="Times New Roman" w:hAnsi="Times New Roman" w:cs="Times New Roman"/>
          <w:sz w:val="20"/>
          <w:szCs w:val="20"/>
        </w:rPr>
        <w:t>ise annihilate each other; thus, it may explain why matter dominates antimatter in the universe. Cronin and Fitch observed - for 10 points - what this phenomenon in which particles are asymmetric in charge and parity?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CP violation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 a novel by th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is author, episodes detailing experiences in Amazonia and the Congo lead up to Roger Casement’s involvement in the Easter Rising. A novel by this author opens with a New York lawyer returning to her home country after emigrating 35 years prior. This author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of (*)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Dream of the Celt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fictionalized the assassination of Rafael Trujillo in one novel, and wrote another about the incest of an employee of Radio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Panamericana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Feast of the Goat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by - for 10 points - what Peruvian author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Aunt Julia and the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Scriptwriter?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Mario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Vargas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Llosa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[prompt on partial answer]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During the rule of this English king, the Wonderful Parliament forced him to dismiss his Chancellor; later, at the Merciless Parliament, that man, Michael de la Pole, was sentenced to de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ath by the Lords Appellant. Simon Sudbury served as this ruler’s Archbishop of Canterbury before he was beheaded. (*)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John Ball, Jack Straw, and Wat Tyler led an uprising of peasants against this ruler. A man born at Bolingbroke Castle deposed - for 10 poi</w:t>
      </w:r>
      <w:r>
        <w:rPr>
          <w:rFonts w:ascii="Times New Roman" w:eastAsia="Times New Roman" w:hAnsi="Times New Roman" w:cs="Times New Roman"/>
          <w:sz w:val="20"/>
          <w:szCs w:val="20"/>
        </w:rPr>
        <w:t>nts - which son of Edward the Black Prince, a Plantagenet who was overthrown and succeeded by Henry IV?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Richard II</w:t>
      </w: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EF07A7" w:rsidRDefault="00F20B4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REPLACEMENT BONUSES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INSTRUCTIONS: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If a replacement bonus needs to be read, ask the team which of the replacement bonuses they have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heard previously, if any.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Then, choose at random a replacement bonus to read to them.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god, who presided over the city of Nippur, was the only deity who was able to reach the supreme god of heaven,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and thus held sway over the other deities. For 1</w:t>
      </w:r>
      <w:r>
        <w:rPr>
          <w:rFonts w:ascii="Times New Roman" w:eastAsia="Times New Roman" w:hAnsi="Times New Roman" w:cs="Times New Roman"/>
          <w:sz w:val="20"/>
          <w:szCs w:val="20"/>
        </w:rPr>
        <w:t>0 points each: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[10] Identify this Mesopotamian god of wind who attempted to wipe out humanity with a great flood.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Enlil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[10] When he was young, Enlil was banished to this place, which was called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Irkalla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Mesopotamian myth and was ruled over by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Ereshkigal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 The Greek version of this location was ruled by Hades.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the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underworld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[10] Enlil had been banished for seducing Ninlil, a tryst that resulted in the birth of this deity. The Great Ziggurat of Ur was dedicated to this deity, who had a great beard of lapis lazuli and rode around on a bull.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[or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Nanna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This 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dimensionless and only changes with the size of the system. For 10 points each: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[10] Identify this variable, which is the thermodynamic conjugate of the chemical potential of a system. This variable is typically measured in moles.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par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ticles [or clear equivalents like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number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species, atoms,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prompt on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[10] This equation relates the infinitesimal change in chemical potential for a given number of particles to the change in a system’s pressure and temperature.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Gibbs-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Duhe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equation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[10] The Gibbs-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Duhem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equation can be used to evaluate these values for volatile liquid mixtures. These dimensionless values, which account for non-ideal behavior, can be found using the Debye-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Huckel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equation.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activity coefficients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Answe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the following about the religious history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Münster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for 10 points each.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[10]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Münster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took its name from one of these religious institutions, which produced most illuminated manuscripts. Henry VIII expropriated their wealth in England.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monasteri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es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[10] Munster witnessed a famous revolt by members of this religious group, who proclaimed the city a “New Jerusalem.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burned all books except the Bible. Other leaders of this group included Menno Simons.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Anabaptist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[10]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Münster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Rebellion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was led by this man, who sent for Jan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Matthys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come to the city. After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Matthys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’ death, this man became King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Münster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until his capture and death in 1536.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John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Leiden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[or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Jan van Leiden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or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Jan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Beukelsz</w:t>
      </w:r>
      <w:r>
        <w:rPr>
          <w:rFonts w:ascii="Times New Roman" w:eastAsia="Times New Roman" w:hAnsi="Times New Roman" w:cs="Times New Roman"/>
          <w:sz w:val="20"/>
          <w:szCs w:val="20"/>
        </w:rPr>
        <w:t>oon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or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Bockold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; or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Bockelson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EF07A7" w:rsidRDefault="00EF07A7">
      <w:pPr>
        <w:spacing w:line="240" w:lineRule="auto"/>
        <w:jc w:val="both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Answer some questions about literature exploring the lives of Cossacks, for 10 points each.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[10] This epic novel explores the struggles of Cossacks during the Russian Revolution, World War I, and the Russian Civil War, all of which tear apart the life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Grigory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Melekhov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Quiet Flows the Don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[accept similar translations like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 xml:space="preserve"> Quiet Don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Silent Don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as well as the original Russian title,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Tikhiy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 xml:space="preserve"> Don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[10] The title character of this Nikolai Gogol novel is an old Cossack whose sons,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Andriy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Ostap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join him in going to war against Poland.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Taras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Bulba</w:t>
      </w:r>
      <w:proofErr w:type="spellEnd"/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[10] This author wrote a short story titled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Cossacks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but is probably better known for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War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 Peace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Leo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Tolstoy</w:t>
      </w:r>
    </w:p>
    <w:p w:rsidR="00EF07A7" w:rsidRDefault="00EF07A7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A94574" w:rsidRDefault="00A94574">
      <w:pPr>
        <w:spacing w:line="240" w:lineRule="auto"/>
        <w:jc w:val="both"/>
      </w:pPr>
    </w:p>
    <w:p w:rsidR="00EF07A7" w:rsidRDefault="00EB201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(MSU SITE ONLY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F20B4B">
        <w:rPr>
          <w:rFonts w:ascii="Times New Roman" w:eastAsia="Times New Roman" w:hAnsi="Times New Roman" w:cs="Times New Roman"/>
          <w:sz w:val="20"/>
          <w:szCs w:val="20"/>
        </w:rPr>
        <w:t>REPLACEMENT TOSSUPS TO READ TO IKE JOSE’S ROOM IN ROUNDS 5 AND 8</w:t>
      </w:r>
    </w:p>
    <w:p w:rsidR="00F20B4B" w:rsidRDefault="00F20B4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(NON MSU SITE) DO NOT USE THESE QUESTIONS AS TIEBREAKS UNLESS NECESSARY</w:t>
      </w:r>
    </w:p>
    <w:p w:rsidR="00EF07A7" w:rsidRDefault="00EF07A7">
      <w:pPr>
        <w:spacing w:line="240" w:lineRule="auto"/>
        <w:jc w:val="center"/>
      </w:pPr>
    </w:p>
    <w:p w:rsidR="00EF07A7" w:rsidRDefault="00F20B4B">
      <w:pPr>
        <w:spacing w:line="240" w:lineRule="auto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To be read in place of the tossup marked in red in Packet 5:</w:t>
      </w:r>
    </w:p>
    <w:p w:rsidR="00EF07A7" w:rsidRDefault="00EF07A7">
      <w:pPr>
        <w:spacing w:line="240" w:lineRule="auto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son character’s son Jacques enters the Catholic priesthood, and that character adopts a blind girl and purposefully doesn’t teach her about sin. Diaries reveal the continuance of love between two childhood cousins named Alice and Jerome in a novel by 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his author that takes its title from Luke 13:24. A protagonist created by this author travels with his (*) </w:t>
      </w:r>
      <w:r>
        <w:rPr>
          <w:rFonts w:ascii="Times New Roman" w:eastAsia="Times New Roman" w:hAnsi="Times New Roman" w:cs="Times New Roman"/>
          <w:sz w:val="20"/>
          <w:szCs w:val="20"/>
        </w:rPr>
        <w:t>wife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Marceline to Tunis on a honeymoon, during which he lusts after young Arab boys. For 10 points, name this French author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Straight Is the Gate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Immoralist. </w:t>
      </w: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Andre Paul Guillaume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Gide</w:t>
      </w:r>
    </w:p>
    <w:p w:rsidR="00EF07A7" w:rsidRDefault="00EF07A7">
      <w:pPr>
        <w:spacing w:line="240" w:lineRule="auto"/>
      </w:pPr>
    </w:p>
    <w:p w:rsidR="00EF07A7" w:rsidRDefault="00F20B4B">
      <w:pPr>
        <w:spacing w:line="240" w:lineRule="auto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To be read in place of the tossup marked in red in Packet 8:</w:t>
      </w:r>
    </w:p>
    <w:p w:rsidR="00EF07A7" w:rsidRDefault="00EF07A7">
      <w:pPr>
        <w:spacing w:line="240" w:lineRule="auto"/>
      </w:pPr>
    </w:p>
    <w:p w:rsidR="00EF07A7" w:rsidRDefault="00F20B4B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Lineages from this empire’s royal line, much like earlier dynasties, continued to rule the province of Magadha after its disintegration. Th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 richest additions to the Ajanta caves show the court life of this empire’s golden age, presided over by a ruler nicknamed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Vikramaditya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Procopius’ writings help identify the nomadic (*)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Hephthalites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with a people who overran this empire,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Hunas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 “Wh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ite Huns.”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Kalidasa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thought to have lived during - for 10 points - what greatest Indian empire from 4th to 6th century CE, a state founded by Chandra I?</w:t>
      </w:r>
    </w:p>
    <w:p w:rsidR="00EF07A7" w:rsidRDefault="00F20B4B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ANSWER: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Gupta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empire</w:t>
      </w:r>
      <w:proofErr w:type="gramEnd"/>
    </w:p>
    <w:sectPr w:rsidR="00EF07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07A7"/>
    <w:rsid w:val="00A94574"/>
    <w:rsid w:val="00EB2011"/>
    <w:rsid w:val="00EF07A7"/>
    <w:rsid w:val="00F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0E268-ABD2-4425-B376-6A48BFCF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Alston</cp:lastModifiedBy>
  <cp:revision>4</cp:revision>
  <dcterms:created xsi:type="dcterms:W3CDTF">2015-11-21T04:24:00Z</dcterms:created>
  <dcterms:modified xsi:type="dcterms:W3CDTF">2015-11-21T04:25:00Z</dcterms:modified>
</cp:coreProperties>
</file>