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Tiebreakers – nyulnyul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This politician was nicknamed the “Screen-master General” for protecting his colleagues from corruption charges. This man helped uncover Christopher Layer’s conspiracy to kidnap the royal family, the Atterbury Plot. He put the Lord Chamberlain in charge of theater censorship with the Licensing Act. This</w:t>
      </w:r>
      <w:r w:rsidDel="00000000" w:rsidR="00000000" w:rsidRPr="00000000">
        <w:rPr>
          <w:rFonts w:ascii="Times New Roman" w:cs="Times New Roman" w:eastAsia="Times New Roman" w:hAnsi="Times New Roman"/>
          <w:sz w:val="20"/>
          <w:szCs w:val="20"/>
          <w:rtl w:val="0"/>
        </w:rPr>
        <w:t xml:space="preserve"> (*) prime minister’s popularity was damaged after he pardoned the Edinburgh guard captain John Porteous, and he resigned after the disastrous battle of Cartagena de Indias. This prime minister came to power after much of the cabinet resigned or was prosecuted during the South Sea Bubble scandal. For 10 points, name this English prime minister of George I and George II, the first to hold that office.</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Sir Robert </w:t>
      </w:r>
      <w:r w:rsidDel="00000000" w:rsidR="00000000" w:rsidRPr="00000000">
        <w:rPr>
          <w:rFonts w:ascii="Times New Roman" w:cs="Times New Roman" w:eastAsia="Times New Roman" w:hAnsi="Times New Roman"/>
          <w:b w:val="1"/>
          <w:sz w:val="20"/>
          <w:szCs w:val="20"/>
          <w:u w:val="single"/>
          <w:rtl w:val="0"/>
        </w:rPr>
        <w:t xml:space="preserve">Walpole</w:t>
      </w:r>
      <w:r w:rsidDel="00000000" w:rsidR="00000000" w:rsidRPr="00000000">
        <w:rPr>
          <w:rFonts w:ascii="Times New Roman" w:cs="Times New Roman" w:eastAsia="Times New Roman" w:hAnsi="Times New Roman"/>
          <w:sz w:val="20"/>
          <w:szCs w:val="20"/>
          <w:rtl w:val="0"/>
        </w:rPr>
        <w:t xml:space="preserve"> [accept the 1st Earl of </w:t>
      </w:r>
      <w:r w:rsidDel="00000000" w:rsidR="00000000" w:rsidRPr="00000000">
        <w:rPr>
          <w:rFonts w:ascii="Times New Roman" w:cs="Times New Roman" w:eastAsia="Times New Roman" w:hAnsi="Times New Roman"/>
          <w:b w:val="1"/>
          <w:sz w:val="20"/>
          <w:szCs w:val="20"/>
          <w:u w:val="single"/>
          <w:rtl w:val="0"/>
        </w:rPr>
        <w:t xml:space="preserve">Orford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This emperor left a secret police, the </w:t>
      </w:r>
      <w:r w:rsidDel="00000000" w:rsidR="00000000" w:rsidRPr="00000000">
        <w:rPr>
          <w:rFonts w:ascii="Times New Roman" w:cs="Times New Roman" w:eastAsia="Times New Roman" w:hAnsi="Times New Roman"/>
          <w:b w:val="1"/>
          <w:i w:val="1"/>
          <w:sz w:val="20"/>
          <w:szCs w:val="20"/>
          <w:rtl w:val="0"/>
        </w:rPr>
        <w:t xml:space="preserve">frumentarii</w:t>
      </w:r>
      <w:r w:rsidDel="00000000" w:rsidR="00000000" w:rsidRPr="00000000">
        <w:rPr>
          <w:rFonts w:ascii="Times New Roman" w:cs="Times New Roman" w:eastAsia="Times New Roman" w:hAnsi="Times New Roman"/>
          <w:b w:val="1"/>
          <w:sz w:val="20"/>
          <w:szCs w:val="20"/>
          <w:rtl w:val="0"/>
        </w:rPr>
        <w:t xml:space="preserve">, to keep order while he embarked on his extensive travels, during which he created the Panhellenion League to unify Greek cities. To consolidate power, he fabricated a conspiracy led by Lucius Quietus and had him executed. Hebrew sources give him the epitaph “may his bones be crushed” because of his quelling of a revolt supported by</w:t>
      </w:r>
      <w:r w:rsidDel="00000000" w:rsidR="00000000" w:rsidRPr="00000000">
        <w:rPr>
          <w:rFonts w:ascii="Times New Roman" w:cs="Times New Roman" w:eastAsia="Times New Roman" w:hAnsi="Times New Roman"/>
          <w:sz w:val="20"/>
          <w:szCs w:val="20"/>
          <w:rtl w:val="0"/>
        </w:rPr>
        <w:t xml:space="preserve"> (*) Rabbi Akiva, the Bar Kokhba rebellion. This emperor had his lover Antonius deified after he drowned in the Nile and built a fortification to keep marauding Picts out of his territory. For 10 points, name this successor of Trajan, whose namesake wall can still be seen in Britain.</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Hadrian</w:t>
      </w: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For one location, this artist created a series of paintings depicting miracles by popes, such as </w:t>
      </w:r>
      <w:r w:rsidDel="00000000" w:rsidR="00000000" w:rsidRPr="00000000">
        <w:rPr>
          <w:rFonts w:ascii="Times New Roman" w:cs="Times New Roman" w:eastAsia="Times New Roman" w:hAnsi="Times New Roman"/>
          <w:b w:val="1"/>
          <w:i w:val="1"/>
          <w:sz w:val="20"/>
          <w:szCs w:val="20"/>
          <w:rtl w:val="0"/>
        </w:rPr>
        <w:t xml:space="preserve">The Fire in the Borgo</w:t>
      </w:r>
      <w:r w:rsidDel="00000000" w:rsidR="00000000" w:rsidRPr="00000000">
        <w:rPr>
          <w:rFonts w:ascii="Times New Roman" w:cs="Times New Roman" w:eastAsia="Times New Roman" w:hAnsi="Times New Roman"/>
          <w:b w:val="1"/>
          <w:sz w:val="20"/>
          <w:szCs w:val="20"/>
          <w:rtl w:val="0"/>
        </w:rPr>
        <w:t xml:space="preserve">. This artist used the face of Laocoon from the sculpture </w:t>
      </w:r>
      <w:r w:rsidDel="00000000" w:rsidR="00000000" w:rsidRPr="00000000">
        <w:rPr>
          <w:rFonts w:ascii="Times New Roman" w:cs="Times New Roman" w:eastAsia="Times New Roman" w:hAnsi="Times New Roman"/>
          <w:b w:val="1"/>
          <w:i w:val="1"/>
          <w:sz w:val="20"/>
          <w:szCs w:val="20"/>
          <w:rtl w:val="0"/>
        </w:rPr>
        <w:t xml:space="preserve">Laocoon and his Sons</w:t>
      </w:r>
      <w:r w:rsidDel="00000000" w:rsidR="00000000" w:rsidRPr="00000000">
        <w:rPr>
          <w:rFonts w:ascii="Times New Roman" w:cs="Times New Roman" w:eastAsia="Times New Roman" w:hAnsi="Times New Roman"/>
          <w:b w:val="1"/>
          <w:sz w:val="20"/>
          <w:szCs w:val="20"/>
          <w:rtl w:val="0"/>
        </w:rPr>
        <w:t xml:space="preserve"> for the face of Homer sitting next to Apollo in his painting </w:t>
      </w:r>
      <w:r w:rsidDel="00000000" w:rsidR="00000000" w:rsidRPr="00000000">
        <w:rPr>
          <w:rFonts w:ascii="Times New Roman" w:cs="Times New Roman" w:eastAsia="Times New Roman" w:hAnsi="Times New Roman"/>
          <w:b w:val="1"/>
          <w:i w:val="1"/>
          <w:sz w:val="20"/>
          <w:szCs w:val="20"/>
          <w:rtl w:val="0"/>
        </w:rPr>
        <w:t xml:space="preserve">Parnassus</w:t>
      </w:r>
      <w:r w:rsidDel="00000000" w:rsidR="00000000" w:rsidRPr="00000000">
        <w:rPr>
          <w:rFonts w:ascii="Times New Roman" w:cs="Times New Roman" w:eastAsia="Times New Roman" w:hAnsi="Times New Roman"/>
          <w:b w:val="1"/>
          <w:sz w:val="20"/>
          <w:szCs w:val="20"/>
          <w:rtl w:val="0"/>
        </w:rPr>
        <w:t xml:space="preserve">. A row of biblical figures in heaven are separated from several bickering theologians below in this artist’s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Disputation of the Holy Sacrament</w:t>
      </w:r>
      <w:r w:rsidDel="00000000" w:rsidR="00000000" w:rsidRPr="00000000">
        <w:rPr>
          <w:rFonts w:ascii="Times New Roman" w:cs="Times New Roman" w:eastAsia="Times New Roman" w:hAnsi="Times New Roman"/>
          <w:sz w:val="20"/>
          <w:szCs w:val="20"/>
          <w:rtl w:val="0"/>
        </w:rPr>
        <w:t xml:space="preserve">. Julius II commissioned this artist to decorate the Stanza della segnatura with paintings such as one showing Aristotle and Plato conversing in the middle. For 10 points, name this painter of the </w:t>
      </w:r>
      <w:r w:rsidDel="00000000" w:rsidR="00000000" w:rsidRPr="00000000">
        <w:rPr>
          <w:rFonts w:ascii="Times New Roman" w:cs="Times New Roman" w:eastAsia="Times New Roman" w:hAnsi="Times New Roman"/>
          <w:i w:val="1"/>
          <w:sz w:val="20"/>
          <w:szCs w:val="20"/>
          <w:rtl w:val="0"/>
        </w:rPr>
        <w:t xml:space="preserve">School of Athens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Raffaello</w:t>
      </w:r>
      <w:r w:rsidDel="00000000" w:rsidR="00000000" w:rsidRPr="00000000">
        <w:rPr>
          <w:rFonts w:ascii="Times New Roman" w:cs="Times New Roman" w:eastAsia="Times New Roman" w:hAnsi="Times New Roman"/>
          <w:sz w:val="20"/>
          <w:szCs w:val="20"/>
          <w:rtl w:val="0"/>
        </w:rPr>
        <w:t xml:space="preserve"> Sanzio [or </w:t>
      </w:r>
      <w:r w:rsidDel="00000000" w:rsidR="00000000" w:rsidRPr="00000000">
        <w:rPr>
          <w:rFonts w:ascii="Times New Roman" w:cs="Times New Roman" w:eastAsia="Times New Roman" w:hAnsi="Times New Roman"/>
          <w:b w:val="1"/>
          <w:sz w:val="20"/>
          <w:szCs w:val="20"/>
          <w:u w:val="single"/>
          <w:rtl w:val="0"/>
        </w:rPr>
        <w:t xml:space="preserve">Raphael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Wallace Stevens wrote that the “plain version” of these things “is a thing apart, the vulgate of experience.” Two galaxies in the constellation Virgo are named after these things of Markarian. A Margaret Atwood poem states that “you fit into me. like a hook into” one of these body parts. In a Poe short story, the narrator feels guilty about removing one of these from Pluto, his pet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cat, before hanging it. At the Battle of Hastings, Harold Godwinson was shot in this body part. In Greek myth, a servant of Hera was given the title “Panoptes” because he had one hundred of these body parts. For 10 points, name this organ of sight.</w:t>
      </w:r>
    </w:p>
    <w:p w:rsidR="00000000" w:rsidDel="00000000" w:rsidP="00000000" w:rsidRDefault="00000000" w:rsidRPr="00000000">
      <w:pPr>
        <w:widowControl w:val="0"/>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eyes</w:t>
      </w:r>
      <w:r w:rsidDel="00000000" w:rsidR="00000000" w:rsidRPr="00000000">
        <w:rPr>
          <w:rFonts w:ascii="Times New Roman" w:cs="Times New Roman" w:eastAsia="Times New Roman" w:hAnsi="Times New Roman"/>
          <w:sz w:val="20"/>
          <w:szCs w:val="20"/>
          <w:rtl w:val="0"/>
        </w:rPr>
        <w:t xml:space="preserve"> [or Markarian’s </w:t>
      </w:r>
      <w:r w:rsidDel="00000000" w:rsidR="00000000" w:rsidRPr="00000000">
        <w:rPr>
          <w:rFonts w:ascii="Times New Roman" w:cs="Times New Roman" w:eastAsia="Times New Roman" w:hAnsi="Times New Roman"/>
          <w:b w:val="1"/>
          <w:sz w:val="20"/>
          <w:szCs w:val="20"/>
          <w:u w:val="single"/>
          <w:rtl w:val="0"/>
        </w:rPr>
        <w:t xml:space="preserve">eyes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Misc&gt;</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nomination of one candidate in this election was affirmed in the “smoke-filled room” and supported by his campaign organizer Harry Daugherty. For 10 points each:</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election in which Warren Harding’s promises of a “Return to Normalcy” earned him a landslide victory.</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United States presidential election of </w:t>
      </w:r>
      <w:r w:rsidDel="00000000" w:rsidR="00000000" w:rsidRPr="00000000">
        <w:rPr>
          <w:rFonts w:ascii="Times New Roman" w:cs="Times New Roman" w:eastAsia="Times New Roman" w:hAnsi="Times New Roman"/>
          <w:b w:val="1"/>
          <w:sz w:val="20"/>
          <w:szCs w:val="20"/>
          <w:u w:val="single"/>
          <w:rtl w:val="0"/>
        </w:rPr>
        <w:t xml:space="preserve">1920</w:t>
      </w: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Harding’s opponent in the election was this man, who was serving as Governor of Ohio at the time and ran with some Assistant Secretary of the Navy named Franklin Roosevelt.</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Middleton </w:t>
      </w:r>
      <w:r w:rsidDel="00000000" w:rsidR="00000000" w:rsidRPr="00000000">
        <w:rPr>
          <w:rFonts w:ascii="Times New Roman" w:cs="Times New Roman" w:eastAsia="Times New Roman" w:hAnsi="Times New Roman"/>
          <w:b w:val="1"/>
          <w:sz w:val="20"/>
          <w:szCs w:val="20"/>
          <w:u w:val="single"/>
          <w:rtl w:val="0"/>
        </w:rPr>
        <w:t xml:space="preserve">Cox</w:t>
      </w: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cartoon from the election, this man consoles himself that “There are better places than the front porch.” Despite being in jail at the time, this frequent socialist candidate drew 3.4 percent of the popular vote.</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Eugene Victor </w:t>
      </w:r>
      <w:r w:rsidDel="00000000" w:rsidR="00000000" w:rsidRPr="00000000">
        <w:rPr>
          <w:rFonts w:ascii="Times New Roman" w:cs="Times New Roman" w:eastAsia="Times New Roman" w:hAnsi="Times New Roman"/>
          <w:b w:val="1"/>
          <w:sz w:val="20"/>
          <w:szCs w:val="20"/>
          <w:u w:val="single"/>
          <w:rtl w:val="0"/>
        </w:rPr>
        <w:t xml:space="preserve">Debs</w:t>
      </w:r>
      <w:r w:rsidDel="00000000" w:rsidR="00000000" w:rsidRPr="00000000">
        <w:rPr>
          <w:rFonts w:ascii="Times New Roman" w:cs="Times New Roman" w:eastAsia="Times New Roman" w:hAnsi="Times New Roman"/>
          <w:sz w:val="20"/>
          <w:szCs w:val="20"/>
          <w:rtl w:val="0"/>
        </w:rPr>
        <w:t xml:space="preserve"> [or “Gene” </w:t>
      </w:r>
      <w:r w:rsidDel="00000000" w:rsidR="00000000" w:rsidRPr="00000000">
        <w:rPr>
          <w:rFonts w:ascii="Times New Roman" w:cs="Times New Roman" w:eastAsia="Times New Roman" w:hAnsi="Times New Roman"/>
          <w:b w:val="1"/>
          <w:sz w:val="20"/>
          <w:szCs w:val="20"/>
          <w:u w:val="single"/>
          <w:rtl w:val="0"/>
        </w:rPr>
        <w:t xml:space="preserve">Debs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about cartoonishly evil villains in European theater. For 10 points each:</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character gloats that he is “subtle, false, and treacherous” in one speech and proves it by having his brother Clarence drowned in a vat of Malmsey Wine. He also really needs a horse at the end of the play in which he appears.</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Richard</w:t>
      </w:r>
      <w:r w:rsidDel="00000000" w:rsidR="00000000" w:rsidRPr="00000000">
        <w:rPr>
          <w:rFonts w:ascii="Times New Roman" w:cs="Times New Roman" w:eastAsia="Times New Roman" w:hAnsi="Times New Roman"/>
          <w:sz w:val="20"/>
          <w:szCs w:val="20"/>
          <w:rtl w:val="0"/>
        </w:rPr>
        <w:t xml:space="preserve"> III [or Richard, Duke of </w:t>
      </w:r>
      <w:r w:rsidDel="00000000" w:rsidR="00000000" w:rsidRPr="00000000">
        <w:rPr>
          <w:rFonts w:ascii="Times New Roman" w:cs="Times New Roman" w:eastAsia="Times New Roman" w:hAnsi="Times New Roman"/>
          <w:b w:val="1"/>
          <w:sz w:val="20"/>
          <w:szCs w:val="20"/>
          <w:u w:val="single"/>
          <w:rtl w:val="0"/>
        </w:rPr>
        <w:t xml:space="preserve">Gloucester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title character of a Christopher Marlowe play describes killing sick people for fun and has his servant Ithamore poison some nuns with porridge before falling into a vat of boiling water.</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Barrabas</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Jew of Malta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villain of this Frederich Schiller play, Franz, tells his father that his brother Karl is dead and then leaves him to starve to death in a tower.</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Robbers</w:t>
      </w: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Literature&gt;</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