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A023C">
      <w:pPr>
        <w:bidi w:val="0"/>
      </w:pPr>
      <w:r>
        <w:t>3.</w:t>
      </w:r>
      <w:r>
        <w:rPr>
          <w:rFonts w:hint="eastAsia"/>
          <w:lang w:val="en-US" w:eastAsia="zh-CN"/>
        </w:rPr>
        <w:t>2</w:t>
      </w:r>
      <w:r>
        <w:t xml:space="preserve"> Descriptive statistical distributions of the 14 water quality parameters</w:t>
      </w:r>
    </w:p>
    <w:p w14:paraId="0491C925">
      <w:pPr>
        <w:bidi w:val="0"/>
      </w:pPr>
      <w:r>
        <w:t>在构建综合水质指数并分配权重之前，有必要对筛选出的14项关键水质参数的原始数据分布进行系统描述，以明确各参数的量级范围、离散程度及相对于国家饮用水标准（GB 5749-2022）的合规水平</w:t>
      </w:r>
      <w:r>
        <w:rPr>
          <w:rFonts w:hint="eastAsia"/>
          <w:lang w:eastAsia="zh-CN"/>
        </w:rPr>
        <w:t>。</w:t>
      </w:r>
      <w:r>
        <w:t>图1以年际分组箱线图的形式展示了14项水质参数在2020–2025年间的分布特征。箱体表示四分位距（IQR，即25%~75%分位数），箱内红线为中位数，红色圆点连线为年均值，蓝色虚线为国家饮用水标准限值。总体而言，所有参数在6年监测期内均显著低于标准限值，数据分布呈现从高度集中到高度分散的连续谱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3441FCB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7BDF5D9">
            <w:pPr>
              <w:bidi w:val="0"/>
              <w:rPr>
                <w:rFonts w:hint="eastAsia"/>
                <w:lang w:eastAsia="zh-CN"/>
              </w:rPr>
            </w:pPr>
            <w:r>
              <w:rPr>
                <w:rFonts w:hint="eastAsia"/>
                <w:lang w:eastAsia="zh-CN"/>
              </w:rPr>
              <w:drawing>
                <wp:inline distT="0" distB="0" distL="114300" distR="114300">
                  <wp:extent cx="5272405" cy="5751195"/>
                  <wp:effectExtent l="0" t="0" r="4445" b="1905"/>
                  <wp:docPr id="1" name="图片 1" descr="Figure_14params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4params_boxplot"/>
                          <pic:cNvPicPr>
                            <a:picLocks noChangeAspect="1"/>
                          </pic:cNvPicPr>
                        </pic:nvPicPr>
                        <pic:blipFill>
                          <a:blip r:embed="rId6"/>
                          <a:stretch>
                            <a:fillRect/>
                          </a:stretch>
                        </pic:blipFill>
                        <pic:spPr>
                          <a:xfrm>
                            <a:off x="0" y="0"/>
                            <a:ext cx="5272405" cy="5751195"/>
                          </a:xfrm>
                          <a:prstGeom prst="rect">
                            <a:avLst/>
                          </a:prstGeom>
                        </pic:spPr>
                      </pic:pic>
                    </a:graphicData>
                  </a:graphic>
                </wp:inline>
              </w:drawing>
            </w:r>
          </w:p>
        </w:tc>
      </w:tr>
    </w:tbl>
    <w:p w14:paraId="2516DB8E">
      <w:pPr>
        <w:bidi w:val="0"/>
        <w:rPr>
          <w:rFonts w:hint="default"/>
          <w:lang w:val="en-US" w:eastAsia="zh-CN"/>
        </w:rPr>
      </w:pPr>
      <w:r>
        <w:rPr>
          <w:rFonts w:hint="eastAsia"/>
          <w:lang w:val="en-US" w:eastAsia="zh-CN"/>
        </w:rPr>
        <w:t xml:space="preserve">fig.1 </w:t>
      </w:r>
    </w:p>
    <w:p w14:paraId="715F1704">
      <w:pPr>
        <w:bidi w:val="0"/>
      </w:pPr>
      <w:r>
        <w:rPr>
          <w:rFonts w:hint="eastAsia"/>
          <w:lang w:val="en-US" w:eastAsia="zh-CN"/>
        </w:rPr>
        <w:t>如图1所示，</w:t>
      </w:r>
      <w:r>
        <w:t>14项参数在全部171个样本中均未出现超标。</w:t>
      </w:r>
      <w:r>
        <w:rPr>
          <w:rFonts w:hint="eastAsia"/>
          <w:lang w:val="en-US" w:eastAsia="zh-CN"/>
        </w:rPr>
        <w:t>Pb</w:t>
      </w:r>
      <w:r>
        <w:t>的最大检出值</w:t>
      </w:r>
      <w:r>
        <w:rPr>
          <w:rFonts w:hint="eastAsia"/>
          <w:lang w:val="en-US" w:eastAsia="zh-CN"/>
        </w:rPr>
        <w:t>为</w:t>
      </w:r>
      <w:r>
        <w:t>0.001 mg/L</w:t>
      </w:r>
      <w:r>
        <w:rPr>
          <w:rFonts w:hint="eastAsia"/>
          <w:lang w:eastAsia="zh-CN"/>
        </w:rPr>
        <w:t>，</w:t>
      </w:r>
      <w:r>
        <w:t>仅为</w:t>
      </w:r>
      <w:r>
        <w:rPr>
          <w:rFonts w:hint="eastAsia"/>
          <w:lang w:val="en-US" w:eastAsia="zh-CN"/>
        </w:rPr>
        <w:t>限值</w:t>
      </w:r>
      <w:r>
        <w:t>的10%</w:t>
      </w:r>
      <w:r>
        <w:rPr>
          <w:rFonts w:hint="eastAsia"/>
          <w:lang w:eastAsia="zh-CN"/>
        </w:rPr>
        <w:t>。</w:t>
      </w:r>
      <w:r>
        <w:t>其余参数的峰值-限值比均低于60%。全域合规且裕度充足的事实反映了该水厂的深度处理工艺对多种污染物的高效去除能力</w:t>
      </w:r>
      <w:r>
        <w:rPr>
          <w:rFonts w:hint="eastAsia"/>
          <w:lang w:eastAsia="zh-CN"/>
        </w:rPr>
        <w:t>。</w:t>
      </w:r>
      <w:r>
        <w:rPr>
          <w:rFonts w:hint="eastAsia"/>
          <w:lang w:val="en-US" w:eastAsia="zh-CN"/>
        </w:rPr>
        <w:t>与此同时，这</w:t>
      </w:r>
      <w:r>
        <w:t>也为</w:t>
      </w:r>
      <w:r>
        <w:rPr>
          <w:rFonts w:hint="eastAsia"/>
          <w:lang w:val="en-US" w:eastAsia="zh-CN"/>
        </w:rPr>
        <w:t>Methods and Material 中的</w:t>
      </w:r>
      <w:r>
        <w:t>BWQI聚合过程中使用二次加权均值（WQM）降低极端值敏感性提供了合理性支撑</w:t>
      </w:r>
      <w:r>
        <w:rPr>
          <w:rFonts w:hint="eastAsia"/>
          <w:lang w:eastAsia="zh-CN"/>
        </w:rPr>
        <w:t>。</w:t>
      </w:r>
      <w:r>
        <w:rPr>
          <w:rFonts w:hint="eastAsia"/>
          <w:lang w:val="en-US" w:eastAsia="zh-CN"/>
        </w:rPr>
        <w:t>因为</w:t>
      </w:r>
      <w:r>
        <w:t>在已合规的低浓度范围内，WQM能够有效区分不同样本间的水质细微差异，而不会因离群值而过度扭曲评分。</w:t>
      </w:r>
    </w:p>
    <w:p w14:paraId="54A8BE72">
      <w:pPr>
        <w:bidi w:val="0"/>
      </w:pPr>
      <w:r>
        <w:rPr>
          <w:rFonts w:hint="eastAsia"/>
          <w:lang w:val="en-US" w:eastAsia="zh-CN"/>
        </w:rPr>
        <w:t>在水质参数波动性方面，</w:t>
      </w:r>
      <w:r>
        <w:t>CV</w:t>
      </w:r>
      <w:r>
        <w:rPr>
          <w:rFonts w:hint="eastAsia"/>
          <w:lang w:val="en-US" w:eastAsia="zh-CN"/>
        </w:rPr>
        <w:t>小于1</w:t>
      </w:r>
      <w:r>
        <w:t>0%</w:t>
      </w:r>
      <w:r>
        <w:rPr>
          <w:rFonts w:hint="eastAsia"/>
          <w:lang w:eastAsia="zh-CN"/>
        </w:rPr>
        <w:t>的</w:t>
      </w:r>
      <w:r>
        <w:rPr>
          <w:rFonts w:hint="eastAsia"/>
          <w:lang w:val="en-US" w:eastAsia="zh-CN"/>
        </w:rPr>
        <w:t>水质参数</w:t>
      </w:r>
      <w:r>
        <w:t xml:space="preserve">包括pH、Pb、游离氯和TDS，其箱体窄、年际一致性高，箱线图几乎无可见异常值。此类参数对应水厂主动控制的核心指标，处理系统对其具有强反馈调节能力。CV </w:t>
      </w:r>
      <w:r>
        <w:rPr>
          <w:rFonts w:hint="eastAsia"/>
          <w:lang w:val="en-US" w:eastAsia="zh-CN"/>
        </w:rPr>
        <w:t>位于</w:t>
      </w:r>
      <w:r>
        <w:t>10–25%包括硫酸盐、总硬度、氯化物、CODMn、氟化物和TOC，箱体适中且须线略有延伸，反映其浓度受原水水质季节性变化的轻度影响但仍在工艺调控范围内。CV</w:t>
      </w:r>
      <w:r>
        <w:rPr>
          <w:rFonts w:hint="eastAsia"/>
          <w:lang w:val="en-US" w:eastAsia="zh-CN"/>
        </w:rPr>
        <w:t>超过35％的参数</w:t>
      </w:r>
      <w:r>
        <w:t>包括THMs、铝、硝酸盐和氯酸盐，箱体宽、须线长，部分年份出现离群值。此类参数为消毒副产物或痕量金属，其生成与迁移受多因素影响，是水质精细化管理的重点对象。</w:t>
      </w:r>
    </w:p>
    <w:p w14:paraId="0046CB9B">
      <w:pPr>
        <w:bidi w:val="0"/>
      </w:pPr>
      <w:r>
        <w:t>3.</w:t>
      </w:r>
      <w:r>
        <w:rPr>
          <w:rFonts w:hint="eastAsia"/>
          <w:lang w:val="en-US" w:eastAsia="zh-CN"/>
        </w:rPr>
        <w:t>3</w:t>
      </w:r>
      <w:r>
        <w:t xml:space="preserve">  Nash 均衡融合权重分配</w:t>
      </w:r>
    </w:p>
    <w:p w14:paraId="3B3CC4F2">
      <w:pPr>
        <w:bidi w:val="0"/>
      </w:pPr>
      <w:r>
        <w:t>本部分旨在构建一个系统性的权重融合框架，将基于领域专家判断的主观赋权（AHP）与基于数据统计特征的客观赋权（RF-CRITIC）统一在同一决策范式下，以确定 BWQI 公式中 14 项水质参数的最优权重向量。</w:t>
      </w:r>
    </w:p>
    <w:p w14:paraId="391CE796">
      <w:pPr>
        <w:bidi w:val="0"/>
      </w:pPr>
      <w:r>
        <w:t>图 2 展示了四种主客观融合方案的权重分配全景。图 2a 的雷达图显示，四种融合方式（AHP+EWM、AHP+RF、AHP+CRITIC、AHP+RF-CRITIC）的权重分布在整体形状上具有相似性——均呈现从毒理学指标（THMs、Free Cl、Pb）向感官理化指标（SO₄²⁻、TDS）递减的梯度——但不同客观方法在个别指标上导致了显著的量值差异。图 2b 以七项统计指标评估了四种融合方式的权重质量，其中 AHP+RF-CRITIC 的变异系数（CV = 0.639）和 KMO（0.716）体现了一种"居中均衡"特征：既非 AHP+RF 的过度分散（CV = 0.692），也非 AHP+CRITIC 的过度集中（CV = 0.573）。图 2c 聚焦于最终选定的 AHP+RF-CRITIC 融合方案，以三柱并列展示了各参数的 AHP 主观权重、RF-CRITIC 客观权重与 Nash 融合权重的逐项对比。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09B6A3E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F56C92F">
            <w:pPr>
              <w:bidi w:val="0"/>
              <w:rPr>
                <w:rFonts w:hint="eastAsia"/>
                <w:lang w:eastAsia="zh-CN"/>
              </w:rPr>
            </w:pPr>
            <w:r>
              <w:rPr>
                <w:rFonts w:hint="eastAsia"/>
                <w:lang w:eastAsia="zh-CN"/>
              </w:rPr>
              <w:drawing>
                <wp:inline distT="0" distB="0" distL="114300" distR="114300">
                  <wp:extent cx="5273040" cy="6176645"/>
                  <wp:effectExtent l="0" t="0" r="3810" b="14605"/>
                  <wp:docPr id="3" name="图片 3" descr="Figure_Nash_Fusion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Nash_Fusion_Overview"/>
                          <pic:cNvPicPr>
                            <a:picLocks noChangeAspect="1"/>
                          </pic:cNvPicPr>
                        </pic:nvPicPr>
                        <pic:blipFill>
                          <a:blip r:embed="rId7"/>
                          <a:stretch>
                            <a:fillRect/>
                          </a:stretch>
                        </pic:blipFill>
                        <pic:spPr>
                          <a:xfrm>
                            <a:off x="0" y="0"/>
                            <a:ext cx="5273040" cy="6176645"/>
                          </a:xfrm>
                          <a:prstGeom prst="rect">
                            <a:avLst/>
                          </a:prstGeom>
                        </pic:spPr>
                      </pic:pic>
                    </a:graphicData>
                  </a:graphic>
                </wp:inline>
              </w:drawing>
            </w:r>
          </w:p>
        </w:tc>
      </w:tr>
    </w:tbl>
    <w:p w14:paraId="4D3606E3">
      <w:pPr>
        <w:bidi w:val="0"/>
        <w:rPr>
          <w:rFonts w:hint="default"/>
          <w:lang w:val="en-US" w:eastAsia="zh-CN"/>
        </w:rPr>
      </w:pPr>
      <w:r>
        <w:rPr>
          <w:rFonts w:hint="eastAsia"/>
          <w:lang w:val="en-US" w:eastAsia="zh-CN"/>
        </w:rPr>
        <w:t>fig2.</w:t>
      </w:r>
    </w:p>
    <w:p w14:paraId="51E0E106">
      <w:pPr>
        <w:bidi w:val="0"/>
      </w:pPr>
      <w:r>
        <w:t>四种融合方案的权重分布存在系统性差异。AHP+RF 与 AHP+CRITIC 在硝酸盐上的差值达 10 个百分点，总硬度为 5.6，而在 THMs 上仅差 1.7。差异源于 RF 与 CRITIC 两种机制的本质不同：RF 基于随机森林特征重要性，能捕捉参数间的非线性交互，CRITIC 依赖线性相关系数与对比强度，在共线性较强时压低单个指标的独立权重。两种机制的差异在低共线性指标上微弱、在高共线性组中被放大，说明单靠一种客观方法无法穷尽数据中的全部统计信息。</w:t>
      </w:r>
    </w:p>
    <w:p w14:paraId="086BCFFB">
      <w:pPr>
        <w:bidi w:val="0"/>
      </w:pPr>
      <w:r>
        <w:t>尽管存在量值差异，四种方案的权重轮廓呈高度一致的递减趋势。以 AHP+RF-CRITIC 为例，毒理学指标组 THMs、Pb、NO₃⁻、F⁻ 合计约 45%，消毒指标组 Free Cl、ClO₃⁻、TOC 合计约 25%，感官指标组 TH、TDS、pH、SO₄²⁻、Cl⁻、Al、CODMn 合计约 30%。THMs 和 Free Cl 在所有方案中始终占据前两位，合计贡献总权重的 28% 至 32%。</w:t>
      </w:r>
    </w:p>
    <w:p w14:paraId="26BF99D2">
      <w:pPr>
        <w:bidi w:val="0"/>
        <w:rPr>
          <w:rFonts w:hint="default"/>
          <w:lang w:val="en-US" w:eastAsia="zh-CN"/>
        </w:rPr>
      </w:pPr>
      <w:r>
        <w:t>在统计质量层面，七项指标揭示了四种方案在分散度与信息保留之间的权衡。AHP+RF 的 KMO 达 0.749，但标准差 4.94%、IQR 6.35%，均为最高，硫酸盐仅获 1.1% 的权重。AHP+EWM 的 CV 最低仅 0.576，KMO 却回落至 0.708。AHP+RF-CRITIC 的 CV 0.639 与 KMO 0.716 避开了两端极端，</w:t>
      </w:r>
      <w:r>
        <w:rPr>
          <w:rFonts w:hint="eastAsia"/>
          <w:lang w:val="en-US" w:eastAsia="zh-CN"/>
        </w:rPr>
        <w:t>选择</w:t>
      </w:r>
      <w:r>
        <w:t>牺牲局部统计最优以换取跨场景的结构稳健性</w:t>
      </w:r>
      <w:r>
        <w:rPr>
          <w:rFonts w:hint="eastAsia"/>
          <w:lang w:eastAsia="zh-CN"/>
        </w:rPr>
        <w:t>，</w:t>
      </w:r>
      <w:r>
        <w:rPr>
          <w:rFonts w:hint="eastAsia"/>
          <w:lang w:val="en-US" w:eastAsia="zh-CN"/>
        </w:rPr>
        <w:t>具有更好的泛化价值。</w:t>
      </w:r>
    </w:p>
    <w:p w14:paraId="749F6A27">
      <w:pPr>
        <w:bidi w:val="0"/>
      </w:pPr>
      <w:r>
        <w:t>这一平衡的机制在于 Nash 博弈结构。在 λ = 0.5 下，主客观双方相互牵制：AHP 对 pH 仅赋 0.7%，RF-CRITIC 给出 7.0%，Nash 解取 4.2%；对氯酸盐，AHP 给予 9.2%，RF-CRITIC 因其变异性过低而归零，Nash 降至 5.1%，以温和方式表达了客观方的保留。任何一方的极端策略都被另一方修正。</w:t>
      </w:r>
    </w:p>
    <w:p w14:paraId="78F346FE">
      <w:pPr>
        <w:bidi w:val="0"/>
      </w:pPr>
      <w:r>
        <w:t>图 2c 的逐参数拆解进一步揭示了修正逻辑。AHP 与 RF-CRITIC 的 Spearman 秩相关系数达 0.91，表明健康风险判断与数据统计规律整体高度趋同——在健康意义上重要的参数，其统计特征通常也突出。然而三个参数存在显著背离，构成 Nash 融合的核心修正对象。总硬度：AHP 仅 1.4%，RF-CRITIC 给出 10.3%，Nash 修正至 6.4%。硝酸盐：AHP 为 5.3%，RF-CRITIC 达 15.7%，Nash 修正至 11.6%。氯离子：AHP 仅 0.8%，RF-CRITIC 给出 6.9%，Nash 修正至 4.3%。AHP 评委的注意力集中于健康限值明确且急性毒性显著的 THMs、Free Cl、Pb，对出厂水中远低于限值的总硬度和氯离子关注不足；RF-CRITIC 则捕捉到了这些参数在 171 个样本中的显著时变波动。Nash 融合对「低主观关注但高数据变异」参数的权重补偿，实质上是对纯主观赋权结构性盲区的系统性修复。</w:t>
      </w:r>
    </w:p>
    <w:p w14:paraId="64BFFBC7">
      <w:pPr>
        <w:bidi w:val="0"/>
      </w:pPr>
      <w:r>
        <w:t>值得注意的是，融合权重在所有 14 个参数上均严格位于主客观之间，不存在超调。以 THMs 为例：AHP 27.1%，RF-CRITIC 6.5%，Nash 18.5%；以 pH 为例：RF-CRITIC 7.0%，AHP 0.7%，Nash 4.2%。这一区间约束性是 Nash 均衡解的数学必然——两方非合作博弈的均衡策略必定收敛于各方纯策略的凸组合。</w:t>
      </w:r>
    </w:p>
    <w:p w14:paraId="52545849">
      <w:pPr>
        <w:bidi w:val="0"/>
      </w:pPr>
      <w:r>
        <w:t>综上所述，</w:t>
      </w:r>
      <w:r>
        <w:rPr>
          <w:rFonts w:hint="eastAsia"/>
          <w:lang w:val="en-US" w:eastAsia="zh-CN"/>
        </w:rPr>
        <w:t>最终选定</w:t>
      </w:r>
      <w:r>
        <w:t>RF-CRITIC</w:t>
      </w:r>
      <w:r>
        <w:rPr>
          <w:rFonts w:hint="eastAsia"/>
          <w:lang w:val="en-US" w:eastAsia="zh-CN"/>
        </w:rPr>
        <w:t>作为客观权重的分配方式，利用</w:t>
      </w:r>
      <w:r>
        <w:t>Nash 均衡框架将主客观权重融合。融合权重兼具公共卫生合理性与统计稳健性</w:t>
      </w:r>
      <w:r>
        <w:rPr>
          <w:rFonts w:hint="eastAsia"/>
          <w:lang w:eastAsia="zh-CN"/>
        </w:rPr>
        <w:t>，</w:t>
      </w:r>
      <w:r>
        <w:t>总硬度从 1.4% 升至 6.4% 保障了对季节性水源切换的敏感性，氯离子从 0.8% 升至 4.3% 增强了对消毒工艺波动的响应，THMs 和 Free Cl 则维持了消毒副产物的首要地位。该融合权重向量将作为后续 BWQI 计算的参数基础</w:t>
      </w:r>
      <w:r>
        <w:rPr>
          <w:rFonts w:hint="eastAsia"/>
          <w:lang w:eastAsia="zh-CN"/>
        </w:rPr>
        <w:t>，</w:t>
      </w:r>
      <w:r>
        <w:rPr>
          <w:rFonts w:hint="eastAsia"/>
          <w:lang w:val="en-US" w:eastAsia="zh-CN"/>
        </w:rPr>
        <w:t>也为BWQI计算框架的泛化性提供了依据</w:t>
      </w:r>
      <w:r>
        <w:t>。</w:t>
      </w:r>
    </w:p>
    <w:p w14:paraId="4841EDA6">
      <w:pPr>
        <w:bidi w:val="0"/>
      </w:pPr>
      <w:r>
        <w:t>3.4  子指数标度与聚合框架的选择</w:t>
      </w:r>
    </w:p>
    <w:p w14:paraId="7780E026">
      <w:pPr>
        <w:bidi w:val="0"/>
      </w:pPr>
      <w:r>
        <w:t>在确定 14 项参数的权重向量之后，BWQI 还需选定子指数的标度函数与聚合算子。不同的标度-聚合搭配可能对相同浓度数据产生截然不同的评分分布和等级排序。本节在苏州水厂 171 份出厂水样本上，比较三组方案——DLIR 配 WQM、EF 配 LQM、ISF 配 SWM——并从时序稳定性、分布分辨力和可解释性三个维度做出筛选。</w:t>
      </w:r>
    </w:p>
    <w:p w14:paraId="57496ABD">
      <w:pPr>
        <w:bidi w:val="0"/>
      </w:pPr>
      <w:r>
        <w:t>图 3a 给出了三组方案在时序上的对比，三者的波动模式差异显著。DLIR 配 WQM 的评分在 77 至 87 分之间波动，全年未向上限或下限系统性挤压，峰谷与季节交替对应清晰：夏季整体低于冬季，与高温下消毒剂消耗加快、消毒副产物生成速率升高一致，冬季则因原水水温低导致混凝效率变化而小幅下探。EF 配 LQM 的评分高度聚集在 95 分附近，轨迹近乎水平，全年变化几乎不可辨识，季节信号被完全抹平。ISF 配 SWM 全距最大，但其波峰波谷与 WQM 不同步，低分样本上偏离更为突出。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06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192D70">
            <w:pPr>
              <w:bidi w:val="0"/>
              <w:rPr>
                <w:rFonts w:hint="eastAsia"/>
                <w:lang w:eastAsia="zh-CN"/>
              </w:rPr>
            </w:pPr>
            <w:r>
              <w:rPr>
                <w:rFonts w:hint="eastAsia"/>
                <w:lang w:eastAsia="zh-CN"/>
              </w:rPr>
              <w:drawing>
                <wp:inline distT="0" distB="0" distL="114300" distR="114300">
                  <wp:extent cx="5272405" cy="4233545"/>
                  <wp:effectExtent l="0" t="0" r="4445" b="14605"/>
                  <wp:docPr id="4" name="图片 4" descr="Figure_BWQI_Comparison_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BWQI_Comparison_Overlap"/>
                          <pic:cNvPicPr>
                            <a:picLocks noChangeAspect="1"/>
                          </pic:cNvPicPr>
                        </pic:nvPicPr>
                        <pic:blipFill>
                          <a:blip r:embed="rId8"/>
                          <a:stretch>
                            <a:fillRect/>
                          </a:stretch>
                        </pic:blipFill>
                        <pic:spPr>
                          <a:xfrm>
                            <a:off x="0" y="0"/>
                            <a:ext cx="5272405" cy="4233545"/>
                          </a:xfrm>
                          <a:prstGeom prst="rect">
                            <a:avLst/>
                          </a:prstGeom>
                        </pic:spPr>
                      </pic:pic>
                    </a:graphicData>
                  </a:graphic>
                </wp:inline>
              </w:drawing>
            </w:r>
          </w:p>
        </w:tc>
      </w:tr>
    </w:tbl>
    <w:p w14:paraId="3719F4FA">
      <w:pPr>
        <w:bidi w:val="0"/>
        <w:rPr>
          <w:rFonts w:hint="eastAsia"/>
          <w:lang w:eastAsia="zh-CN"/>
        </w:rPr>
      </w:pPr>
    </w:p>
    <w:p w14:paraId="68D70D03">
      <w:pPr>
        <w:bidi w:val="0"/>
      </w:pPr>
      <w:r>
        <w:t>三组方案对同一样本给出了不同的排序结论。某次夏季采样——游离氯偏低且三卤甲烷偏高——在 WQM 下被判定为全年最差之一，在 LQM 下却与大多数样本几无差别，在 SWM 下居于中间。这一差异说明标度与聚合的选择本身即可改变水质排序，筛选并非数学形式的偏好，而是实质性的水安全决策问题：若采用 LQM，运营者无法从评分中辨识出游离氯接近下限的夏季样本，也就失去了在事故发生前介入的窗口。</w:t>
      </w:r>
    </w:p>
    <w:p w14:paraId="24C8D354">
      <w:pPr>
        <w:bidi w:val="0"/>
      </w:pPr>
      <w:r>
        <w:t>在分布层面，三组方案的差距更为显著。DLIR 配 WQM 的均值为 81.5 分，标准差 1.84，变异系数 2.26%，全距 10.0 分，分布近对称，均值与中位数仅相差 0.2 分。EF 配 LQM 的均值高达 95.3 分，标准差仅 0.68，变异系数 0.71%，约百分之八十的样本集中在不足 1.5 分的窄带内。图 3b 的核密度估计直观呈现了这种压缩：DLIR 配 WQM 的密度曲线呈近正态单峰，峰宽约 10 分；EF 配 LQM 为尖锐尖峰，峰宽不足 1.5 分。差异源于对数变换的数学性质——自变量低于 1 时压缩趋强，低子指数值的贡献被系统性衰减。对于运行优异的苏州水厂，几乎所有样本在 LQM 下均被标为优良，指数退化为近似二值分类器，丧失了刻画过渡梯度的能力。</w:t>
      </w:r>
    </w:p>
    <w:p w14:paraId="0218985E">
      <w:pPr>
        <w:bidi w:val="0"/>
      </w:pPr>
      <w:r>
        <w:t>ISF 配 SWM 的均值为93.9分，变异系数1.71%，全距9.2分，在数值上与 WQM 似乎更接近，但密度分布明显偏向上端，呈轻微负偏态。正弦函数的低弧度端变化快于高弧端，致使该方案对优良样本间的差异比对劣化样本间的差异更敏感，与监测应优先响应劣化信号的方向不一致。</w:t>
      </w:r>
    </w:p>
    <w:p w14:paraId="36ADA778">
      <w:pPr>
        <w:bidi w:val="0"/>
      </w:pPr>
      <w:r>
        <w:t>图3c的累积分布函数将上述差异汇总为一条决策级证据。DLIR 配 WQM 的 CDF 在四分位区间内呈渐进上升，曲线斜率稳定，在样本最密集的中段保留了均匀判别力——任意两个水质剖面可区分样本，其评分之间确实存在有意义的间隔。EF 配 LQM 的 CDF 在 94.5 至 96.0 分之间近乎垂直，八成样本压缩在 1.5 分以内。CDF 近似阶跃函数意味着 LQM 已丧失预警粒度：在水质出现有意义的劣化之前，指数不会发出警示。ISF 配 SWM 的 CDF 高评分端斜率低于低端，善于区分优与更优而钝于区分差与更差，与监测需求背道而驰。值得指出的是，EF 配 LQM 在一阶矩统计指标上的表现并不算差，但 CDF 清晰暴露了其分布结构的致命缺陷——累积分布函数在诊断复合指数不足方面，具有均值与方差无法替代的价值。</w:t>
      </w:r>
    </w:p>
    <w:p w14:paraId="07DC25B3">
      <w:pPr>
        <w:bidi w:val="0"/>
      </w:pPr>
      <w:r>
        <w:t>综合时序波动、分布形态和累积分布函数三个维度，DLIR 配 WQM 均优于另两组方案，被选定为 BWQI 的标度-聚合框架。选定依据可归纳为四条。其一，可解释性。三个插值锚点——理想值、中等值和标准限值——赋予子指数评分明确物理参照，任何 BWQI 变动可逆向追溯至具体指标及浓度变化，满足运营对因果定位的需求，EF 和 ISF 的非线性映射不具备这种可追溯性。其二，短板效应。平方和开方形式放大低分指标的贡献，子指数五十分的边际影响是满分指标的四倍，确保指数优先响应逼近标准限值的参数，同时平方根运算避免了对单项极值的过度惩罚，兼具对关键风险的敏感性和对离散异常的稳健性。其三，动态范围。四分位距 2.3 分远大于估计测量不确定度，能够分辨季节性波动与工艺调整事件。其四，跨站点可比性。线性标度结构允许不同水厂在同一参数下直接比对，为第 3.5 节延伸至泉州和潍坊提供了统一基准。</w:t>
      </w:r>
    </w:p>
    <w:p w14:paraId="61A13786">
      <w:pPr>
        <w:bidi w:val="0"/>
      </w:pPr>
      <w:r>
        <w:t>3.5  BWQI 公式验证：敏感性、防遮蔽与权重稳健性</w:t>
      </w:r>
    </w:p>
    <w:p w14:paraId="48147364">
      <w:pPr>
        <w:bidi w:val="0"/>
      </w:pPr>
      <w:r>
        <w:t>在确定了14项参数权重（§3.3）和 DLIR-WQM 标度-聚合框架（§3.4）之后，BWQI 公式还需要经受三重检验方能被采信：敏感性结构须与权重分配保持一致，聚合算子须具备检出单参数劣化而不被其余正常参数掩盖的能力，最终结论须对赋权方案的选择具有稳健性。图4从这三个维度对已选定的框架进行系统性验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12138D4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B7B1D9D">
            <w:pPr>
              <w:bidi w:val="0"/>
              <w:rPr>
                <w:rFonts w:hint="eastAsia"/>
                <w:lang w:eastAsia="zh-CN"/>
              </w:rPr>
            </w:pPr>
            <w:r>
              <w:rPr>
                <w:rFonts w:hint="eastAsia"/>
                <w:lang w:eastAsia="zh-CN"/>
              </w:rPr>
              <w:drawing>
                <wp:inline distT="0" distB="0" distL="114300" distR="114300">
                  <wp:extent cx="5273675" cy="4432935"/>
                  <wp:effectExtent l="0" t="0" r="3175" b="5715"/>
                  <wp:docPr id="2" name="图片 2" descr="Figure_4_BWQI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4_BWQI_Validation"/>
                          <pic:cNvPicPr>
                            <a:picLocks noChangeAspect="1"/>
                          </pic:cNvPicPr>
                        </pic:nvPicPr>
                        <pic:blipFill>
                          <a:blip r:embed="rId9"/>
                          <a:stretch>
                            <a:fillRect/>
                          </a:stretch>
                        </pic:blipFill>
                        <pic:spPr>
                          <a:xfrm>
                            <a:off x="0" y="0"/>
                            <a:ext cx="5273675" cy="4432935"/>
                          </a:xfrm>
                          <a:prstGeom prst="rect">
                            <a:avLst/>
                          </a:prstGeom>
                        </pic:spPr>
                      </pic:pic>
                    </a:graphicData>
                  </a:graphic>
                </wp:inline>
              </w:drawing>
            </w:r>
          </w:p>
        </w:tc>
      </w:tr>
    </w:tbl>
    <w:p w14:paraId="3B992D7F">
      <w:pPr>
        <w:bidi w:val="0"/>
      </w:pPr>
    </w:p>
    <w:p w14:paraId="27A52085">
      <w:pPr>
        <w:bidi w:val="0"/>
      </w:pPr>
      <w:r>
        <w:t>图 4a 为单参数敏感性龙卷风图。以中位数浓度向量为基准、±10% 参考范围双向扰动后，BWQI 对 14 个参数的敏感性呈清晰的风险梯度。毒理学类参数占据前四：三卤甲烷总敏感性 3.23 分、硝酸盐 1.90 分、铅 1.89 分、游离氯 1.75 分，合计贡献约 55.4% 的总敏感性。权重排名与敏感性排名的 Spearman 秩相关系数达 0.91，证实高权重参数确实在统计上主导评分——上游权重分配所确立的健康优先级，在下游复合评分层面得到了忠实兑现，二者无系统性偏离。</w:t>
      </w:r>
    </w:p>
    <w:p w14:paraId="5A07CA14">
      <w:pPr>
        <w:bidi w:val="0"/>
      </w:pPr>
      <w:r>
        <w:t>双侧敏感性的不对称揭示了 DLIR 标度的内在保守性。硝酸盐恶化侧 1.24 分约为改善侧 0.65 分的两倍，游离氯恶化侧 1.51 分远超改善侧 0.24 分。不对称源于 DLIR 分段线性在理想值两侧的不等距梯度——游离氯在理想值 0.7 mg/L 下方的评分衰减区间仅 0.4 mg/L，上方达 3.3 mg/L，子指数梯度的数量级差异直接映射为 BWQI 对劣化的非对称放大。这种内建的保守惩罚机制使指数对劣化警觉、对改善克制，符合饮水安全监管优先检出风险的底层逻辑。低敏感性参数——硫酸盐 0.35 分、氯化物 0.44 分——在测量不确定度范围内对 BWQI 几无影响，表明其监测频率具备优化空间。</w:t>
      </w:r>
    </w:p>
    <w:p w14:paraId="1B5755D6">
      <w:pPr>
        <w:bidi w:val="0"/>
      </w:pPr>
      <w:r>
        <w:t>图 4b 的遮蔽效应检验将各参数逐一降至标准限值而其余参数保持理想值，评估聚合算子对单参数极端劣化的信号传输效率。全部 14 个参数的劣化均被 WQM 成功检出，下滑幅度从三卤甲烷的 9.72 分到硫酸盐的 1.36 分，无一下滑至测量可辨阈值以下。与算术平均聚合的对比显示：WQM 下滑幅度均匀约为算术平均的 0.51 倍，该比值在 14 个参数间高度一致——最低 0.50、最高 0.52，波动极差仅 0.02——表明 WQM 的衰减效应是均匀的，不因赋权差异而选择性压缩某些参数的信号。</w:t>
      </w:r>
    </w:p>
    <w:p w14:paraId="472D42B4">
      <w:pPr>
        <w:bidi w:val="0"/>
      </w:pPr>
      <w:r>
        <w:t>这种均匀衰减源于 WQM 二次聚合的几何性质。平方和开根号操作对高子指数值维持线性敏感，对低值引入平方压缩，所有参数的压缩比例仅取决于其子指数相对于整体均方根的位置，不受其他参数权重大小的干扰。映射至风险管理层级：三卤甲烷劣化诱发 9.72 分的 BWQI 下滑足以跨越水质等级边界，须立即响应；硫酸盐的 1.36 分下滑仅需科室内部关注——BWQI 的评分空间内置了与健康风险层级匹配的响应梯度，无需额外的后处理规则。</w:t>
      </w:r>
    </w:p>
    <w:p w14:paraId="7B7D7D1F">
      <w:pPr>
        <w:bidi w:val="0"/>
      </w:pPr>
      <w:r>
        <w:t>图 4c 比较了三种权重方案在 171 份样本上的 BWQI 分布。仅采用主观权重的 AHP 方案产生最高均值 85.14 分和最大离散 CV 等于 3.04%；仅采用客观权重的 RF-CRITIC 方案产生最低均值 83.25 分和最小离散 CV 等于 1.72%；纳什均衡融合方案均值 84.14 分、CV 为 2.26%，恰位于两者之间但倾向于低离散端，并非简单算术平均。配对 t 检验在 p 小于 0.001 水平上显著，但三方案均值全距不足 2 分，Cohen d 效应量为 0.45 至 0.53，属中小效应，三方案对 171 个样本的水质等级判定一致性超过 95%。</w:t>
      </w:r>
    </w:p>
    <w:p w14:paraId="50D81649">
      <w:pPr>
        <w:bidi w:val="0"/>
      </w:pPr>
      <w:r>
        <w:t>纳什方案的离散度低于两方案线性平均，源自 WQM 二次聚合对权重差异的非线性抑制效应。当 AHP 的高集中度权重被 RF-CRITIC 的均衡化权重部分拉平后，平方和开根号对离群值的压缩增强，天然降低了评分的不确定性——这是在纳什均衡框架选择之初未预料到的附加收益。自 AHP 到 RF-CRITIC 到 Nash 的 CV 梯度——3.04%、1.72%、2.26%——分别对应于认知源的三种立场：专家知识的完整传递、数据统计的严格压缩、二者矛盾的最优平衡。</w:t>
      </w:r>
    </w:p>
    <w:p w14:paraId="29EBDAF5">
      <w:pPr>
        <w:bidi w:val="0"/>
      </w:pPr>
      <w:r>
        <w:t>三项检验共同构成了 BWQI 公式从方法论设计向实证泛化过渡的闭合验证链。敏感性检验证实了权重-评分传递的自洽性及内建保守惩罚机制，防遮蔽检验以全局无盲区的检出能力消解了复合指数天然遗漏极端值的担忧，权重稳健性检验确认了赋权方案选择对最终结论的影响控制在运营可忽略的幅度内。</w:t>
      </w:r>
    </w:p>
    <w:p w14:paraId="1D6055CF">
      <w:pPr>
        <w:bidi w:val="0"/>
      </w:pPr>
    </w:p>
    <w:p w14:paraId="5ADC780D">
      <w:pPr>
        <w:bidi w:val="0"/>
        <w:ind w:left="0" w:leftChars="0" w:firstLine="0" w:firstLineChars="0"/>
      </w:pPr>
      <w:r>
        <w:t>3.6  BWQI 的时空变化与水温关联分析</w:t>
      </w:r>
    </w:p>
    <w:p w14:paraId="601FD0F4">
      <w:pPr>
        <w:bidi w:val="0"/>
      </w:pPr>
      <w:r>
        <w:t>在完成公式验证之后，需要进一步考察 BWQI 在实际运行时序中的行为特征——其是否能够稳定反映水质的季节性波动，环境因子对评分的干扰程度如何，以及多年跨度上是否存在水质劣化趋势。图 5 从三个分析尺度回答上述问题：逐月变化剖析季节模式，全时序检验长期稳定性，水温关联量化环境影响。</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4A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7292B6">
            <w:pPr>
              <w:bidi w:val="0"/>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5273040" cy="6096000"/>
                  <wp:effectExtent l="0" t="0" r="3810" b="0"/>
                  <wp:docPr id="5" name="图片 5" descr="Figure_5_BWQI_Temporal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5_BWQI_Temporal_Temp"/>
                          <pic:cNvPicPr>
                            <a:picLocks noChangeAspect="1"/>
                          </pic:cNvPicPr>
                        </pic:nvPicPr>
                        <pic:blipFill>
                          <a:blip r:embed="rId10"/>
                          <a:stretch>
                            <a:fillRect/>
                          </a:stretch>
                        </pic:blipFill>
                        <pic:spPr>
                          <a:xfrm>
                            <a:off x="0" y="0"/>
                            <a:ext cx="5273040" cy="6096000"/>
                          </a:xfrm>
                          <a:prstGeom prst="rect">
                            <a:avLst/>
                          </a:prstGeom>
                        </pic:spPr>
                      </pic:pic>
                    </a:graphicData>
                  </a:graphic>
                </wp:inline>
              </w:drawing>
            </w:r>
          </w:p>
        </w:tc>
      </w:tr>
    </w:tbl>
    <w:p w14:paraId="6DBDF4AF">
      <w:pPr>
        <w:bidi w:val="0"/>
        <w:ind w:left="0" w:leftChars="0" w:firstLine="0" w:firstLineChars="0"/>
      </w:pPr>
    </w:p>
    <w:p w14:paraId="74D4E102">
      <w:pPr>
        <w:bidi w:val="0"/>
      </w:pPr>
      <w:r>
        <w:t>图 5a 将六年间 171 个样本按月份合并，以季节着色的箱线图配合均值连线展示全年 BWQI 的周期规律。四个季节的评分均值呈明确的递减梯度：冬季最高 85.52 分，春季 84.17 分，秋季 83.65 分，夏季最低 83.12 分。季节间单因素方差分析的 F 统计量为 16.55，p 值远低于 0.001，证实季节性差异在统计上高度显著。逐月视角下，七月为全年最低 82.69 分，十二月为全年最高 85.90 分，均值连线的轨迹近似正弦波形，峰谷间距约 3.2 分。箱体的四分位距在各月份均控制在 2 分以内，月内离散小于月间差异，说明逐月均值的季节性起伏并非随机波动，而是一致性的系统信号。</w:t>
      </w:r>
    </w:p>
    <w:p w14:paraId="2C38F3F7">
      <w:pPr>
        <w:bidi w:val="0"/>
      </w:pPr>
      <w:r>
        <w:t>季节梯度的物理驱动机制与亚热带季风气候的冬冷夏热特征直接对应。夏季水温升至近 30 摄氏度后，管网余氯衰减速率加快，消毒副产物三卤甲烷的生成量同步升高——两者恰为 BWQI 中权重最高和敏感性最强的两个参数。冬季水温降至约 7 摄氏度，上述两个过程的速率均被显著抑制，水厂的常规处理工艺即可维持出水的消毒保护水平和有机副产物控制。然而应指出，3.2 分的季节振幅在 BWQI 的百分制尺度上仅占约百分之三，且全年各月均值均在 82 分以上。这说明苏州水厂在进水温度跨越 25 摄氏度以上的年季波动下，其处理系统具有有效的缓冲能力，出厂水质在统计学意义上存在季节性波动而运营意义上远未触及预警阈值。</w:t>
      </w:r>
    </w:p>
    <w:p w14:paraId="3F9D1D8F">
      <w:pPr>
        <w:bidi w:val="0"/>
      </w:pPr>
      <w:r>
        <w:t>图 5b 在单个样本的粒度上展开了 2020 至 2025 年共六年的完整时序，并以 21 点滚动均值和 95% 置信带平滑季节内的高频波动。滚动均值在 83 至 86 分的窄带内波动，全时序无单向劣化趋势。六个年份的 BWQI 均值最大差异不足 1 分——最高为 2020 年的 84.88 分，最低为 2024 年的 83.74 分——年度标准差在 1.3 至 2.3 分之间，说明水厂在跨年尺度上维持了高度一致的处理性能。滚动均值的升降节奏与图 5a 的月均信号互为印证：周期性约十二个月的正弦波叠加于稳定基线之上，各年的峰谷相位因采样时间节点的年际偏移而略有错动，但总体轮廓高度稳定。</w:t>
      </w:r>
    </w:p>
    <w:p w14:paraId="73850C21">
      <w:pPr>
        <w:bidi w:val="0"/>
      </w:pPr>
      <w:r>
        <w:t>图 5c 从连续温度维度对上述季节信号进行定量归因。全样本普通最小二乘回归给出 BWQI 等于 86.27 减去 0.115 乘以水温，决定系数 R² 为 0.248，p 值约 4 乘 10 的负 12 次方——水温对 BWQI 的单变量解释力约四分之一，水温从 5 摄氏度升至 30 摄氏度对应的 BWQI 预估值下降约 2.9 分。Spearman 秩相关系数为负 0.49，与 Pearson 线性相关系数负 0.50 近乎一致，说明水温-BWQI 关系中不存在显著的非线性弯曲。温度五等分箱的组均值逐一递减：最低温箱为 85.46 分，最高温箱降至 82.92 分，单调梯度的存在排除了倒 U 型等复杂关系对线性回归的干扰。95% 预测带的宽度在两端约 4 分、中部约 3 分，大部分 BWQI 离散无法由水温的线性模型解释。</w:t>
      </w:r>
    </w:p>
    <w:p w14:paraId="56328174">
      <w:pPr>
        <w:bidi w:val="0"/>
      </w:pPr>
      <w:r>
        <w:t>季节分层回归进一步揭示了一个关键的效应分解。将全样本按冬季、春季、夏季和秋季分别回归后，仅春季保留了有意义的温度敏感性，其决定系数约为 0.21；其余三季的决定系数均趋近于零——冬季约 0.000、夏季不足 0.01、秋季约 0.04。这一分解揭示：全局的负相关本质上是一个组间效应——冬季水温一律偏低而 BWQI 偏高、夏季水温一律偏高而 BWQI 偏低，两个季节性集群的均值差异驱动了总体回归斜率。一旦控制住季节，即在单一季节内部，水温的波动几乎不携带关于 BWQI 的线性信息。换言之，BWQI 的季节性起伏主要由水质参数本身的季节性演变——而非由水温的即时物理效应——所支配。</w:t>
      </w:r>
    </w:p>
    <w:p w14:paraId="0B7F9815">
      <w:pPr>
        <w:bidi w:val="0"/>
      </w:pPr>
      <w:r>
        <w:t>综合三个尺度的分析，BWQI 在苏州出厂水的六年间表现出微弱但统计显著的可预测季节性。冬高夏低的模式每年一致重现，振幅约 3 分，驱动源是温度介导的消毒剂衰减与副产物生成速率变化，但这些波动在水厂处理缓冲下被约束在远低于预警阈值的水平。六年间年际一致性的确认排除了水质持续劣化趋势的存在。水温对 BWQI 的组间效应与组内效应的分解，为多源数据外推提供了重要的方法论提示：不同气候区水厂间的 BWQI 差异可能主要由温度区间差异即季节性背景所解释，而同一水厂内部的短期温度波动对 BWQI 的影响可忽略——这一区分在第 3.7 节延伸至泉州和潍坊时将成为基准对比的参照框架。</w:t>
      </w:r>
    </w:p>
    <w:p w14:paraId="36AE98AE">
      <w:pPr>
        <w:bidi w:val="0"/>
        <w:rPr>
          <w:rFonts w:hint="eastAsia"/>
          <w:lang w:val="en-US" w:eastAsia="zh-CN"/>
        </w:rPr>
      </w:pPr>
    </w:p>
    <w:p w14:paraId="602B681E">
      <w:pPr>
        <w:pStyle w:val="2"/>
        <w:spacing w:before="0" w:beforeLines="0" w:after="120" w:afterLines="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3.7 多地验证：BWQI 框架的跨城市迁移性与本地化解释能力</w:t>
      </w:r>
    </w:p>
    <w:p w14:paraId="4C964386">
      <w:pPr>
        <w:keepNext w:val="0"/>
        <w:keepLines w:val="0"/>
        <w:widowControl/>
        <w:suppressLineNumbers w:val="0"/>
        <w:shd w:val="clear" w:fill="FFFFFF"/>
        <w:spacing w:line="405" w:lineRule="atLeast"/>
        <w:jc w:val="left"/>
        <w:rPr>
          <w:rFonts w:hint="default" w:ascii="Consolas" w:hAnsi="Consolas" w:eastAsia="Consolas" w:cs="Consolas"/>
          <w:b w:val="0"/>
          <w:bCs w:val="0"/>
          <w:color w:val="202020"/>
          <w:sz w:val="30"/>
          <w:szCs w:val="30"/>
        </w:rPr>
      </w:pPr>
    </w:p>
    <w:p w14:paraId="26913629">
      <w:pPr>
        <w:keepNext w:val="0"/>
        <w:keepLines w:val="0"/>
        <w:widowControl/>
        <w:suppressLineNumbers w:val="0"/>
        <w:spacing w:after="120" w:line="360" w:lineRule="auto"/>
        <w:jc w:val="both"/>
        <w:rPr>
          <w:rFonts w:hint="default" w:ascii="Consolas" w:hAnsi="Consolas" w:eastAsia="宋体" w:cs="Consolas"/>
          <w:b w:val="0"/>
          <w:bCs w:val="0"/>
          <w:i w:val="0"/>
          <w:strike w:val="0"/>
          <w:color w:val="auto"/>
          <w:sz w:val="24"/>
          <w:szCs w:val="30"/>
          <w:u w:val="none"/>
        </w:rPr>
      </w:pPr>
      <w:r>
        <w:rPr>
          <w:rFonts w:hint="default" w:ascii="Consolas" w:hAnsi="Consolas" w:eastAsia="宋体" w:cs="Consolas"/>
          <w:b w:val="0"/>
          <w:bCs w:val="0"/>
          <w:i w:val="0"/>
          <w:strike w:val="0"/>
          <w:color w:val="auto"/>
          <w:kern w:val="0"/>
          <w:sz w:val="24"/>
          <w:szCs w:val="30"/>
          <w:u w:val="none"/>
          <w:lang w:val="en-US" w:eastAsia="zh-CN" w:bidi="ar"/>
        </w:rPr>
        <w:t>前述章节已经完成了 BWQI 框架在苏州出厂水数据中的构建与验证：第 3.3 节确定了 AHP 与 RF-CRITIC 的 Nash 融合权重，第 3.4 节筛选出 DLIR-WQM 作为子指数-聚合组合，第 3.5 节验证了公式的敏感性、防遮蔽能力和权重稳健性，第 3.6 节进一步证明该指数能够捕捉长期时序中的微弱季节性而不产生虚假的劣化趋势。上述结果说明 BWQI 在苏州本地是有效的，但仍需回答一个更关键的外推问题：当该流程被应用到不同水源背景和不同参数集合的城市时，是否仍能产生稳定且可解释的评价结果。</w:t>
      </w:r>
    </w:p>
    <w:p w14:paraId="12560E47">
      <w:pPr>
        <w:keepNext w:val="0"/>
        <w:keepLines w:val="0"/>
        <w:widowControl/>
        <w:suppressLineNumbers w:val="0"/>
        <w:jc w:val="left"/>
      </w:pPr>
    </w:p>
    <w:p w14:paraId="73A26415">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2"/>
          <w:sz w:val="24"/>
          <w:szCs w:val="30"/>
          <w:u w:val="none"/>
          <w:lang w:val="en-US" w:eastAsia="zh-CN" w:bidi="ar-SA"/>
        </w:rPr>
      </w:pPr>
      <w:r>
        <w:rPr>
          <w:rFonts w:hint="default" w:ascii="Consolas" w:hAnsi="Consolas" w:eastAsia="宋体" w:cs="Consolas"/>
          <w:b w:val="0"/>
          <w:bCs w:val="0"/>
          <w:i w:val="0"/>
          <w:strike w:val="0"/>
          <w:color w:val="auto"/>
          <w:kern w:val="0"/>
          <w:sz w:val="24"/>
          <w:szCs w:val="30"/>
          <w:u w:val="none"/>
          <w:lang w:val="en-US" w:eastAsia="zh-CN" w:bidi="ar"/>
        </w:rPr>
        <w:t>本节因此将苏州确定的“层次分类选参-AHP+RF-CRITIC 赋权-DLIR 子指数-WQM 聚合”工作流直接迁移到泉州和潍坊两个外部出厂水数据集。这里检验的不是三座城市是否会独立筛选出同一套公式，而是苏州建立的评价流程在外部城市中是否仍然可运行、可判别且可解释。总体结果可以概括为一句话：BWQI 框架表现出“流程可迁移、结果本地化”的特征。相同流程在三地均能完成计算和验证，但三地的 BWQI 分布、主导权重和专家-数据一致性明显不同，说明该框架没有机械复制苏州结果，而是将本地水质结构转化为城市特异性的评价画像。</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EB6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CBFF7B7">
            <w:pPr>
              <w:keepNext w:val="0"/>
              <w:keepLines w:val="0"/>
              <w:widowControl/>
              <w:suppressLineNumbers w:val="0"/>
              <w:ind w:left="0" w:leftChars="0" w:firstLine="0" w:firstLineChars="0"/>
              <w:jc w:val="left"/>
              <w:rPr>
                <w:rFonts w:hint="eastAsia" w:eastAsia="宋体"/>
                <w:vertAlign w:val="baseline"/>
                <w:lang w:eastAsia="zh-CN"/>
              </w:rPr>
            </w:pPr>
            <w:r>
              <w:rPr>
                <w:rFonts w:hint="eastAsia" w:eastAsia="宋体"/>
                <w:vertAlign w:val="baseline"/>
                <w:lang w:eastAsia="zh-CN"/>
              </w:rPr>
              <w:drawing>
                <wp:inline distT="0" distB="0" distL="114300" distR="114300">
                  <wp:extent cx="5271135" cy="3867150"/>
                  <wp:effectExtent l="0" t="0" r="5715" b="0"/>
                  <wp:docPr id="6" name="图片 6" descr="Fig7_CrossCity_Framework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7_CrossCity_Framework_Validation"/>
                          <pic:cNvPicPr>
                            <a:picLocks noChangeAspect="1"/>
                          </pic:cNvPicPr>
                        </pic:nvPicPr>
                        <pic:blipFill>
                          <a:blip r:embed="rId11"/>
                          <a:stretch>
                            <a:fillRect/>
                          </a:stretch>
                        </pic:blipFill>
                        <pic:spPr>
                          <a:xfrm>
                            <a:off x="0" y="0"/>
                            <a:ext cx="5271135" cy="3867150"/>
                          </a:xfrm>
                          <a:prstGeom prst="rect">
                            <a:avLst/>
                          </a:prstGeom>
                        </pic:spPr>
                      </pic:pic>
                    </a:graphicData>
                  </a:graphic>
                </wp:inline>
              </w:drawing>
            </w:r>
          </w:p>
        </w:tc>
      </w:tr>
    </w:tbl>
    <w:p w14:paraId="259A3382">
      <w:pPr>
        <w:keepNext w:val="0"/>
        <w:keepLines w:val="0"/>
        <w:widowControl/>
        <w:suppressLineNumbers w:val="0"/>
        <w:ind w:left="0" w:leftChars="0" w:firstLine="0" w:firstLineChars="0"/>
        <w:jc w:val="left"/>
      </w:pPr>
    </w:p>
    <w:p w14:paraId="2006D927">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2"/>
          <w:sz w:val="24"/>
          <w:szCs w:val="30"/>
          <w:u w:val="none"/>
          <w:lang w:val="en-US" w:eastAsia="zh-CN" w:bidi="ar-SA"/>
        </w:rPr>
      </w:pPr>
      <w:r>
        <w:rPr>
          <w:rFonts w:hint="default" w:ascii="Consolas" w:hAnsi="Consolas" w:eastAsia="宋体" w:cs="Consolas"/>
          <w:b w:val="0"/>
          <w:bCs w:val="0"/>
          <w:i w:val="0"/>
          <w:strike w:val="0"/>
          <w:color w:val="auto"/>
          <w:kern w:val="0"/>
          <w:sz w:val="24"/>
          <w:szCs w:val="30"/>
          <w:u w:val="none"/>
          <w:lang w:val="en-US" w:eastAsia="zh-CN" w:bidi="ar"/>
        </w:rPr>
        <w:t>图 7a 给出了多地验证的技术路径。泉州和潍坊均沿用苏州已经确定的工作流：首先按照层次分类思想组织入选参数，然后分别计算 AHP 主观权重与 RF-CRITIC 客观权重，再通过 Nash 融合得到综合权重，最后以 DLIR 子指数和 WQM 聚合生成 BWQI，并进行 CV、Spearman ρ 和 Eclipsing 等验证。三地样本规模和参数数量存在明显差异，苏州为 171 个样本和 14 个参数，泉州为 122 个样本和 10 个参数，潍坊为 61 个样本和 12 个参数。尽管数据规模和参数构成不同，该流程仍能在两个外部城市中完成从权重计算到复合评分的完整输出，说明 BWQI 的基本流程不依赖于苏州单一数据集。</w:t>
      </w:r>
    </w:p>
    <w:p w14:paraId="666C446B">
      <w:pPr>
        <w:keepNext w:val="0"/>
        <w:keepLines w:val="0"/>
        <w:widowControl/>
        <w:suppressLineNumbers w:val="0"/>
        <w:jc w:val="left"/>
      </w:pPr>
    </w:p>
    <w:p w14:paraId="06DC1393">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2"/>
          <w:sz w:val="24"/>
          <w:szCs w:val="30"/>
          <w:u w:val="none"/>
          <w:lang w:val="en-US" w:eastAsia="zh-CN" w:bidi="ar-SA"/>
        </w:rPr>
      </w:pPr>
      <w:r>
        <w:rPr>
          <w:rFonts w:hint="default" w:ascii="Consolas" w:hAnsi="Consolas" w:eastAsia="宋体" w:cs="Consolas"/>
          <w:b w:val="0"/>
          <w:bCs w:val="0"/>
          <w:i w:val="0"/>
          <w:strike w:val="0"/>
          <w:color w:val="auto"/>
          <w:kern w:val="0"/>
          <w:sz w:val="24"/>
          <w:szCs w:val="30"/>
          <w:u w:val="none"/>
          <w:lang w:val="en-US" w:eastAsia="zh-CN" w:bidi="ar"/>
        </w:rPr>
        <w:t>这一结果首先支持框架的外部有效性。对于一个综合水质指数而言，跨城市迁移的最低要求不是获得相同分数，而是在不同数据条件下仍能形成可决策的输出。泉州和潍坊的结果满足这一点：两地均能得到完整的 AHP、RF-CRITIC 和 Nash 权重向量，均能生成样本级 BWQI 序列，并能继续接受离散度和遮蔽效应检验。这说明苏州确定的流程具有实际推广所需的操作闭环。与重新为每座城市从零筛选全部候选公式相比，这种固定流程的外部应用更接近供水管理中的真实需求，也降低了方法迁移的实施成本。</w:t>
      </w:r>
    </w:p>
    <w:p w14:paraId="68089CA5">
      <w:pPr>
        <w:keepNext w:val="0"/>
        <w:keepLines w:val="0"/>
        <w:widowControl/>
        <w:suppressLineNumbers w:val="0"/>
        <w:jc w:val="left"/>
      </w:pPr>
    </w:p>
    <w:p w14:paraId="43E7D399">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2"/>
          <w:sz w:val="24"/>
          <w:szCs w:val="30"/>
          <w:u w:val="none"/>
          <w:lang w:val="en-US" w:eastAsia="zh-CN" w:bidi="ar-SA"/>
        </w:rPr>
      </w:pPr>
      <w:r>
        <w:rPr>
          <w:rFonts w:hint="default" w:ascii="Consolas" w:hAnsi="Consolas" w:eastAsia="宋体" w:cs="Consolas"/>
          <w:b w:val="0"/>
          <w:bCs w:val="0"/>
          <w:i w:val="0"/>
          <w:strike w:val="0"/>
          <w:color w:val="auto"/>
          <w:kern w:val="0"/>
          <w:sz w:val="24"/>
          <w:szCs w:val="30"/>
          <w:u w:val="none"/>
          <w:lang w:val="en-US" w:eastAsia="zh-CN" w:bidi="ar"/>
        </w:rPr>
        <w:t>图 7b 揭示了一个更有解释价值的现象：外部城市中专家判断与数据结构的关系发生了显著变化。苏州 AHP 权重与 RF-CRITIC 权重的 Spearman ρ 为 0.910，说明专家风险判断与数据统计贡献高度一致。泉州和潍坊的 ρ 则分别降至 0.067 和 0.160，均处于专家-数据冲突区。这个低相关性不应被解释为框架失效。相反，它说明当评价框架被移植到外部城市后，专家基于健康风险形成的权重优先级，未必与当地监测数据中最具变异性或信息量的参数一致。</w:t>
      </w:r>
    </w:p>
    <w:p w14:paraId="54F93BC6">
      <w:pPr>
        <w:keepNext w:val="0"/>
        <w:keepLines w:val="0"/>
        <w:widowControl/>
        <w:suppressLineNumbers w:val="0"/>
        <w:jc w:val="left"/>
      </w:pPr>
    </w:p>
    <w:p w14:paraId="6F09460A">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2"/>
          <w:sz w:val="24"/>
          <w:szCs w:val="30"/>
          <w:u w:val="none"/>
          <w:lang w:val="en-US" w:eastAsia="zh-CN" w:bidi="ar-SA"/>
        </w:rPr>
      </w:pPr>
      <w:r>
        <w:rPr>
          <w:rFonts w:hint="default" w:ascii="Consolas" w:hAnsi="Consolas" w:eastAsia="宋体" w:cs="Consolas"/>
          <w:b w:val="0"/>
          <w:bCs w:val="0"/>
          <w:i w:val="0"/>
          <w:strike w:val="0"/>
          <w:color w:val="auto"/>
          <w:kern w:val="0"/>
          <w:sz w:val="24"/>
          <w:szCs w:val="30"/>
          <w:u w:val="none"/>
          <w:lang w:val="en-US" w:eastAsia="zh-CN" w:bidi="ar"/>
        </w:rPr>
        <w:t>这种背离具有明确的水质学含义。泉州 AHP 权重高度集中于 NO₃⁻，而 RF-CRITIC 更强调 TDS、总硬度和 SO₄²⁻ 等矿物盐类指标，提示其数据结构受到地下水矿化背景影响。潍坊的 AHP 更关注 CHCl₃ 和游离氯等毒理或消毒相关参数，而 RF-CRITIC 将最高权重赋予 TDS，说明混合水源条件下矿物盐波动在客观数据中占据更高信息贡献。由此，低 ρ 并非统计缺陷，而是一种诊断信号：它暴露了“公共卫生风险优先级”和“本地数据变异结构”之间的分离。正是在这种分离场景下，Nash 融合比单一主观或单一客观赋权更有必要。</w:t>
      </w:r>
    </w:p>
    <w:p w14:paraId="397C777A">
      <w:pPr>
        <w:keepNext w:val="0"/>
        <w:keepLines w:val="0"/>
        <w:widowControl/>
        <w:suppressLineNumbers w:val="0"/>
        <w:jc w:val="left"/>
      </w:pPr>
    </w:p>
    <w:p w14:paraId="11033060">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2"/>
          <w:sz w:val="24"/>
          <w:szCs w:val="30"/>
          <w:u w:val="none"/>
          <w:lang w:val="en-US" w:eastAsia="zh-CN" w:bidi="ar-SA"/>
        </w:rPr>
      </w:pPr>
      <w:r>
        <w:rPr>
          <w:rFonts w:hint="default" w:ascii="Consolas" w:hAnsi="Consolas" w:eastAsia="宋体" w:cs="Consolas"/>
          <w:b w:val="0"/>
          <w:bCs w:val="0"/>
          <w:i w:val="0"/>
          <w:strike w:val="0"/>
          <w:color w:val="auto"/>
          <w:kern w:val="0"/>
          <w:sz w:val="24"/>
          <w:szCs w:val="30"/>
          <w:u w:val="none"/>
          <w:lang w:val="en-US" w:eastAsia="zh-CN" w:bidi="ar"/>
        </w:rPr>
        <w:t>图 7c 进一步说明 Nash 融合的作用不是追求所有城市中的最低 CV，而是在风险解释与统计稳定之间提供折中。苏州中 AHP、RF-CRITIC 和 Nash 的 BWQI CV 分别为 3.16%、1.63% 和 2.32%，Nash 位于主客观方案之间。泉州中 Nash CV 为 2.68%，低于 AHP 的 4.41% 和 RF-CRITIC 的 3.43%，说明当主客观权重极端分歧时，融合方案可以明显降低评分波动。潍坊中 AHP CV 高达 13.11%，RF-CRITIC 为 5.56%，Nash 为 7.62%。虽然 RF-CRITIC 在潍坊给出了最低 CV，但其同时显著压低部分健康风险参数的权重，使 BWQI 均值降至 59.11 分。Nash 的价值因此不应被限定为“离散度最小”，而应理解为在保留 CHCl₃、游离氯和 NO₃⁻ 等健康风险信息的同时，抑制 AHP 权重过度集中带来的评分波动。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77D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89B3838">
            <w:pPr>
              <w:keepNext w:val="0"/>
              <w:keepLines w:val="0"/>
              <w:widowControl/>
              <w:suppressLineNumbers w:val="0"/>
              <w:ind w:left="0" w:leftChars="0" w:firstLine="0" w:firstLineChars="0"/>
              <w:jc w:val="left"/>
              <w:rPr>
                <w:rFonts w:hint="eastAsia" w:eastAsia="宋体"/>
                <w:vertAlign w:val="baseline"/>
                <w:lang w:eastAsia="zh-CN"/>
              </w:rPr>
            </w:pPr>
            <w:r>
              <w:rPr>
                <w:rFonts w:hint="eastAsia" w:eastAsia="宋体"/>
                <w:vertAlign w:val="baseline"/>
                <w:lang w:eastAsia="zh-CN"/>
              </w:rPr>
              <w:drawing>
                <wp:inline distT="0" distB="0" distL="114300" distR="114300">
                  <wp:extent cx="5271770" cy="4826635"/>
                  <wp:effectExtent l="0" t="0" r="5080" b="12065"/>
                  <wp:docPr id="7" name="图片 7" descr="Fig8_CrossCity_BWQI_Loc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8_CrossCity_BWQI_Localization"/>
                          <pic:cNvPicPr>
                            <a:picLocks noChangeAspect="1"/>
                          </pic:cNvPicPr>
                        </pic:nvPicPr>
                        <pic:blipFill>
                          <a:blip r:embed="rId12"/>
                          <a:stretch>
                            <a:fillRect/>
                          </a:stretch>
                        </pic:blipFill>
                        <pic:spPr>
                          <a:xfrm>
                            <a:off x="0" y="0"/>
                            <a:ext cx="5271770" cy="4826635"/>
                          </a:xfrm>
                          <a:prstGeom prst="rect">
                            <a:avLst/>
                          </a:prstGeom>
                        </pic:spPr>
                      </pic:pic>
                    </a:graphicData>
                  </a:graphic>
                </wp:inline>
              </w:drawing>
            </w:r>
          </w:p>
        </w:tc>
      </w:tr>
    </w:tbl>
    <w:p w14:paraId="11790888">
      <w:pPr>
        <w:keepNext w:val="0"/>
        <w:keepLines w:val="0"/>
        <w:widowControl/>
        <w:suppressLineNumbers w:val="0"/>
        <w:spacing w:after="120" w:line="360" w:lineRule="auto"/>
        <w:ind w:firstLine="480" w:firstLineChars="200"/>
        <w:jc w:val="both"/>
      </w:pPr>
      <w:r>
        <w:rPr>
          <w:rFonts w:hint="default" w:ascii="Consolas" w:hAnsi="Consolas" w:eastAsia="宋体" w:cs="Consolas"/>
          <w:b w:val="0"/>
          <w:bCs w:val="0"/>
          <w:i w:val="0"/>
          <w:strike w:val="0"/>
          <w:color w:val="auto"/>
          <w:kern w:val="0"/>
          <w:sz w:val="24"/>
          <w:szCs w:val="30"/>
          <w:u w:val="none"/>
          <w:lang w:val="en-US" w:eastAsia="zh-CN" w:bidi="ar"/>
        </w:rPr>
        <w:t>图 8a 从结果层面展示了三地 Nash BWQI 的分布差异。苏州 BWQI 最高且最稳定，为 85.56 ± 1.98；泉州降至 71.86 ± 1.93，但样本间离散度仍较小；潍坊最低，为 66.09 ± 5.03，且波动明显增大。这个梯度说明，同一 BWQI 流程能够在统一评分尺度下区分不同城市的出厂水质量状态。苏州整体处于优良且稳定状态，泉州为中等偏好且稳定，潍坊则表现为较低评分和更强波动。若框架仅仅是在外部城市中复制苏州的评分分布，则其跨城市应用价值反而有限；当前结果表明，BWQI 保留了城市间真实差异。</w:t>
      </w:r>
    </w:p>
    <w:p w14:paraId="3DC67AC0">
      <w:pPr>
        <w:keepNext w:val="0"/>
        <w:keepLines w:val="0"/>
        <w:widowControl/>
        <w:suppressLineNumbers w:val="0"/>
        <w:spacing w:after="120" w:line="360" w:lineRule="auto"/>
        <w:ind w:left="0" w:leftChars="0" w:firstLine="480" w:firstLineChars="200"/>
        <w:jc w:val="both"/>
      </w:pPr>
      <w:r>
        <w:rPr>
          <w:rFonts w:hint="default" w:ascii="Consolas" w:hAnsi="Consolas" w:eastAsia="宋体" w:cs="Consolas"/>
          <w:b w:val="0"/>
          <w:bCs w:val="0"/>
          <w:i w:val="0"/>
          <w:strike w:val="0"/>
          <w:color w:val="auto"/>
          <w:kern w:val="0"/>
          <w:sz w:val="24"/>
          <w:szCs w:val="30"/>
          <w:u w:val="none"/>
          <w:lang w:val="en-US" w:eastAsia="zh-CN" w:bidi="ar"/>
        </w:rPr>
        <w:t>图 8b 的 Nash 权重热图解释了上述差异的来源。苏州权重结构以 THMs、Free Cl、NO₃⁻ 和 Pb 为主，权重分别为 18.5%、13.5%、11.6% 和 9.8%，反映了地表水源及加氯消毒过程中消毒副产物控制的重要性。泉州的主导因子转向 NO₃⁻、TDS、Free Cl、总硬度和 F⁻，权重分别为 25.7%、18.3%、13.7%、11.5% 和 10.8%，说明其 BWQI 更多受到地下水矿物盐背景和硝酸盐风险的共同影响。潍坊则形成 TDS 与 CHCl₃ 双主导结构，二者权重分别为 23.7% 和 22.4%，同时 Free Cl、NO₃⁻、CODMn 和 TAB 也具有一定贡献，提示混合水源条件下矿物盐波动、消毒副产物和微生物相关指标共同塑造了评价结果。</w:t>
      </w:r>
    </w:p>
    <w:p w14:paraId="135D9F70">
      <w:pPr>
        <w:keepNext w:val="0"/>
        <w:keepLines w:val="0"/>
        <w:widowControl/>
        <w:suppressLineNumbers w:val="0"/>
        <w:spacing w:after="120" w:line="360" w:lineRule="auto"/>
        <w:ind w:left="0" w:leftChars="0" w:firstLine="480" w:firstLineChars="200"/>
        <w:jc w:val="both"/>
      </w:pPr>
      <w:r>
        <w:rPr>
          <w:rFonts w:hint="default" w:ascii="Consolas" w:hAnsi="Consolas" w:eastAsia="宋体" w:cs="Consolas"/>
          <w:b w:val="0"/>
          <w:bCs w:val="0"/>
          <w:i w:val="0"/>
          <w:strike w:val="0"/>
          <w:color w:val="auto"/>
          <w:kern w:val="0"/>
          <w:sz w:val="24"/>
          <w:szCs w:val="30"/>
          <w:u w:val="none"/>
          <w:lang w:val="en-US" w:eastAsia="zh-CN" w:bidi="ar"/>
        </w:rPr>
        <w:t>这一权重差异是本节最重要的本地化证据。三座城市使用相同流程，却得到三种不同的主导因子结构，说明 BWQI 的迁移并不依赖固定权重向量。相反，固定的是评价逻辑，本地化的是权重响应。对于传统 WQI 研究而言，跨地区应用往往面临一个两难：若使用统一权重，可能忽略地方水质特征；若每地完全重建模型，又难以进行横向比较。本文的结果表明，苏州确定的 BWQI 流程可以在这两者之间取得平衡，即保持统一计算尺度，同时允许权重结构随本地水质信息而变化。</w:t>
      </w:r>
    </w:p>
    <w:p w14:paraId="014D3DEF">
      <w:pPr>
        <w:keepNext w:val="0"/>
        <w:keepLines w:val="0"/>
        <w:widowControl/>
        <w:suppressLineNumbers w:val="0"/>
        <w:spacing w:after="120" w:line="360" w:lineRule="auto"/>
        <w:ind w:left="0" w:leftChars="0" w:firstLine="480" w:firstLineChars="200"/>
        <w:jc w:val="both"/>
      </w:pPr>
      <w:r>
        <w:rPr>
          <w:rFonts w:hint="default" w:ascii="Consolas" w:hAnsi="Consolas" w:eastAsia="宋体" w:cs="Consolas"/>
          <w:b w:val="0"/>
          <w:bCs w:val="0"/>
          <w:i w:val="0"/>
          <w:strike w:val="0"/>
          <w:color w:val="auto"/>
          <w:kern w:val="0"/>
          <w:sz w:val="24"/>
          <w:szCs w:val="30"/>
          <w:u w:val="none"/>
          <w:lang w:val="en-US" w:eastAsia="zh-CN" w:bidi="ar"/>
        </w:rPr>
        <w:t>图 8c 比较了 AHP、RF-CRITIC 与 Nash 三种赋权方案下的 BWQI 水平。三地均呈现 AHP 评分最高、RF-CRITIC 评分最低、Nash 居中的格局。苏州三方案均值差异较小，说明专家判断与数据结构本身较为一致；泉州和潍坊的方案间差异明显扩大，说明外部城市中不同认知来源对 BWQI 的影响更强。泉州 AHP 均值为 79.02，RF-CRITIC 仅为 63.82，两者相差超过 15 分，Nash 均值为 71.86，位于二者之间。潍坊也表现出类似特征，AHP、RF-CRITIC 和 Nash 均值分别为 72.06、59.11 和 66.09。该结果进一步支持 Nash 融合的解释定位：它不是简单平均，也不是以某一统计指标最优为唯一目标，而是在主观健康风险与客观数据变异之间形成可解释的中间评价。</w:t>
      </w:r>
    </w:p>
    <w:p w14:paraId="2F01E4DB">
      <w:pPr>
        <w:keepNext w:val="0"/>
        <w:keepLines w:val="0"/>
        <w:widowControl/>
        <w:suppressLineNumbers w:val="0"/>
        <w:spacing w:after="120" w:line="360" w:lineRule="auto"/>
        <w:ind w:left="0" w:leftChars="0" w:firstLine="480" w:firstLineChars="200"/>
        <w:jc w:val="both"/>
      </w:pPr>
      <w:r>
        <w:rPr>
          <w:rFonts w:hint="default" w:ascii="Consolas" w:hAnsi="Consolas" w:eastAsia="宋体" w:cs="Consolas"/>
          <w:b w:val="0"/>
          <w:bCs w:val="0"/>
          <w:i w:val="0"/>
          <w:strike w:val="0"/>
          <w:color w:val="auto"/>
          <w:kern w:val="0"/>
          <w:sz w:val="24"/>
          <w:szCs w:val="30"/>
          <w:u w:val="none"/>
          <w:lang w:val="en-US" w:eastAsia="zh-CN" w:bidi="ar"/>
        </w:rPr>
        <w:t>图 8d 检验了 WQM 聚合在外部城市中的防遮蔽能力。苏州 14 个参数全部可被 Eclipsing 检出，泉州 10 个参数中有 9 个可被检出，潍坊 12 个参数全部可被检出。苏州和泉州的 WQM/Arithmetic 响应比分别为 0.51 和 0.52，几乎完全一致，说明 WQM 对单参数劣化信号的压缩效应在两个水质结构不同的城市中保持稳定。潍坊的 WQM/Arithmetic 比值升至 0.875，表明其相对于算术平均的压缩程度较弱；这可能与 TDS 和 CHCl₃ 双高权重结构有关，当主要风险分布于两个高权重参数时，单项劣化受到其他指标遮蔽的程度会相应下降。尽管如此，潍坊 12/12 的检出结果说明其仍未出现不可识别的遮蔽盲区。</w:t>
      </w:r>
    </w:p>
    <w:p w14:paraId="38FDE7F3">
      <w:pPr>
        <w:keepNext w:val="0"/>
        <w:keepLines w:val="0"/>
        <w:widowControl/>
        <w:suppressLineNumbers w:val="0"/>
        <w:spacing w:after="120" w:line="360" w:lineRule="auto"/>
        <w:ind w:left="0" w:leftChars="0" w:firstLine="480" w:firstLineChars="200"/>
        <w:jc w:val="both"/>
      </w:pPr>
      <w:r>
        <w:rPr>
          <w:rFonts w:hint="default" w:ascii="Consolas" w:hAnsi="Consolas" w:eastAsia="宋体" w:cs="Consolas"/>
          <w:b w:val="0"/>
          <w:bCs w:val="0"/>
          <w:i w:val="0"/>
          <w:strike w:val="0"/>
          <w:color w:val="auto"/>
          <w:kern w:val="0"/>
          <w:sz w:val="24"/>
          <w:szCs w:val="30"/>
          <w:u w:val="none"/>
          <w:lang w:val="en-US" w:eastAsia="zh-CN" w:bidi="ar"/>
        </w:rPr>
        <w:t>需要指出的是，本节的多地验证仍属于外部数据集验证，而不是全国范围的普适性证明。泉州和潍坊提供了不同于苏州的水源背景和参数结构，但城市数量仍然有限，且各地监测频率、参数完整性和水厂工艺信息并不完全一致。因此，本节结论应被限定为“BWQI 流程在两个外部城市中表现出良好的可迁移性和解释稳定性”，而不应被过度外推为所有地区均可无条件适用。后续研究仍需纳入更多气候区、水源类型和处理工艺，以检验参数筛选层级、Nash 融合权重和 WQM 聚合在更复杂场景下的边界条件。</w:t>
      </w:r>
    </w:p>
    <w:p w14:paraId="719020B0">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0"/>
          <w:sz w:val="24"/>
          <w:szCs w:val="30"/>
          <w:u w:val="none"/>
          <w:lang w:val="en-US" w:eastAsia="zh-CN" w:bidi="ar"/>
        </w:rPr>
      </w:pPr>
      <w:r>
        <w:rPr>
          <w:rFonts w:hint="default" w:ascii="Consolas" w:hAnsi="Consolas" w:eastAsia="宋体" w:cs="Consolas"/>
          <w:b w:val="0"/>
          <w:bCs w:val="0"/>
          <w:i w:val="0"/>
          <w:strike w:val="0"/>
          <w:color w:val="auto"/>
          <w:kern w:val="0"/>
          <w:sz w:val="24"/>
          <w:szCs w:val="30"/>
          <w:u w:val="none"/>
          <w:lang w:val="en-US" w:eastAsia="zh-CN" w:bidi="ar"/>
        </w:rPr>
        <w:t>综合来看，多地验证补充并扩展了前文基于苏州的单站点结论。科学价值上，本研究提出并验证了一种“流程通用、权重本地化、结果可解释”的 WQI 构建思路，修正了传统 WQI 研究中过度追求单一普适公式的倾向，为跨地区饮用水综合评价提供了新的方法论证据。实践价值上，供水管理部门可以在保留统一评分尺度的前提下，利用本地出厂水监测数据建立适配自身水源、工艺和风险结构的BWQI体系。由此，BWQI从一个针对苏州水厂开发的综合指数，扩展为一套具有外部迁移潜力的出厂水质量评价流程。</w:t>
      </w:r>
    </w:p>
    <w:p w14:paraId="281D8618">
      <w:pPr>
        <w:keepNext w:val="0"/>
        <w:keepLines w:val="0"/>
        <w:widowControl/>
        <w:suppressLineNumbers w:val="0"/>
        <w:spacing w:after="120" w:line="360" w:lineRule="auto"/>
        <w:ind w:left="0" w:leftChars="0" w:firstLine="480" w:firstLineChars="200"/>
        <w:jc w:val="both"/>
        <w:rPr>
          <w:rFonts w:hint="default" w:ascii="Consolas" w:hAnsi="Consolas" w:eastAsia="宋体" w:cs="Consolas"/>
          <w:b w:val="0"/>
          <w:bCs w:val="0"/>
          <w:i w:val="0"/>
          <w:strike w:val="0"/>
          <w:color w:val="auto"/>
          <w:kern w:val="0"/>
          <w:sz w:val="24"/>
          <w:szCs w:val="30"/>
          <w:u w:val="none"/>
          <w:lang w:val="en-US" w:eastAsia="zh-CN" w:bidi="ar"/>
        </w:rPr>
      </w:pPr>
      <w:bookmarkStart w:id="0" w:name="_GoBack"/>
      <w:bookmarkEnd w:id="0"/>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D1788"/>
    <w:rsid w:val="00EC3893"/>
    <w:rsid w:val="02070CCA"/>
    <w:rsid w:val="02F56D74"/>
    <w:rsid w:val="03465822"/>
    <w:rsid w:val="03AE2119"/>
    <w:rsid w:val="046643CE"/>
    <w:rsid w:val="05922FA0"/>
    <w:rsid w:val="05CF5FA2"/>
    <w:rsid w:val="05D435B9"/>
    <w:rsid w:val="06C61153"/>
    <w:rsid w:val="072D2F81"/>
    <w:rsid w:val="07893F2F"/>
    <w:rsid w:val="08EB6C4F"/>
    <w:rsid w:val="0A8530D4"/>
    <w:rsid w:val="0AF10769"/>
    <w:rsid w:val="0C1F4E62"/>
    <w:rsid w:val="0D6151BA"/>
    <w:rsid w:val="0EB83A78"/>
    <w:rsid w:val="0F1E7653"/>
    <w:rsid w:val="0FBB6DE3"/>
    <w:rsid w:val="10E418AC"/>
    <w:rsid w:val="12991E30"/>
    <w:rsid w:val="13750189"/>
    <w:rsid w:val="143C2835"/>
    <w:rsid w:val="149A15E5"/>
    <w:rsid w:val="15574708"/>
    <w:rsid w:val="15802859"/>
    <w:rsid w:val="16AF3334"/>
    <w:rsid w:val="190855FC"/>
    <w:rsid w:val="19DB4ABE"/>
    <w:rsid w:val="1CDC4DD5"/>
    <w:rsid w:val="1D0C08D3"/>
    <w:rsid w:val="1E236A0E"/>
    <w:rsid w:val="1F141394"/>
    <w:rsid w:val="1F6317DE"/>
    <w:rsid w:val="1F6D7F66"/>
    <w:rsid w:val="226A2E83"/>
    <w:rsid w:val="226A4C31"/>
    <w:rsid w:val="24F301AC"/>
    <w:rsid w:val="260159D7"/>
    <w:rsid w:val="2A7E3970"/>
    <w:rsid w:val="2C161986"/>
    <w:rsid w:val="2CAE1BBE"/>
    <w:rsid w:val="2CB05936"/>
    <w:rsid w:val="2D0A773C"/>
    <w:rsid w:val="2D652BC5"/>
    <w:rsid w:val="2F15355F"/>
    <w:rsid w:val="2F3E547B"/>
    <w:rsid w:val="2F702726"/>
    <w:rsid w:val="313B4368"/>
    <w:rsid w:val="31880C30"/>
    <w:rsid w:val="32005FF7"/>
    <w:rsid w:val="33C1667B"/>
    <w:rsid w:val="35A3428A"/>
    <w:rsid w:val="35CB1129"/>
    <w:rsid w:val="36B4704E"/>
    <w:rsid w:val="374B4BD9"/>
    <w:rsid w:val="377B4BE0"/>
    <w:rsid w:val="38E946AA"/>
    <w:rsid w:val="390414E4"/>
    <w:rsid w:val="3A2C343F"/>
    <w:rsid w:val="3B1672AC"/>
    <w:rsid w:val="3B167ABA"/>
    <w:rsid w:val="3C771FCD"/>
    <w:rsid w:val="3D3B124C"/>
    <w:rsid w:val="3E713583"/>
    <w:rsid w:val="40A93A73"/>
    <w:rsid w:val="447E4FEB"/>
    <w:rsid w:val="4746283E"/>
    <w:rsid w:val="48C447EC"/>
    <w:rsid w:val="48FA1FBB"/>
    <w:rsid w:val="4A3459A1"/>
    <w:rsid w:val="4B003B88"/>
    <w:rsid w:val="4B0D06CC"/>
    <w:rsid w:val="4C0575F5"/>
    <w:rsid w:val="4CF11DD5"/>
    <w:rsid w:val="4DCF3FAA"/>
    <w:rsid w:val="4E235ED6"/>
    <w:rsid w:val="4ECB50D3"/>
    <w:rsid w:val="4EEA2AD2"/>
    <w:rsid w:val="4F0C7FA9"/>
    <w:rsid w:val="4F455F5A"/>
    <w:rsid w:val="528F5E6A"/>
    <w:rsid w:val="52F65EE9"/>
    <w:rsid w:val="53364538"/>
    <w:rsid w:val="538E1C7E"/>
    <w:rsid w:val="538E7ED0"/>
    <w:rsid w:val="53EC109A"/>
    <w:rsid w:val="5492579E"/>
    <w:rsid w:val="55C951EF"/>
    <w:rsid w:val="55DA564E"/>
    <w:rsid w:val="5A355549"/>
    <w:rsid w:val="5B301CB8"/>
    <w:rsid w:val="5DD40262"/>
    <w:rsid w:val="5FDA624B"/>
    <w:rsid w:val="60C211B9"/>
    <w:rsid w:val="6250365E"/>
    <w:rsid w:val="66291B15"/>
    <w:rsid w:val="667B2536"/>
    <w:rsid w:val="66BB0B84"/>
    <w:rsid w:val="6C1D26E8"/>
    <w:rsid w:val="6C1E0624"/>
    <w:rsid w:val="6C5D5862"/>
    <w:rsid w:val="6F7064BD"/>
    <w:rsid w:val="6FA32AFD"/>
    <w:rsid w:val="6FB344DE"/>
    <w:rsid w:val="702874BB"/>
    <w:rsid w:val="70383246"/>
    <w:rsid w:val="711F44B4"/>
    <w:rsid w:val="71A32941"/>
    <w:rsid w:val="7295497F"/>
    <w:rsid w:val="73CE6CD2"/>
    <w:rsid w:val="787B4617"/>
    <w:rsid w:val="78AD248D"/>
    <w:rsid w:val="79BD47BC"/>
    <w:rsid w:val="79E41D48"/>
    <w:rsid w:val="7A236D15"/>
    <w:rsid w:val="7B36052E"/>
    <w:rsid w:val="7C493CFE"/>
    <w:rsid w:val="7DC03DA8"/>
    <w:rsid w:val="7EB8011C"/>
    <w:rsid w:val="7F7A3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left="0" w:leftChars="0" w:firstLine="883" w:firstLineChars="200"/>
      <w:jc w:val="both"/>
    </w:pPr>
    <w:rPr>
      <w:rFonts w:ascii="Times New Roman" w:hAnsi="Times New Roman" w:eastAsia="宋体" w:cs="Times New Roman"/>
      <w:kern w:val="2"/>
      <w:sz w:val="24"/>
      <w:szCs w:val="20"/>
      <w:lang w:val="en-US" w:eastAsia="zh-CN" w:bidi="ar-SA"/>
    </w:rPr>
  </w:style>
  <w:style w:type="paragraph" w:styleId="2">
    <w:name w:val="heading 1"/>
    <w:basedOn w:val="1"/>
    <w:next w:val="1"/>
    <w:qFormat/>
    <w:uiPriority w:val="0"/>
    <w:pPr>
      <w:keepNext/>
      <w:keepLines/>
      <w:spacing w:before="100" w:beforeLines="100" w:beforeAutospacing="0" w:after="80" w:afterLines="80" w:afterAutospacing="0" w:line="300" w:lineRule="auto"/>
      <w:ind w:firstLine="0" w:firstLineChars="0"/>
      <w:jc w:val="both"/>
      <w:outlineLvl w:val="0"/>
    </w:pPr>
    <w:rPr>
      <w:rFonts w:eastAsia="黑体"/>
      <w:kern w:val="44"/>
      <w:sz w:val="36"/>
      <w:szCs w:val="20"/>
    </w:rPr>
  </w:style>
  <w:style w:type="paragraph" w:styleId="3">
    <w:name w:val="heading 2"/>
    <w:basedOn w:val="1"/>
    <w:next w:val="1"/>
    <w:semiHidden/>
    <w:unhideWhenUsed/>
    <w:qFormat/>
    <w:uiPriority w:val="0"/>
    <w:pPr>
      <w:spacing w:before="50" w:beforeLines="50" w:beforeAutospacing="0" w:after="50" w:afterLines="50" w:afterAutospacing="0" w:line="300" w:lineRule="auto"/>
      <w:ind w:firstLine="0" w:firstLineChars="0"/>
      <w:jc w:val="left"/>
      <w:outlineLvl w:val="1"/>
    </w:pPr>
    <w:rPr>
      <w:rFonts w:hint="eastAsia" w:ascii="宋体" w:hAnsi="宋体" w:cs="宋体"/>
      <w:bCs/>
      <w:kern w:val="0"/>
      <w:sz w:val="30"/>
      <w:szCs w:val="36"/>
      <w:lang w:bidi="ar"/>
    </w:rPr>
  </w:style>
  <w:style w:type="paragraph" w:styleId="4">
    <w:name w:val="heading 3"/>
    <w:basedOn w:val="1"/>
    <w:next w:val="1"/>
    <w:semiHidden/>
    <w:unhideWhenUsed/>
    <w:qFormat/>
    <w:uiPriority w:val="0"/>
    <w:pPr>
      <w:spacing w:beforeAutospacing="0" w:afterAutospacing="0" w:line="360" w:lineRule="auto"/>
      <w:ind w:firstLine="0" w:firstLineChars="0"/>
      <w:jc w:val="left"/>
      <w:outlineLvl w:val="2"/>
    </w:pPr>
    <w:rPr>
      <w:rFonts w:hint="eastAsia" w:ascii="宋体" w:hAnsi="宋体" w:eastAsia="黑体" w:cs="宋体"/>
      <w:b/>
      <w:bCs/>
      <w:kern w:val="0"/>
      <w:szCs w:val="27"/>
      <w:lang w:bidi="ar"/>
    </w:rPr>
  </w:style>
  <w:style w:type="paragraph" w:styleId="5">
    <w:name w:val="heading 4"/>
    <w:basedOn w:val="1"/>
    <w:next w:val="1"/>
    <w:semiHidden/>
    <w:unhideWhenUsed/>
    <w:qFormat/>
    <w:uiPriority w:val="0"/>
    <w:pPr>
      <w:keepNext/>
      <w:keepLines/>
      <w:spacing w:beforeLines="0" w:beforeAutospacing="0" w:afterLines="0" w:afterAutospacing="0" w:line="300" w:lineRule="auto"/>
      <w:outlineLvl w:val="3"/>
    </w:pPr>
    <w:rPr>
      <w:rFonts w:ascii="Arial" w:hAnsi="Arial" w:eastAsia="宋体"/>
      <w:sz w:val="24"/>
      <w:szCs w:val="20"/>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tiff"/><Relationship Id="rId11" Type="http://schemas.openxmlformats.org/officeDocument/2006/relationships/image" Target="media/image6.tiff"/><Relationship Id="rId10" Type="http://schemas.openxmlformats.org/officeDocument/2006/relationships/image" Target="media/image5.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6749</Words>
  <Characters>8100</Characters>
  <Lines>0</Lines>
  <Paragraphs>0</Paragraphs>
  <TotalTime>133</TotalTime>
  <ScaleCrop>false</ScaleCrop>
  <LinksUpToDate>false</LinksUpToDate>
  <CharactersWithSpaces>8699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2025-04-13T09:10:00Z</dcterms:created>
  <dc:creator>ouyang</dc:creator>
  <cp:lastModifiedBy>欧阳宇</cp:lastModifiedBy>
  <dcterms:modified xsi:type="dcterms:W3CDTF">2026-06-09T11:05:17Z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CAA809008D5345D6B6E2ABA952D47C40_12</vt:lpwstr>
  </property>
  <property fmtid="{D5CDD505-2E9C-101B-9397-08002B2CF9AE}" pid="4" name="KSOTemplateDocerSaveRecord">
    <vt:lpwstr>eyJoZGlkIjoiNWNkZGU3MjMxZDlhZTI5ZjJjOTdmNTg5ZGUyNDFkOTIiLCJ1c2VySWQiOiI2NDE4NzA0NjgifQ==</vt:lpwstr>
  </property>
</Properties>
</file>