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media/image1.emf" ContentType="image/x-emf"/>
  <Override PartName="/word/media/image2.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pacing w:before="240" w:after="120"/>
        <w:jc w:val="center"/>
        <w:rPr/>
      </w:pPr>
      <w:r>
        <w:rPr/>
        <w:t>某大学</w:t>
      </w:r>
      <w:bookmarkStart w:id="0" w:name="__DdeLink__105_1193381473"/>
      <w:bookmarkEnd w:id="0"/>
      <w:r>
        <w:rPr/>
        <w:t>公用车辆信息管理系统</w:t>
      </w:r>
    </w:p>
    <w:p>
      <w:pPr>
        <w:pStyle w:val="Style15"/>
        <w:rPr/>
      </w:pPr>
      <w:r>
        <w:rPr/>
        <w:t>软件需求规格说明</w:t>
      </w:r>
    </w:p>
    <w:p>
      <w:pPr>
        <w:pStyle w:val="Style16"/>
        <w:rPr/>
      </w:pPr>
      <w:r>
        <w:rPr/>
        <w:t>（</w:t>
      </w:r>
      <w:r>
        <w:rPr/>
        <w:t>v1.0</w:t>
      </w:r>
      <w:r>
        <w:rPr/>
        <w:t>）</w:t>
      </w:r>
    </w:p>
    <w:p>
      <w:pPr>
        <w:pStyle w:val="Style11"/>
        <w:rPr/>
      </w:pPr>
      <w:r>
        <w:rPr/>
      </w:r>
    </w:p>
    <w:p>
      <w:pPr>
        <w:pStyle w:val="Style16"/>
        <w:rPr/>
      </w:pPr>
      <w:r>
        <w:rPr/>
        <w:t>某电子科技公司</w:t>
      </w:r>
    </w:p>
    <w:p>
      <w:pPr>
        <w:pStyle w:val="Style16"/>
        <w:rPr/>
      </w:pPr>
      <w:r>
        <w:rPr/>
        <w:t>二零一六年四月二十五日</w:t>
      </w:r>
    </w:p>
    <w:p>
      <w:pPr>
        <w:pStyle w:val="Style11"/>
        <w:rPr/>
      </w:pPr>
      <w:r>
        <w:rPr/>
      </w:r>
      <w:r>
        <w:br w:type="page"/>
      </w:r>
    </w:p>
    <w:p>
      <w:pPr>
        <w:pStyle w:val="1"/>
        <w:numPr>
          <w:ilvl w:val="0"/>
          <w:numId w:val="0"/>
        </w:numPr>
        <w:ind w:left="0" w:hanging="0"/>
        <w:rPr/>
      </w:pPr>
      <w:r>
        <w:rPr/>
        <w:t xml:space="preserve">1. </w:t>
      </w:r>
      <w:r>
        <w:rPr/>
        <w:t>概述</w:t>
      </w:r>
    </w:p>
    <w:p>
      <w:pPr>
        <w:pStyle w:val="2"/>
        <w:numPr>
          <w:ilvl w:val="0"/>
          <w:numId w:val="0"/>
        </w:numPr>
        <w:ind w:left="0" w:hanging="0"/>
        <w:rPr/>
      </w:pPr>
      <w:r>
        <w:rPr/>
        <w:t xml:space="preserve">1.1. </w:t>
      </w:r>
      <w:r>
        <w:rPr/>
        <w:t>系统背景</w:t>
      </w:r>
    </w:p>
    <w:p>
      <w:pPr>
        <w:pStyle w:val="Style11"/>
        <w:rPr/>
      </w:pPr>
      <w:r>
        <w:rPr/>
        <w:t>为了响应国家对于国有事业单位的公用车辆规范化管理，同时对于公用车辆更合理的安排以及更合理的使用情况了解，以及公车使用透明化、规范化、高效率的整合。</w:t>
      </w:r>
    </w:p>
    <w:p>
      <w:pPr>
        <w:pStyle w:val="Style11"/>
        <w:rPr/>
      </w:pPr>
      <w:r>
        <w:rPr/>
      </w:r>
    </w:p>
    <w:p>
      <w:pPr>
        <w:pStyle w:val="2"/>
        <w:numPr>
          <w:ilvl w:val="0"/>
          <w:numId w:val="0"/>
        </w:numPr>
        <w:ind w:left="0" w:hanging="0"/>
        <w:rPr/>
      </w:pPr>
      <w:r>
        <w:rPr/>
        <w:t xml:space="preserve">1.2. </w:t>
      </w:r>
      <w:r>
        <w:rPr/>
        <w:t>需求概述</w:t>
      </w:r>
    </w:p>
    <w:p>
      <w:pPr>
        <w:pStyle w:val="Style11"/>
        <w:rPr/>
      </w:pPr>
      <w:r>
        <w:rPr/>
        <w:t>为了对公车使用及费用报销规范化管理，特此立项公车系统信息化管理系统，方便及高效化的管理公车使用及费用报销的管理。对公车的使用和公车产生的费用进行统一登记管理，统计信息使用。</w:t>
      </w:r>
    </w:p>
    <w:p>
      <w:pPr>
        <w:pStyle w:val="Style11"/>
        <w:rPr/>
      </w:pPr>
      <w:r>
        <w:rPr/>
      </w:r>
    </w:p>
    <w:p>
      <w:pPr>
        <w:pStyle w:val="2"/>
        <w:numPr>
          <w:ilvl w:val="0"/>
          <w:numId w:val="0"/>
        </w:numPr>
        <w:ind w:left="0" w:hanging="0"/>
        <w:rPr/>
      </w:pPr>
      <w:r>
        <w:rPr/>
        <w:t xml:space="preserve">1.3. </w:t>
      </w:r>
      <w:r>
        <w:rPr/>
        <w:t>文档概述</w:t>
      </w:r>
    </w:p>
    <w:p>
      <w:pPr>
        <w:pStyle w:val="Style11"/>
        <w:spacing w:before="0" w:after="140"/>
        <w:rPr/>
      </w:pPr>
      <w:r>
        <w:rPr/>
        <w:t>本文档目的是给出公用车辆信息管理系统的总体需求、功能需求和其他一些非功能性需求，为软件设计和软件测试提供依据。</w:t>
      </w:r>
      <w:r>
        <w:br w:type="page"/>
      </w:r>
    </w:p>
    <w:p>
      <w:pPr>
        <w:pStyle w:val="1"/>
        <w:numPr>
          <w:ilvl w:val="0"/>
          <w:numId w:val="0"/>
        </w:numPr>
        <w:ind w:left="0" w:hanging="0"/>
        <w:rPr/>
      </w:pPr>
      <w:r>
        <w:rPr/>
        <w:t xml:space="preserve">2. </w:t>
      </w:r>
      <w:r>
        <w:rPr/>
        <w:t>总体需求</w:t>
      </w:r>
    </w:p>
    <w:p>
      <w:pPr>
        <w:pStyle w:val="2"/>
        <w:numPr>
          <w:ilvl w:val="0"/>
          <w:numId w:val="0"/>
        </w:numPr>
        <w:ind w:left="0" w:hanging="0"/>
        <w:rPr/>
      </w:pPr>
      <w:r>
        <w:rPr/>
        <w:t xml:space="preserve">2.1. </w:t>
      </w:r>
      <w:r>
        <w:rPr/>
        <w:t>按功能划分</w:t>
      </w:r>
    </w:p>
    <w:tbl>
      <w:tblPr>
        <w:tblW w:w="609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2433"/>
        <w:gridCol w:w="3662"/>
      </w:tblGrid>
      <w:tr>
        <w:trPr/>
        <w:tc>
          <w:tcPr>
            <w:tcW w:w="24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tcPr>
          <w:p>
            <w:pPr>
              <w:pStyle w:val="Style11"/>
              <w:spacing w:before="0" w:after="0"/>
              <w:ind w:left="0" w:hanging="0"/>
              <w:jc w:val="center"/>
              <w:rPr/>
            </w:pPr>
            <w:r>
              <w:rPr>
                <w:b/>
              </w:rPr>
              <w:t>功能类别</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tcPr>
          <w:p>
            <w:pPr>
              <w:pStyle w:val="Style11"/>
              <w:spacing w:before="0" w:after="0"/>
              <w:ind w:left="0" w:hanging="0"/>
              <w:jc w:val="center"/>
              <w:rPr/>
            </w:pPr>
            <w:r>
              <w:rPr>
                <w:b/>
              </w:rPr>
              <w:t>子功能</w:t>
            </w:r>
          </w:p>
        </w:tc>
      </w:tr>
      <w:tr>
        <w:trPr/>
        <w:tc>
          <w:tcPr>
            <w:tcW w:w="24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0"/>
              <w:ind w:left="0" w:hanging="0"/>
              <w:jc w:val="center"/>
              <w:rPr/>
            </w:pPr>
            <w:r>
              <w:rPr>
                <w:rFonts w:ascii="宋体" w:hAnsi="宋体"/>
                <w:color w:val="000000"/>
                <w:szCs w:val="21"/>
              </w:rPr>
              <w:t>基础信息管理</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1"/>
              <w:spacing w:before="0" w:after="0"/>
              <w:ind w:left="0" w:hanging="0"/>
              <w:rPr/>
            </w:pPr>
            <w:r>
              <w:rPr>
                <w:rFonts w:ascii="Calibri" w:hAnsi="Calibri"/>
                <w:color w:val="000000"/>
                <w:sz w:val="22"/>
                <w:szCs w:val="22"/>
              </w:rPr>
              <w:t>用户信息管理</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0"/>
              <w:ind w:left="0" w:hanging="0"/>
              <w:jc w:val="center"/>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1"/>
              <w:spacing w:before="0" w:after="0"/>
              <w:ind w:left="0" w:hanging="0"/>
              <w:rPr/>
            </w:pPr>
            <w:r>
              <w:rPr>
                <w:rFonts w:ascii="Calibri" w:hAnsi="Calibri"/>
                <w:color w:val="000000"/>
                <w:sz w:val="22"/>
                <w:szCs w:val="22"/>
              </w:rPr>
              <w:t>角色信息管理</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0"/>
              <w:ind w:left="0" w:hanging="0"/>
              <w:jc w:val="center"/>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1"/>
              <w:spacing w:before="0" w:after="0"/>
              <w:ind w:left="0" w:hanging="0"/>
              <w:rPr/>
            </w:pPr>
            <w:r>
              <w:rPr>
                <w:rFonts w:ascii="Calibri" w:hAnsi="Calibri"/>
                <w:color w:val="000000"/>
                <w:sz w:val="22"/>
                <w:szCs w:val="22"/>
              </w:rPr>
              <w:t>公车信息管理</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0"/>
              <w:ind w:left="0" w:hanging="0"/>
              <w:jc w:val="center"/>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1"/>
              <w:spacing w:before="0" w:after="0"/>
              <w:ind w:left="0" w:hanging="0"/>
              <w:rPr/>
            </w:pPr>
            <w:r>
              <w:rPr>
                <w:rFonts w:ascii="Calibri" w:hAnsi="Calibri"/>
                <w:color w:val="000000"/>
                <w:sz w:val="22"/>
                <w:szCs w:val="22"/>
              </w:rPr>
              <w:t>菜单管理</w:t>
            </w:r>
          </w:p>
        </w:tc>
      </w:tr>
      <w:tr>
        <w:trPr/>
        <w:tc>
          <w:tcPr>
            <w:tcW w:w="24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0"/>
              <w:ind w:left="0" w:hanging="0"/>
              <w:jc w:val="center"/>
              <w:rPr/>
            </w:pPr>
            <w:r>
              <w:rPr/>
              <w:t>公车登记管理</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1"/>
              <w:spacing w:before="0" w:after="0"/>
              <w:ind w:left="0" w:hanging="0"/>
              <w:rPr/>
            </w:pPr>
            <w:r>
              <w:rPr>
                <w:rFonts w:ascii="Calibri" w:hAnsi="Calibri"/>
                <w:color w:val="000000"/>
                <w:sz w:val="22"/>
                <w:szCs w:val="22"/>
              </w:rPr>
              <w:t>公车使用登记管理</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0"/>
              <w:ind w:left="0" w:hanging="0"/>
              <w:jc w:val="center"/>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Style11"/>
              <w:spacing w:before="0" w:after="0"/>
              <w:ind w:left="0" w:hanging="0"/>
              <w:rPr/>
            </w:pPr>
            <w:r>
              <w:rPr>
                <w:rFonts w:ascii="Calibri" w:hAnsi="Calibri"/>
                <w:color w:val="000000"/>
                <w:sz w:val="22"/>
                <w:szCs w:val="22"/>
              </w:rPr>
              <w:t>公车经费支出登记管理</w:t>
            </w:r>
          </w:p>
        </w:tc>
      </w:tr>
      <w:tr>
        <w:trPr/>
        <w:tc>
          <w:tcPr>
            <w:tcW w:w="24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140"/>
              <w:ind w:left="0" w:hanging="0"/>
              <w:jc w:val="center"/>
              <w:rPr/>
            </w:pPr>
            <w:r>
              <w:rPr>
                <w:rFonts w:ascii="宋体" w:hAnsi="宋体"/>
                <w:color w:val="000000"/>
                <w:szCs w:val="21"/>
              </w:rPr>
              <w:t>审批管理</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ascii="Calibri" w:hAnsi="Calibri"/>
                <w:color w:val="000000"/>
                <w:sz w:val="22"/>
                <w:szCs w:val="22"/>
              </w:rPr>
              <w:t>管理部门审批</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140"/>
              <w:ind w:left="0" w:hanging="0"/>
              <w:jc w:val="center"/>
              <w:rPr>
                <w:rFonts w:ascii="宋体" w:hAnsi="宋体"/>
                <w:color w:val="000000"/>
                <w:szCs w:val="21"/>
              </w:rPr>
            </w:pPr>
            <w:r>
              <w:rPr>
                <w:rFonts w:ascii="宋体" w:hAnsi="宋体"/>
                <w:color w:val="000000"/>
                <w:szCs w:val="21"/>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ascii="Calibri" w:hAnsi="Calibri"/>
                <w:color w:val="000000"/>
                <w:sz w:val="22"/>
                <w:szCs w:val="22"/>
              </w:rPr>
              <w:t>审批条目管理</w:t>
            </w:r>
          </w:p>
        </w:tc>
      </w:tr>
      <w:tr>
        <w:trPr/>
        <w:tc>
          <w:tcPr>
            <w:tcW w:w="24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140"/>
              <w:ind w:left="0" w:hanging="0"/>
              <w:jc w:val="center"/>
              <w:rPr/>
            </w:pPr>
            <w:r>
              <w:rPr/>
              <w:t>统计管理</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ascii="Calibri" w:hAnsi="Calibri"/>
                <w:color w:val="000000"/>
                <w:sz w:val="22"/>
                <w:szCs w:val="22"/>
              </w:rPr>
              <w:t>公车使用信息统计</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140"/>
              <w:ind w:left="0" w:hanging="0"/>
              <w:jc w:val="center"/>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ascii="Calibri" w:hAnsi="Calibri"/>
                <w:color w:val="000000"/>
                <w:sz w:val="22"/>
                <w:szCs w:val="22"/>
              </w:rPr>
              <w:t>公车经费支出信息统计</w:t>
            </w:r>
          </w:p>
        </w:tc>
      </w:tr>
      <w:tr>
        <w:trPr/>
        <w:tc>
          <w:tcPr>
            <w:tcW w:w="24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140"/>
              <w:ind w:left="0" w:hanging="0"/>
              <w:jc w:val="center"/>
              <w:rPr/>
            </w:pPr>
            <w:r>
              <w:rPr/>
              <w:t>操作记录管理</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ascii="Calibri" w:hAnsi="Calibri"/>
                <w:color w:val="000000"/>
                <w:sz w:val="22"/>
                <w:szCs w:val="22"/>
              </w:rPr>
              <w:t>基础信息操作记录</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140"/>
              <w:ind w:left="0" w:hanging="0"/>
              <w:jc w:val="center"/>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ascii="Calibri" w:hAnsi="Calibri"/>
                <w:color w:val="000000"/>
                <w:sz w:val="22"/>
                <w:szCs w:val="22"/>
              </w:rPr>
              <w:t>公车使用登记操作记录</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140"/>
              <w:ind w:left="0" w:hanging="0"/>
              <w:jc w:val="center"/>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ascii="Calibri" w:hAnsi="Calibri"/>
                <w:color w:val="000000"/>
                <w:sz w:val="22"/>
                <w:szCs w:val="22"/>
              </w:rPr>
              <w:t>公车经费支出登记操作记录</w:t>
            </w:r>
          </w:p>
        </w:tc>
      </w:tr>
      <w:tr>
        <w:trPr/>
        <w:tc>
          <w:tcPr>
            <w:tcW w:w="24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Style11"/>
              <w:spacing w:before="0" w:after="140"/>
              <w:ind w:left="0" w:hanging="0"/>
              <w:jc w:val="center"/>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color w:val="000000"/>
                <w:sz w:val="22"/>
                <w:szCs w:val="22"/>
              </w:rPr>
            </w:pPr>
            <w:r>
              <w:rPr>
                <w:rFonts w:ascii="Calibri" w:hAnsi="Calibri"/>
                <w:color w:val="000000"/>
                <w:sz w:val="22"/>
                <w:szCs w:val="22"/>
              </w:rPr>
              <w:t>审批操作记录</w:t>
            </w:r>
          </w:p>
        </w:tc>
      </w:tr>
    </w:tbl>
    <w:p>
      <w:pPr>
        <w:pStyle w:val="2"/>
        <w:numPr>
          <w:ilvl w:val="0"/>
          <w:numId w:val="0"/>
        </w:numPr>
        <w:ind w:left="0" w:hanging="0"/>
        <w:rPr/>
      </w:pPr>
      <w:r>
        <w:rPr/>
        <w:t xml:space="preserve">2.2. </w:t>
      </w:r>
      <w:r>
        <w:rPr/>
        <w:t>系统功能使用图</w:t>
      </w:r>
    </w:p>
    <w:p>
      <w:pPr>
        <w:pStyle w:val="2"/>
        <w:numPr>
          <w:ilvl w:val="0"/>
          <w:numId w:val="0"/>
        </w:numPr>
        <w:ind w:left="0" w:hanging="0"/>
        <w:rPr/>
      </w:pPr>
      <w:r>
        <w:rPr/>
      </w:r>
      <w:r>
        <mc:AlternateContent>
          <mc:Choice Requires="wps">
            <w:drawing>
              <wp:inline distT="0" distB="0" distL="0" distR="0">
                <wp:extent cx="5270500" cy="7486015"/>
                <wp:effectExtent l="0" t="0" r="0" b="0"/>
                <wp:docPr id="1" name="框架1"/>
                <a:graphic xmlns:a="http://schemas.openxmlformats.org/drawingml/2006/main">
                  <a:graphicData uri="http://schemas.microsoft.com/office/word/2010/wordprocessingShape">
                    <wps:wsp>
                      <wps:cNvSpPr txBox="1"/>
                      <wps:spPr>
                        <a:xfrm>
                          <a:off x="0" y="0"/>
                          <a:ext cx="5270500" cy="7486015"/>
                        </a:xfrm>
                        <a:prstGeom prst="rect"/>
                      </wps:spPr>
                      <wps:txbx>
                        <w:txbxContent>
                          <w:p>
                            <w:pPr>
                              <w:pStyle w:val="Style17"/>
                              <w:spacing w:before="120" w:after="120"/>
                              <w:rPr/>
                            </w:pPr>
                            <w:r>
                              <w:rPr/>
                              <w:object>
                                <v:shape id="ole_rId2" style="width:415pt;height:583.45pt" o:ole="">
                                  <v:imagedata r:id="rId3" o:title=""/>
                                </v:shape>
                                <o:OLEObject Type="Embed" ProgID="" ShapeID="ole_rId2" DrawAspect="Content" ObjectID="_852829809" r:id="rId2"/>
                              </w:object>
                            </w:r>
                          </w:p>
                        </w:txbxContent>
                      </wps:txbx>
                      <wps:bodyPr anchor="t" lIns="0" tIns="0" rIns="0" bIns="0">
                        <a:noAutofit/>
                      </wps:bodyPr>
                    </wps:wsp>
                  </a:graphicData>
                </a:graphic>
              </wp:inline>
            </w:drawing>
          </mc:Choice>
          <mc:Fallback>
            <w:pict>
              <v:rect style="position:absolute;rotation:0;width:415pt;height:589.45pt;mso-wrap-distance-left:0pt;mso-wrap-distance-right:0pt;mso-wrap-distance-top:0pt;mso-wrap-distance-bottom:0pt;margin-top:-589.45pt;mso-position-vertical:top;mso-position-vertical-relative:text;margin-left:0pt;mso-position-horizontal-relative:text">
                <v:textbox inset="0in,0in,0in,0in">
                  <w:txbxContent>
                    <w:p>
                      <w:pPr>
                        <w:pStyle w:val="Style17"/>
                        <w:spacing w:before="120" w:after="120"/>
                        <w:rPr/>
                      </w:pPr>
                      <w:r>
                        <w:rPr/>
                        <w:object>
                          <v:shape id="ole_rId4" style="width:415pt;height:583.45pt" o:ole="">
                            <v:imagedata r:id="rId5" o:title=""/>
                          </v:shape>
                          <o:OLEObject Type="Embed" ProgID="" ShapeID="ole_rId4" DrawAspect="Content" ObjectID="_855405953" r:id="rId4"/>
                        </w:object>
                      </w:r>
                    </w:p>
                  </w:txbxContent>
                </v:textbox>
              </v:rect>
            </w:pict>
          </mc:Fallback>
        </mc:AlternateContent>
      </w:r>
    </w:p>
    <w:p>
      <w:pPr>
        <w:pStyle w:val="2"/>
        <w:widowControl/>
        <w:numPr>
          <w:ilvl w:val="0"/>
          <w:numId w:val="0"/>
        </w:numPr>
        <w:jc w:val="left"/>
        <w:outlineLvl w:val="1"/>
        <w:rPr/>
      </w:pPr>
      <w:r>
        <w:rPr/>
      </w:r>
      <w:r>
        <w:br w:type="page"/>
      </w:r>
    </w:p>
    <w:p>
      <w:pPr>
        <w:pStyle w:val="1"/>
        <w:numPr>
          <w:ilvl w:val="0"/>
          <w:numId w:val="0"/>
        </w:numPr>
        <w:ind w:left="0" w:hanging="0"/>
        <w:rPr/>
      </w:pPr>
      <w:r>
        <w:rPr/>
        <w:t xml:space="preserve">3. </w:t>
      </w:r>
      <w:r>
        <w:rPr/>
        <w:t>功能需求</w:t>
      </w:r>
    </w:p>
    <w:p>
      <w:pPr>
        <w:pStyle w:val="2"/>
        <w:numPr>
          <w:ilvl w:val="0"/>
          <w:numId w:val="0"/>
        </w:numPr>
        <w:ind w:left="0" w:hanging="0"/>
        <w:rPr/>
      </w:pPr>
      <w:r>
        <w:rPr/>
        <w:t xml:space="preserve">3.1. </w:t>
      </w:r>
      <w:r>
        <w:rPr/>
        <w:t>基础信息管理</w:t>
      </w:r>
    </w:p>
    <w:p>
      <w:pPr>
        <w:pStyle w:val="Style11"/>
        <w:rPr/>
      </w:pPr>
      <w:r>
        <w:rPr/>
        <w:t>基础信息管理包括用户信息管理、角色信息管理、公车信息管理、菜单信息管理等功能。</w:t>
      </w:r>
    </w:p>
    <w:p>
      <w:pPr>
        <w:pStyle w:val="3"/>
        <w:numPr>
          <w:ilvl w:val="0"/>
          <w:numId w:val="0"/>
        </w:numPr>
        <w:ind w:left="0" w:hanging="0"/>
        <w:rPr/>
      </w:pPr>
      <w:r>
        <w:rPr/>
        <w:t xml:space="preserve">3.1.1. </w:t>
      </w:r>
      <w:r>
        <w:rPr/>
        <w:t>用户信息管理</w:t>
      </w:r>
    </w:p>
    <w:p>
      <w:pPr>
        <w:pStyle w:val="Style11"/>
        <w:rPr/>
      </w:pPr>
      <w:r>
        <w:rPr/>
        <w:t>用户信息管理：支持对用户信息进行维护，包括对用户的查看，新增，编辑，删除等功能。</w:t>
      </w:r>
    </w:p>
    <w:p>
      <w:pPr>
        <w:pStyle w:val="Style11"/>
        <w:rPr/>
      </w:pPr>
      <w:r>
        <w:rPr/>
        <w:t>初始化信息数据会默认导入一批用户，后续用户信息由客户自主负责。</w:t>
      </w:r>
    </w:p>
    <w:p>
      <w:pPr>
        <w:pStyle w:val="Style11"/>
        <w:rPr/>
      </w:pPr>
      <w:r>
        <w:rPr/>
        <w:t>数据来源：由客户提供。</w:t>
      </w:r>
    </w:p>
    <w:p>
      <w:pPr>
        <w:pStyle w:val="Style11"/>
        <w:rPr/>
      </w:pPr>
      <w:r>
        <w:rPr/>
        <w:t>用户信息所包含的字段：用户名、密码、姓名、性别、年龄、联系方式、创建日期、修改日期。</w:t>
      </w:r>
    </w:p>
    <w:p>
      <w:pPr>
        <w:pStyle w:val="3"/>
        <w:numPr>
          <w:ilvl w:val="0"/>
          <w:numId w:val="0"/>
        </w:numPr>
        <w:ind w:left="0" w:hanging="0"/>
        <w:rPr/>
      </w:pPr>
      <w:r>
        <w:rPr/>
        <w:t xml:space="preserve">3.1.2. </w:t>
      </w:r>
      <w:r>
        <w:rPr/>
        <w:t>角色信息管理</w:t>
      </w:r>
    </w:p>
    <w:p>
      <w:pPr>
        <w:pStyle w:val="Style11"/>
        <w:rPr/>
      </w:pPr>
      <w:r>
        <w:rPr/>
        <w:t>角色信息管理：支持对角色信息进行维护，包括对角色的查看，新增，编辑，分配菜单，删除等功能。</w:t>
      </w:r>
    </w:p>
    <w:p>
      <w:pPr>
        <w:pStyle w:val="Style11"/>
        <w:rPr/>
      </w:pPr>
      <w:r>
        <w:rPr/>
        <w:t>角色类别：当前系统角色有管理员、录入专员、审批专员。</w:t>
      </w:r>
    </w:p>
    <w:p>
      <w:pPr>
        <w:pStyle w:val="Style11"/>
        <w:rPr/>
      </w:pPr>
      <w:r>
        <w:rPr/>
        <w:t>角色信息所包含的字段：角色名称、角色状态、备注。</w:t>
      </w:r>
    </w:p>
    <w:p>
      <w:pPr>
        <w:pStyle w:val="3"/>
        <w:numPr>
          <w:ilvl w:val="0"/>
          <w:numId w:val="0"/>
        </w:numPr>
        <w:ind w:left="0" w:hanging="0"/>
        <w:rPr/>
      </w:pPr>
      <w:r>
        <w:rPr/>
        <w:t xml:space="preserve">3.1.3. </w:t>
      </w:r>
      <w:r>
        <w:rPr/>
        <w:t>公车信息管理</w:t>
      </w:r>
    </w:p>
    <w:p>
      <w:pPr>
        <w:pStyle w:val="Style11"/>
        <w:rPr/>
      </w:pPr>
      <w:r>
        <w:rPr/>
        <w:t>公车信息管理：支出对公车基本信息进行维护，包括对公车信息的查看、新增、编辑、删除、批量导出公车信息、批量导入公车信息等功能。</w:t>
      </w:r>
    </w:p>
    <w:p>
      <w:pPr>
        <w:pStyle w:val="Style11"/>
        <w:rPr/>
      </w:pPr>
      <w:r>
        <w:rPr/>
        <w:t>公车信息：其中公车车牌号和仪器编号以及车架号统一与负责人和使用人进行绑定关系，在业务系统里即人与车进行绑定关系，一对多维护关系。</w:t>
      </w:r>
    </w:p>
    <w:p>
      <w:pPr>
        <w:pStyle w:val="Style11"/>
        <w:rPr/>
      </w:pPr>
      <w:r>
        <w:rPr/>
        <w:t>初始化数据：由客户提供初始化数据，交由工程师进行初始化技术导入。</w:t>
      </w:r>
    </w:p>
    <w:p>
      <w:pPr>
        <w:pStyle w:val="Style11"/>
        <w:rPr/>
      </w:pPr>
      <w:r>
        <w:rPr/>
        <w:t>对公车信息进行删除操作时，强制填写说明信息。</w:t>
      </w:r>
    </w:p>
    <w:p>
      <w:pPr>
        <w:pStyle w:val="Style11"/>
        <w:rPr/>
      </w:pPr>
      <w:r>
        <w:rPr/>
        <w:t>公车信息所包含的字段：名称、车牌号、发动机号、车架号、仪器设备编号、领用人、负责人、所属单位、厂商、停放地点、排量、型号、购置日期、类别、用途、公车照片、创建时间、修改日期。</w:t>
      </w:r>
    </w:p>
    <w:p>
      <w:pPr>
        <w:pStyle w:val="3"/>
        <w:numPr>
          <w:ilvl w:val="0"/>
          <w:numId w:val="0"/>
        </w:numPr>
        <w:ind w:left="0" w:hanging="0"/>
        <w:rPr/>
      </w:pPr>
      <w:r>
        <w:rPr/>
        <w:t xml:space="preserve">3.1.4. </w:t>
      </w:r>
      <w:r>
        <w:rPr/>
        <w:t>菜单信息管理</w:t>
      </w:r>
    </w:p>
    <w:p>
      <w:pPr>
        <w:pStyle w:val="Style11"/>
        <w:rPr/>
      </w:pPr>
      <w:r>
        <w:rPr/>
        <w:t>菜单信息管理：支持对菜单信息进行查看、编辑菜单信息等功能。</w:t>
      </w:r>
      <w:r>
        <w:rPr/>
        <w:t xml:space="preserve">3.2 </w:t>
      </w:r>
      <w:r>
        <w:rPr/>
        <w:t>公车登记管理</w:t>
      </w:r>
    </w:p>
    <w:p>
      <w:pPr>
        <w:pStyle w:val="Style11"/>
        <w:rPr/>
      </w:pPr>
      <w:r>
        <w:rPr/>
        <w:t>公车登记管理包括公车使用登记管理、公车经费支出登记管理。</w:t>
      </w:r>
    </w:p>
    <w:p>
      <w:pPr>
        <w:pStyle w:val="Style11"/>
        <w:rPr/>
      </w:pPr>
      <w:r>
        <w:rPr/>
      </w:r>
    </w:p>
    <w:p>
      <w:pPr>
        <w:pStyle w:val="2"/>
        <w:numPr>
          <w:ilvl w:val="0"/>
          <w:numId w:val="0"/>
        </w:numPr>
        <w:ind w:left="0" w:hanging="0"/>
        <w:rPr/>
      </w:pPr>
      <w:r>
        <w:rPr/>
        <w:t xml:space="preserve">3.2. </w:t>
      </w:r>
      <w:r>
        <w:rPr/>
        <w:t>公车登记管理</w:t>
      </w:r>
    </w:p>
    <w:p>
      <w:pPr>
        <w:pStyle w:val="Style11"/>
        <w:rPr/>
      </w:pPr>
      <w:r>
        <w:rPr/>
        <w:t>公车登记管理包括公车使用登记管理、公车经费支出登记管理。</w:t>
      </w:r>
    </w:p>
    <w:p>
      <w:pPr>
        <w:pStyle w:val="3"/>
        <w:numPr>
          <w:ilvl w:val="0"/>
          <w:numId w:val="0"/>
        </w:numPr>
        <w:ind w:left="0" w:hanging="0"/>
        <w:rPr/>
      </w:pPr>
      <w:r>
        <w:rPr/>
        <w:t xml:space="preserve">3.2.1. </w:t>
      </w:r>
      <w:r>
        <w:rPr/>
        <w:t>公车使用登记管理</w:t>
      </w:r>
    </w:p>
    <w:p>
      <w:pPr>
        <w:pStyle w:val="Style11"/>
        <w:rPr/>
      </w:pPr>
      <w:r>
        <w:rPr/>
        <w:t>公车使用登记管理：对公车使用信息进行维护，包括对公车使用信息查看、新增、编辑、删除等功能。</w:t>
      </w:r>
    </w:p>
    <w:p>
      <w:pPr>
        <w:pStyle w:val="Style11"/>
        <w:rPr/>
      </w:pPr>
      <w:r>
        <w:rPr/>
        <w:t>公车使用：详细记录公车的使用情况以及公车使用的状况进行统一录入到系统里加以信息保存以及留存存档，方便进行统一管理以及统计。</w:t>
      </w:r>
    </w:p>
    <w:p>
      <w:pPr>
        <w:pStyle w:val="Style11"/>
        <w:rPr/>
      </w:pPr>
      <w:r>
        <w:rPr/>
        <w:t>对公车使用信息进行删除操作时，强制填写说明信息。</w:t>
      </w:r>
    </w:p>
    <w:p>
      <w:pPr>
        <w:pStyle w:val="Style11"/>
        <w:rPr/>
      </w:pPr>
      <w:r>
        <w:rPr/>
        <w:t>公车使用登记包含的字段：车牌号、仪器编号、负责人、领用人、使用人、起始地点、目的地点、出发里程表、返回里程表、用车时间、创建日期、修改日期。</w:t>
      </w:r>
    </w:p>
    <w:p>
      <w:pPr>
        <w:pStyle w:val="3"/>
        <w:numPr>
          <w:ilvl w:val="0"/>
          <w:numId w:val="0"/>
        </w:numPr>
        <w:ind w:left="0" w:hanging="0"/>
        <w:rPr/>
      </w:pPr>
      <w:r>
        <w:rPr/>
        <w:t xml:space="preserve">3.2.2. </w:t>
      </w:r>
      <w:r>
        <w:rPr/>
        <w:t>公车经费支出登记管理</w:t>
      </w:r>
    </w:p>
    <w:p>
      <w:pPr>
        <w:pStyle w:val="Style11"/>
        <w:rPr/>
      </w:pPr>
      <w:r>
        <w:rPr/>
        <w:t>公车经费支出登记管理：对公车使用过程中产生的费用信息进行维护，包括对公车使用过程中产生的费用信息进行查看、新增、编辑、删除、导出登记信息、生成验收单等功能；特殊情况的经费支出需要经过审核，审核通过之后才会生产验收单；非特殊情况的经费支出无需审核，会直接生成验收单；生成的验收单可以进行打印，下载。</w:t>
      </w:r>
    </w:p>
    <w:p>
      <w:pPr>
        <w:pStyle w:val="Style11"/>
        <w:rPr/>
      </w:pPr>
      <w:r>
        <w:rPr/>
        <w:t>对公车经费支出信息进行删除操作时，强制填写说明信息。</w:t>
      </w:r>
    </w:p>
    <w:p>
      <w:pPr>
        <w:pStyle w:val="Style11"/>
        <w:rPr/>
      </w:pPr>
      <w:r>
        <w:rPr/>
        <w:t>公车经费支出登记包含的字段：车牌号、负责人、领用人、使用人、仪器设备编号、领用部门、发票号、费用类型、厂商、费用金额、审核状态、备注信息、登记日期、修改日期。</w:t>
      </w:r>
    </w:p>
    <w:p>
      <w:pPr>
        <w:pStyle w:val="3"/>
        <w:numPr>
          <w:ilvl w:val="0"/>
          <w:numId w:val="0"/>
        </w:numPr>
        <w:ind w:left="0" w:hanging="0"/>
        <w:rPr/>
      </w:pPr>
      <w:r>
        <w:rPr/>
      </w:r>
    </w:p>
    <w:p>
      <w:pPr>
        <w:pStyle w:val="3"/>
        <w:numPr>
          <w:ilvl w:val="0"/>
          <w:numId w:val="0"/>
        </w:numPr>
        <w:ind w:left="0" w:hanging="0"/>
        <w:rPr/>
      </w:pPr>
      <w:r>
        <w:rPr/>
        <w:t xml:space="preserve">3.3. </w:t>
      </w:r>
      <w:r>
        <w:rPr/>
        <w:t>审批管理</w:t>
      </w:r>
    </w:p>
    <w:p>
      <w:pPr>
        <w:pStyle w:val="Style11"/>
        <w:rPr/>
      </w:pPr>
      <w:r>
        <w:rPr/>
        <w:t>审批管理包括管理部门审批、审批条目记录管理。</w:t>
      </w:r>
    </w:p>
    <w:p>
      <w:pPr>
        <w:pStyle w:val="3"/>
        <w:numPr>
          <w:ilvl w:val="0"/>
          <w:numId w:val="0"/>
        </w:numPr>
        <w:ind w:left="0" w:hanging="0"/>
        <w:rPr/>
      </w:pPr>
      <w:r>
        <w:rPr/>
        <w:t xml:space="preserve">3.3.1. </w:t>
      </w:r>
      <w:r>
        <w:rPr/>
        <w:t>管理部门审批</w:t>
      </w:r>
    </w:p>
    <w:p>
      <w:pPr>
        <w:pStyle w:val="Style11"/>
        <w:rPr/>
      </w:pPr>
      <w:r>
        <w:rPr/>
        <w:t>管理部门审批：对特殊情况的登记的经费支出进行审批，包括对信息的通过和退回等功能；非特殊情况的登记不需要进行审核，会直接通过。</w:t>
      </w:r>
    </w:p>
    <w:p>
      <w:pPr>
        <w:pStyle w:val="3"/>
        <w:numPr>
          <w:ilvl w:val="0"/>
          <w:numId w:val="0"/>
        </w:numPr>
        <w:ind w:left="0" w:hanging="0"/>
        <w:rPr/>
      </w:pPr>
      <w:r>
        <w:rPr/>
        <w:t xml:space="preserve">3.3.2. </w:t>
      </w:r>
      <w:bookmarkStart w:id="1" w:name="_Toc449620533"/>
      <w:bookmarkEnd w:id="1"/>
      <w:r>
        <w:rPr>
          <w:rFonts w:ascii="黑体" w:hAnsi="黑体" w:eastAsia="黑体"/>
        </w:rPr>
        <w:t>审批条目记录管理</w:t>
      </w:r>
    </w:p>
    <w:p>
      <w:pPr>
        <w:pStyle w:val="Style11"/>
        <w:rPr/>
      </w:pPr>
      <w:r>
        <w:rPr/>
        <w:t>审批条目记录管理：对当前登录用户审核过的信息进行记录，可以查看自己对审核的操作记录。</w:t>
      </w:r>
    </w:p>
    <w:p>
      <w:pPr>
        <w:pStyle w:val="Style11"/>
        <w:rPr/>
      </w:pPr>
      <w:r>
        <w:rPr/>
      </w:r>
    </w:p>
    <w:p>
      <w:pPr>
        <w:pStyle w:val="2"/>
        <w:numPr>
          <w:ilvl w:val="0"/>
          <w:numId w:val="0"/>
        </w:numPr>
        <w:ind w:left="0" w:hanging="0"/>
        <w:rPr/>
      </w:pPr>
      <w:r>
        <w:rPr/>
        <w:t xml:space="preserve">3.4. </w:t>
      </w:r>
      <w:r>
        <w:rPr/>
        <w:t>统计管理</w:t>
      </w:r>
    </w:p>
    <w:p>
      <w:pPr>
        <w:pStyle w:val="Style11"/>
        <w:rPr/>
      </w:pPr>
      <w:r>
        <w:rPr/>
        <w:t>统计管理包括公车使用信息统计、公车经费支出登记统计。</w:t>
      </w:r>
    </w:p>
    <w:p>
      <w:pPr>
        <w:pStyle w:val="3"/>
        <w:numPr>
          <w:ilvl w:val="0"/>
          <w:numId w:val="0"/>
        </w:numPr>
        <w:ind w:left="0" w:hanging="0"/>
        <w:rPr/>
      </w:pPr>
      <w:r>
        <w:rPr/>
        <w:t xml:space="preserve">3.4.1. </w:t>
      </w:r>
      <w:r>
        <w:rPr/>
        <w:t>公车使用信息统计</w:t>
      </w:r>
    </w:p>
    <w:p>
      <w:pPr>
        <w:pStyle w:val="Style11"/>
        <w:rPr/>
      </w:pPr>
      <w:r>
        <w:rPr/>
        <w:t>公车使用信息统计：对公车使用登记过的信息进行统计，可以按照规定的模板进行导出统计完成的信息。</w:t>
      </w:r>
    </w:p>
    <w:p>
      <w:pPr>
        <w:pStyle w:val="3"/>
        <w:numPr>
          <w:ilvl w:val="0"/>
          <w:numId w:val="0"/>
        </w:numPr>
        <w:ind w:left="0" w:hanging="0"/>
        <w:rPr/>
      </w:pPr>
      <w:r>
        <w:rPr/>
        <w:t xml:space="preserve">3.4.2. </w:t>
      </w:r>
      <w:r>
        <w:rPr/>
        <w:t>公车经费支出信息统计</w:t>
      </w:r>
    </w:p>
    <w:p>
      <w:pPr>
        <w:pStyle w:val="Style11"/>
        <w:rPr/>
      </w:pPr>
      <w:r>
        <w:rPr/>
        <w:t>公车经费支出信息统计：对公车经费支出登记过的信息进行统计，可以按照规定的模板进行导出统计完成的信息。</w:t>
      </w:r>
    </w:p>
    <w:p>
      <w:pPr>
        <w:pStyle w:val="Style11"/>
        <w:rPr/>
      </w:pPr>
      <w:r>
        <w:rPr/>
      </w:r>
    </w:p>
    <w:p>
      <w:pPr>
        <w:pStyle w:val="2"/>
        <w:numPr>
          <w:ilvl w:val="0"/>
          <w:numId w:val="0"/>
        </w:numPr>
        <w:ind w:left="0" w:hanging="0"/>
        <w:rPr/>
      </w:pPr>
      <w:r>
        <w:rPr/>
        <w:t xml:space="preserve">3.5. </w:t>
      </w:r>
      <w:r>
        <w:rPr/>
        <w:t>操作记录</w:t>
      </w:r>
    </w:p>
    <w:p>
      <w:pPr>
        <w:pStyle w:val="Style11"/>
        <w:rPr/>
      </w:pPr>
      <w:r>
        <w:rPr/>
        <w:t>操作记录包括基础信息操作记录、公车使用登记操作记录、公车经费支出登记操作记录、审批条目操作记录。</w:t>
      </w:r>
    </w:p>
    <w:p>
      <w:pPr>
        <w:pStyle w:val="Style11"/>
        <w:rPr/>
      </w:pPr>
      <w:r>
        <w:rPr/>
        <w:t>操作记录包含的字段：操作功能名称、所做操作、操作人、操作日期。</w:t>
      </w:r>
    </w:p>
    <w:p>
      <w:pPr>
        <w:pStyle w:val="3"/>
        <w:numPr>
          <w:ilvl w:val="0"/>
          <w:numId w:val="0"/>
        </w:numPr>
        <w:ind w:left="0" w:hanging="0"/>
        <w:rPr/>
      </w:pPr>
      <w:r>
        <w:rPr/>
        <w:t xml:space="preserve">3.5.1. </w:t>
      </w:r>
      <w:r>
        <w:rPr/>
        <w:t>基础信息操作记录</w:t>
      </w:r>
    </w:p>
    <w:p>
      <w:pPr>
        <w:pStyle w:val="Style11"/>
        <w:rPr/>
      </w:pPr>
      <w:r>
        <w:rPr/>
        <w:t>基础信息操作记录：功能支持对基础信息操作过程所保存或修改的信息进行生成操作记录。</w:t>
      </w:r>
    </w:p>
    <w:p>
      <w:pPr>
        <w:pStyle w:val="3"/>
        <w:numPr>
          <w:ilvl w:val="0"/>
          <w:numId w:val="0"/>
        </w:numPr>
        <w:ind w:left="0" w:hanging="0"/>
        <w:rPr/>
      </w:pPr>
      <w:r>
        <w:rPr/>
        <w:t xml:space="preserve">3.5.2. </w:t>
      </w:r>
      <w:r>
        <w:rPr/>
        <w:t>公车使用登记操作记录</w:t>
      </w:r>
    </w:p>
    <w:p>
      <w:pPr>
        <w:pStyle w:val="Style11"/>
        <w:rPr/>
      </w:pPr>
      <w:r>
        <w:rPr/>
        <w:t>公车使用登记操作记录：功能支持对公车使用登记操作过程所保存或修改的信息进行生成操作记录。</w:t>
      </w:r>
    </w:p>
    <w:p>
      <w:pPr>
        <w:pStyle w:val="3"/>
        <w:numPr>
          <w:ilvl w:val="0"/>
          <w:numId w:val="0"/>
        </w:numPr>
        <w:ind w:left="0" w:hanging="0"/>
        <w:rPr/>
      </w:pPr>
      <w:r>
        <w:rPr/>
        <w:t xml:space="preserve">3.5.3. </w:t>
      </w:r>
      <w:r>
        <w:rPr/>
        <w:t>公车经费支出登记操作记录</w:t>
      </w:r>
    </w:p>
    <w:p>
      <w:pPr>
        <w:pStyle w:val="Style11"/>
        <w:rPr/>
      </w:pPr>
      <w:r>
        <w:rPr/>
        <w:t>公车经费支出操作记录：功能支持对公车经费支出登记操作过程所保存或修改的信息进行生成操作记录。</w:t>
      </w:r>
    </w:p>
    <w:p>
      <w:pPr>
        <w:pStyle w:val="3"/>
        <w:numPr>
          <w:ilvl w:val="0"/>
          <w:numId w:val="0"/>
        </w:numPr>
        <w:ind w:left="0" w:hanging="0"/>
        <w:rPr/>
      </w:pPr>
      <w:r>
        <w:rPr/>
        <w:t xml:space="preserve">3.5.4. </w:t>
      </w:r>
      <w:r>
        <w:rPr/>
        <w:t>审批操作记录</w:t>
      </w:r>
    </w:p>
    <w:p>
      <w:pPr>
        <w:pStyle w:val="Style11"/>
        <w:rPr/>
      </w:pPr>
      <w:r>
        <w:rPr/>
        <w:t>审批操作记录：功能支持对审批操作过程所审核的信息操作进行生成操作记录。</w:t>
      </w:r>
      <w:r>
        <w:br w:type="page"/>
      </w:r>
    </w:p>
    <w:p>
      <w:pPr>
        <w:pStyle w:val="1"/>
        <w:numPr>
          <w:ilvl w:val="0"/>
          <w:numId w:val="0"/>
        </w:numPr>
        <w:ind w:left="0" w:hanging="0"/>
        <w:rPr/>
      </w:pPr>
      <w:r>
        <w:rPr/>
        <w:t xml:space="preserve">4. </w:t>
      </w:r>
      <w:r>
        <w:rPr/>
        <w:t>系统部署要求</w:t>
      </w:r>
    </w:p>
    <w:p>
      <w:pPr>
        <w:pStyle w:val="2"/>
        <w:numPr>
          <w:ilvl w:val="0"/>
          <w:numId w:val="0"/>
        </w:numPr>
        <w:ind w:left="0" w:hanging="0"/>
        <w:rPr/>
      </w:pPr>
      <w:r>
        <w:rPr/>
        <w:t xml:space="preserve">4.1. </w:t>
      </w:r>
      <w:r>
        <w:rPr/>
        <w:t>部署地址要求</w:t>
      </w:r>
    </w:p>
    <w:p>
      <w:pPr>
        <w:pStyle w:val="Style11"/>
        <w:rPr/>
      </w:pPr>
      <w:r>
        <w:rPr/>
        <w:t>系统部署在校园网环境中，限制外部网络的访问；对于内网用户进行强制身份认证，登陆系统后才可以操作各项功能。</w:t>
      </w:r>
    </w:p>
    <w:p>
      <w:pPr>
        <w:pStyle w:val="2"/>
        <w:numPr>
          <w:ilvl w:val="0"/>
          <w:numId w:val="0"/>
        </w:numPr>
        <w:ind w:left="0" w:hanging="0"/>
        <w:rPr/>
      </w:pPr>
      <w:r>
        <w:rPr/>
        <w:t xml:space="preserve">4.2. </w:t>
      </w:r>
      <w:r>
        <w:rPr/>
        <w:t>环境资源需求</w:t>
      </w:r>
    </w:p>
    <w:p>
      <w:pPr>
        <w:pStyle w:val="Style11"/>
        <w:rPr/>
      </w:pPr>
      <w:r>
        <w:rPr/>
        <w:t>服务器硬件运行环境如下：</w:t>
      </w:r>
    </w:p>
    <w:p>
      <w:pPr>
        <w:pStyle w:val="Style11"/>
        <w:numPr>
          <w:ilvl w:val="0"/>
          <w:numId w:val="3"/>
        </w:numPr>
        <w:rPr/>
      </w:pPr>
      <w:r>
        <w:rPr/>
        <w:t>Intel Pentium 4 2.4GHz</w:t>
      </w:r>
      <w:r>
        <w:rPr/>
        <w:t>或更高档次的</w:t>
      </w:r>
      <w:r>
        <w:rPr/>
        <w:t>CPU</w:t>
      </w:r>
      <w:r>
        <w:rPr/>
        <w:t>；</w:t>
      </w:r>
    </w:p>
    <w:p>
      <w:pPr>
        <w:pStyle w:val="Style11"/>
        <w:numPr>
          <w:ilvl w:val="0"/>
          <w:numId w:val="3"/>
        </w:numPr>
        <w:rPr/>
      </w:pPr>
      <w:r>
        <w:rPr/>
        <w:t xml:space="preserve">1G </w:t>
      </w:r>
      <w:r>
        <w:rPr/>
        <w:t>或更多内存；</w:t>
      </w:r>
    </w:p>
    <w:p>
      <w:pPr>
        <w:pStyle w:val="Style11"/>
        <w:numPr>
          <w:ilvl w:val="0"/>
          <w:numId w:val="3"/>
        </w:numPr>
        <w:rPr/>
      </w:pPr>
      <w:r>
        <w:rPr/>
        <w:t xml:space="preserve">10G </w:t>
      </w:r>
      <w:r>
        <w:rPr/>
        <w:t>以上硬盘空间；</w:t>
      </w:r>
    </w:p>
    <w:p>
      <w:pPr>
        <w:pStyle w:val="Style11"/>
        <w:numPr>
          <w:ilvl w:val="0"/>
          <w:numId w:val="3"/>
        </w:numPr>
        <w:rPr/>
      </w:pPr>
      <w:r>
        <w:rPr/>
        <w:t xml:space="preserve">网络环境为 </w:t>
      </w:r>
      <w:r>
        <w:rPr/>
        <w:t xml:space="preserve">TCP/IP </w:t>
      </w:r>
      <w:r>
        <w:rPr/>
        <w:t>协议局域网；</w:t>
      </w:r>
    </w:p>
    <w:p>
      <w:pPr>
        <w:pStyle w:val="Style11"/>
        <w:rPr/>
      </w:pPr>
      <w:r>
        <w:rPr/>
      </w:r>
    </w:p>
    <w:p>
      <w:pPr>
        <w:pStyle w:val="Style11"/>
        <w:rPr/>
      </w:pPr>
      <w:r>
        <w:rPr/>
        <w:t>数据库服务器的软件运行环境如下：</w:t>
      </w:r>
    </w:p>
    <w:p>
      <w:pPr>
        <w:pStyle w:val="Style11"/>
        <w:numPr>
          <w:ilvl w:val="0"/>
          <w:numId w:val="5"/>
        </w:numPr>
        <w:rPr/>
      </w:pPr>
      <w:r>
        <w:rPr/>
        <w:t xml:space="preserve">操作系统 </w:t>
      </w:r>
      <w:r>
        <w:rPr/>
        <w:t xml:space="preserve">Windows Server 2003 </w:t>
      </w:r>
      <w:r>
        <w:rPr/>
        <w:t>以上；</w:t>
      </w:r>
    </w:p>
    <w:p>
      <w:pPr>
        <w:pStyle w:val="Style11"/>
        <w:numPr>
          <w:ilvl w:val="0"/>
          <w:numId w:val="5"/>
        </w:numPr>
        <w:rPr/>
      </w:pPr>
      <w:r>
        <w:rPr/>
        <w:t xml:space="preserve">数据库管理系统 </w:t>
      </w:r>
      <w:r>
        <w:rPr/>
        <w:t xml:space="preserve">Oracle 11g </w:t>
      </w:r>
      <w:r>
        <w:rPr/>
        <w:t>以上；</w:t>
      </w:r>
    </w:p>
    <w:p>
      <w:pPr>
        <w:pStyle w:val="Style11"/>
        <w:rPr/>
      </w:pPr>
      <w:r>
        <w:rPr/>
      </w:r>
    </w:p>
    <w:p>
      <w:pPr>
        <w:pStyle w:val="Style11"/>
        <w:rPr/>
      </w:pPr>
      <w:r>
        <w:rPr/>
        <w:t>应用服务器的软件运行环境如下：</w:t>
      </w:r>
    </w:p>
    <w:p>
      <w:pPr>
        <w:pStyle w:val="Style11"/>
        <w:numPr>
          <w:ilvl w:val="0"/>
          <w:numId w:val="4"/>
        </w:numPr>
        <w:rPr/>
      </w:pPr>
      <w:r>
        <w:rPr/>
        <w:t xml:space="preserve">操作系统 </w:t>
      </w:r>
      <w:r>
        <w:rPr/>
        <w:t xml:space="preserve">Windows Server 2003 </w:t>
      </w:r>
      <w:r>
        <w:rPr/>
        <w:t>以上；</w:t>
      </w:r>
    </w:p>
    <w:p>
      <w:pPr>
        <w:pStyle w:val="Style11"/>
        <w:numPr>
          <w:ilvl w:val="0"/>
          <w:numId w:val="4"/>
        </w:numPr>
        <w:rPr/>
      </w:pPr>
      <w:r>
        <w:rPr/>
        <w:t xml:space="preserve">Tomcat 6.0 </w:t>
      </w:r>
      <w:r>
        <w:rPr/>
        <w:t>以上；</w:t>
      </w:r>
    </w:p>
    <w:p>
      <w:pPr>
        <w:pStyle w:val="2"/>
        <w:numPr>
          <w:ilvl w:val="0"/>
          <w:numId w:val="0"/>
        </w:numPr>
        <w:ind w:left="0" w:hanging="0"/>
        <w:rPr/>
      </w:pPr>
      <w:r>
        <w:rPr/>
        <w:t xml:space="preserve">4.3. </w:t>
      </w:r>
      <w:r>
        <w:rPr/>
        <w:t>人机界面要求</w:t>
      </w:r>
    </w:p>
    <w:p>
      <w:pPr>
        <w:pStyle w:val="Style11"/>
        <w:rPr/>
      </w:pPr>
      <w:r>
        <w:rPr/>
        <w:t>高校实验室安全管理信息平台系统由</w:t>
      </w:r>
      <w:r>
        <w:rPr/>
        <w:t>B/S</w:t>
      </w:r>
      <w:r>
        <w:rPr/>
        <w:t>模式构建，通过浏览器实现用户工作界面。软件实现时需注重人机界面的友好性，应提供直观便捷、易于理解、易于操作的人机界面。</w:t>
      </w:r>
    </w:p>
    <w:p>
      <w:pPr>
        <w:pStyle w:val="2"/>
        <w:numPr>
          <w:ilvl w:val="0"/>
          <w:numId w:val="0"/>
        </w:numPr>
        <w:ind w:left="0" w:hanging="0"/>
        <w:rPr/>
      </w:pPr>
      <w:r>
        <w:rPr/>
        <w:t xml:space="preserve">4.4. </w:t>
      </w:r>
      <w:r>
        <w:rPr/>
        <w:t>性能需求</w:t>
      </w:r>
    </w:p>
    <w:p>
      <w:pPr>
        <w:pStyle w:val="Style11"/>
        <w:rPr/>
      </w:pPr>
      <w:r>
        <w:rPr/>
        <w:t>系统部署于校园网内部，访问用户量较小，要求支持</w:t>
      </w:r>
      <w:r>
        <w:rPr/>
        <w:t>100</w:t>
      </w:r>
      <w:r>
        <w:rPr/>
        <w:t>用户并发访问，支持</w:t>
      </w:r>
      <w:r>
        <w:rPr/>
        <w:t>2000</w:t>
      </w:r>
      <w:r>
        <w:rPr/>
        <w:t>用户同时在线。</w:t>
      </w:r>
      <w:r>
        <w:br w:type="page"/>
      </w:r>
    </w:p>
    <w:p>
      <w:pPr>
        <w:pStyle w:val="1"/>
        <w:numPr>
          <w:ilvl w:val="0"/>
          <w:numId w:val="0"/>
        </w:numPr>
        <w:ind w:left="0" w:hanging="0"/>
        <w:rPr/>
      </w:pPr>
      <w:r>
        <w:rPr/>
        <w:t xml:space="preserve">5. </w:t>
      </w:r>
      <w:r>
        <w:rPr/>
        <w:t>备注说明</w:t>
      </w:r>
    </w:p>
    <w:p>
      <w:pPr>
        <w:pStyle w:val="2"/>
        <w:numPr>
          <w:ilvl w:val="0"/>
          <w:numId w:val="0"/>
        </w:numPr>
        <w:ind w:left="0" w:hanging="0"/>
        <w:rPr/>
      </w:pPr>
      <w:r>
        <w:rPr/>
        <w:t xml:space="preserve">5.1. </w:t>
      </w:r>
      <w:r>
        <w:rPr/>
        <w:t>费用类型包括</w:t>
      </w:r>
    </w:p>
    <w:p>
      <w:pPr>
        <w:pStyle w:val="Style11"/>
        <w:rPr/>
      </w:pPr>
      <w:r>
        <w:rPr/>
        <w:t>燃油费（汽油）、燃料费（柴油）、保险费、维修保养费、过路（桥）费、停车费、车船税、检测费（年检）、其它费用（如洗车、违章罚款等）；</w:t>
      </w:r>
    </w:p>
    <w:p>
      <w:pPr>
        <w:pStyle w:val="2"/>
        <w:numPr>
          <w:ilvl w:val="0"/>
          <w:numId w:val="0"/>
        </w:numPr>
        <w:ind w:left="0" w:hanging="0"/>
        <w:rPr/>
      </w:pPr>
      <w:r>
        <w:rPr/>
        <w:t xml:space="preserve">5.2. </w:t>
      </w:r>
      <w:r>
        <w:rPr/>
        <w:t>三种费用</w:t>
      </w:r>
    </w:p>
    <w:p>
      <w:pPr>
        <w:pStyle w:val="Style11"/>
        <w:rPr/>
      </w:pPr>
      <w:r>
        <w:rPr/>
        <w:t>燃料费、保险费、维修保养费需要必填厂商。</w:t>
      </w:r>
    </w:p>
    <w:p>
      <w:pPr>
        <w:pStyle w:val="2"/>
        <w:numPr>
          <w:ilvl w:val="0"/>
          <w:numId w:val="0"/>
        </w:numPr>
        <w:ind w:left="0" w:hanging="0"/>
        <w:rPr/>
      </w:pPr>
      <w:r>
        <w:rPr/>
        <w:t xml:space="preserve">5.3. </w:t>
      </w:r>
      <w:r>
        <w:rPr/>
        <w:t>统计的格式</w:t>
      </w:r>
    </w:p>
    <w:tbl>
      <w:tblPr>
        <w:tblW w:w="9220"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3400"/>
        <w:gridCol w:w="1560"/>
        <w:gridCol w:w="1080"/>
        <w:gridCol w:w="1459"/>
        <w:gridCol w:w="1721"/>
      </w:tblGrid>
      <w:tr>
        <w:trPr>
          <w:trHeight w:val="810" w:hRule="atLeast"/>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2"/>
                <w:szCs w:val="22"/>
              </w:rPr>
              <w:t>统计格式</w:t>
            </w:r>
          </w:p>
        </w:tc>
        <w:tc>
          <w:tcPr>
            <w:tcW w:w="156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燃料费</w:t>
            </w:r>
          </w:p>
        </w:tc>
        <w:tc>
          <w:tcPr>
            <w:tcW w:w="108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保险费</w:t>
            </w:r>
          </w:p>
        </w:tc>
        <w:tc>
          <w:tcPr>
            <w:tcW w:w="145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w:t>
            </w:r>
            <w:r>
              <w:rPr>
                <w:rFonts w:cs="宋体" w:ascii="宋体" w:hAnsi="宋体"/>
                <w:color w:val="000000"/>
                <w:sz w:val="22"/>
                <w:szCs w:val="22"/>
              </w:rPr>
              <w:t>.</w:t>
            </w:r>
          </w:p>
        </w:tc>
        <w:tc>
          <w:tcPr>
            <w:tcW w:w="172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汇总</w:t>
            </w:r>
          </w:p>
        </w:tc>
      </w:tr>
      <w:tr>
        <w:trPr>
          <w:trHeight w:val="300" w:hRule="atLeast"/>
        </w:trPr>
        <w:tc>
          <w:tcPr>
            <w:tcW w:w="340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2"/>
                <w:szCs w:val="22"/>
              </w:rPr>
              <w:t>车号</w:t>
            </w:r>
            <w:r>
              <w:rPr>
                <w:rFonts w:cs="宋体" w:ascii="宋体" w:hAnsi="宋体"/>
                <w:color w:val="000000"/>
                <w:sz w:val="22"/>
                <w:szCs w:val="22"/>
              </w:rPr>
              <w:t>A</w:t>
            </w:r>
          </w:p>
        </w:tc>
        <w:tc>
          <w:tcPr>
            <w:tcW w:w="1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4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72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r>
      <w:tr>
        <w:trPr>
          <w:trHeight w:val="270" w:hRule="atLeast"/>
        </w:trPr>
        <w:tc>
          <w:tcPr>
            <w:tcW w:w="340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2"/>
                <w:szCs w:val="22"/>
              </w:rPr>
              <w:t>车号</w:t>
            </w:r>
            <w:r>
              <w:rPr>
                <w:rFonts w:cs="宋体" w:ascii="宋体" w:hAnsi="宋体"/>
                <w:color w:val="000000"/>
                <w:sz w:val="22"/>
                <w:szCs w:val="22"/>
              </w:rPr>
              <w:t>B</w:t>
            </w:r>
          </w:p>
        </w:tc>
        <w:tc>
          <w:tcPr>
            <w:tcW w:w="1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4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72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r>
      <w:tr>
        <w:trPr>
          <w:trHeight w:val="270" w:hRule="atLeast"/>
        </w:trPr>
        <w:tc>
          <w:tcPr>
            <w:tcW w:w="340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2"/>
                <w:szCs w:val="22"/>
              </w:rPr>
              <w:t>…</w:t>
            </w:r>
          </w:p>
        </w:tc>
        <w:tc>
          <w:tcPr>
            <w:tcW w:w="1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4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72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r>
      <w:tr>
        <w:trPr>
          <w:trHeight w:val="270" w:hRule="atLeast"/>
        </w:trPr>
        <w:tc>
          <w:tcPr>
            <w:tcW w:w="340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right"/>
              <w:textAlignment w:val="auto"/>
              <w:rPr/>
            </w:pPr>
            <w:r>
              <w:rPr>
                <w:rFonts w:ascii="宋体" w:hAnsi="宋体" w:cs="宋体"/>
                <w:color w:val="000000"/>
                <w:sz w:val="22"/>
                <w:szCs w:val="22"/>
              </w:rPr>
              <w:t>汇总</w:t>
            </w:r>
          </w:p>
        </w:tc>
        <w:tc>
          <w:tcPr>
            <w:tcW w:w="1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4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c>
          <w:tcPr>
            <w:tcW w:w="172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2"/>
                <w:szCs w:val="22"/>
              </w:rPr>
              <w:t>　</w:t>
            </w:r>
          </w:p>
        </w:tc>
      </w:tr>
    </w:tbl>
    <w:p>
      <w:pPr>
        <w:pStyle w:val="Style11"/>
        <w:rPr/>
      </w:pPr>
      <w:r>
        <w:rPr/>
      </w:r>
    </w:p>
    <w:p>
      <w:pPr>
        <w:pStyle w:val="2"/>
        <w:numPr>
          <w:ilvl w:val="0"/>
          <w:numId w:val="0"/>
        </w:numPr>
        <w:ind w:left="0" w:hanging="0"/>
        <w:rPr/>
      </w:pPr>
      <w:r>
        <w:rPr/>
        <w:t xml:space="preserve">5.4. </w:t>
      </w:r>
      <w:r>
        <w:rPr/>
        <w:t>定点厂商的信息</w:t>
      </w:r>
    </w:p>
    <w:p>
      <w:pPr>
        <w:pStyle w:val="3"/>
        <w:numPr>
          <w:ilvl w:val="0"/>
          <w:numId w:val="0"/>
        </w:numPr>
        <w:ind w:left="0" w:hanging="0"/>
        <w:rPr/>
      </w:pPr>
      <w:r>
        <w:rPr/>
        <w:t xml:space="preserve">5.4.1. </w:t>
      </w:r>
      <w:r>
        <w:rPr/>
        <w:t>定点加油</w:t>
      </w:r>
    </w:p>
    <w:p>
      <w:pPr>
        <w:pStyle w:val="Style11"/>
        <w:rPr/>
      </w:pPr>
      <w:r>
        <w:rPr/>
        <w:t>中石化。</w:t>
      </w:r>
    </w:p>
    <w:p>
      <w:pPr>
        <w:pStyle w:val="3"/>
        <w:numPr>
          <w:ilvl w:val="0"/>
          <w:numId w:val="0"/>
        </w:numPr>
        <w:ind w:left="0" w:hanging="0"/>
        <w:rPr/>
      </w:pPr>
      <w:r>
        <w:rPr/>
        <w:t xml:space="preserve">5.4.2. </w:t>
      </w:r>
      <w:r>
        <w:rPr/>
        <w:t>定点保险公司</w:t>
      </w:r>
    </w:p>
    <w:p>
      <w:pPr>
        <w:pStyle w:val="Style11"/>
        <w:rPr/>
      </w:pPr>
      <w:r>
        <w:rPr/>
        <w:t>中国人民财产保险股份有限公司、中国太平洋财产保险股份有限公司、华泰财产保险股份有限公司、中国平安财产保险股份有限公司、中国大地财产保险股份有限公司、中国人寿财产保险股份有限公司、阳光财产保险股份有限公司、安邦财产保险股份有限公司。</w:t>
      </w:r>
    </w:p>
    <w:p>
      <w:pPr>
        <w:pStyle w:val="3"/>
        <w:numPr>
          <w:ilvl w:val="0"/>
          <w:numId w:val="0"/>
        </w:numPr>
        <w:ind w:left="0" w:hanging="0"/>
        <w:rPr/>
      </w:pPr>
      <w:r>
        <w:rPr/>
        <w:t xml:space="preserve">5.4.3. </w:t>
      </w:r>
      <w:r>
        <w:rPr/>
        <w:t>定点维修厂商</w:t>
      </w:r>
    </w:p>
    <w:p>
      <w:pPr>
        <w:pStyle w:val="Style11"/>
        <w:rPr/>
      </w:pPr>
      <w:r>
        <w:rPr/>
        <w:t>一汽奥迪系列、一汽大众系列、上海大众系列、上海通用系列、一汽轿车系列、荣威汽车系列、东风日产系列、一汽丰田系列、广汽本田系列、广州丰田系列、北京现代系列、大客车系列、越野车系列、综合修理一类、综合修理二类。</w:t>
      </w:r>
    </w:p>
    <w:p>
      <w:pPr>
        <w:pStyle w:val="Style11"/>
        <w:rPr/>
      </w:pPr>
      <w:r>
        <w:rPr/>
      </w:r>
    </w:p>
    <w:p>
      <w:pPr>
        <w:pStyle w:val="2"/>
        <w:numPr>
          <w:ilvl w:val="0"/>
          <w:numId w:val="0"/>
        </w:numPr>
        <w:ind w:left="0" w:hanging="0"/>
        <w:rPr/>
      </w:pPr>
      <w:r>
        <w:rPr/>
        <w:t xml:space="preserve">5.5. </w:t>
      </w:r>
      <w:r>
        <w:rPr/>
        <w:t>经费支出单据</w:t>
      </w:r>
    </w:p>
    <w:tbl>
      <w:tblPr>
        <w:tblW w:w="10660" w:type="dxa"/>
        <w:jc w:val="left"/>
        <w:tblInd w:w="93" w:type="dxa"/>
        <w:tblBorders/>
        <w:tblCellMar>
          <w:top w:w="0" w:type="dxa"/>
          <w:left w:w="108" w:type="dxa"/>
          <w:bottom w:w="0" w:type="dxa"/>
          <w:right w:w="108" w:type="dxa"/>
        </w:tblCellMar>
        <w:tblLook w:firstRow="1" w:noVBand="1" w:lastRow="0" w:firstColumn="1" w:lastColumn="0" w:noHBand="0" w:val="04a0"/>
      </w:tblPr>
      <w:tblGrid>
        <w:gridCol w:w="1591"/>
        <w:gridCol w:w="1597"/>
        <w:gridCol w:w="1"/>
        <w:gridCol w:w="1975"/>
        <w:gridCol w:w="1"/>
        <w:gridCol w:w="3132"/>
        <w:gridCol w:w="1"/>
        <w:gridCol w:w="2362"/>
      </w:tblGrid>
      <w:tr>
        <w:trPr>
          <w:trHeight w:val="630" w:hRule="atLeast"/>
        </w:trPr>
        <w:tc>
          <w:tcPr>
            <w:tcW w:w="10660" w:type="dxa"/>
            <w:gridSpan w:val="8"/>
            <w:tcBorders/>
            <w:shd w:color="auto" w:fill="auto" w:val="clear"/>
            <w:vAlign w:val="center"/>
          </w:tcPr>
          <w:p>
            <w:pPr>
              <w:pStyle w:val="Normal"/>
              <w:snapToGrid w:val="true"/>
              <w:spacing w:lineRule="auto" w:line="240"/>
              <w:jc w:val="center"/>
              <w:textAlignment w:val="auto"/>
              <w:rPr/>
            </w:pPr>
            <w:r>
              <w:rPr>
                <w:rFonts w:ascii="宋体" w:hAnsi="宋体" w:cs="宋体"/>
                <w:b/>
                <w:bCs/>
                <w:color w:val="000000"/>
                <w:sz w:val="32"/>
                <w:szCs w:val="32"/>
              </w:rPr>
              <w:t>北京理工大学公车日常运行经费支出单</w:t>
            </w:r>
          </w:p>
        </w:tc>
      </w:tr>
      <w:tr>
        <w:trPr>
          <w:trHeight w:val="570" w:hRule="atLeast"/>
        </w:trPr>
        <w:tc>
          <w:tcPr>
            <w:tcW w:w="1591" w:type="dxa"/>
            <w:tcBorders/>
            <w:shd w:color="auto" w:fill="auto" w:val="clear"/>
            <w:vAlign w:val="center"/>
          </w:tcPr>
          <w:p>
            <w:pPr>
              <w:pStyle w:val="Normal"/>
              <w:snapToGrid w:val="true"/>
              <w:spacing w:lineRule="auto" w:line="240"/>
              <w:jc w:val="left"/>
              <w:textAlignment w:val="auto"/>
              <w:rPr/>
            </w:pPr>
            <w:r>
              <w:rPr>
                <w:rFonts w:ascii="宋体" w:hAnsi="宋体" w:cs="宋体"/>
                <w:color w:val="000000"/>
                <w:sz w:val="24"/>
                <w:szCs w:val="24"/>
              </w:rPr>
              <w:t>车牌号：</w:t>
            </w:r>
          </w:p>
        </w:tc>
        <w:tc>
          <w:tcPr>
            <w:tcW w:w="1597" w:type="dxa"/>
            <w:tcBorders/>
            <w:shd w:color="auto" w:fill="auto" w:val="clear"/>
            <w:vAlign w:val="center"/>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976" w:type="dxa"/>
            <w:gridSpan w:val="2"/>
            <w:tcBorders/>
            <w:shd w:color="auto" w:fill="auto" w:val="clear"/>
            <w:vAlign w:val="center"/>
          </w:tcPr>
          <w:p>
            <w:pPr>
              <w:pStyle w:val="Normal"/>
              <w:snapToGrid w:val="true"/>
              <w:spacing w:lineRule="auto" w:line="240"/>
              <w:jc w:val="left"/>
              <w:textAlignment w:val="auto"/>
              <w:rPr/>
            </w:pPr>
            <w:r>
              <w:rPr>
                <w:rFonts w:ascii="宋体" w:hAnsi="宋体" w:cs="宋体"/>
                <w:color w:val="000000"/>
                <w:sz w:val="24"/>
                <w:szCs w:val="24"/>
              </w:rPr>
              <w:t>单位名称：</w:t>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435" w:hRule="atLeast"/>
        </w:trPr>
        <w:tc>
          <w:tcPr>
            <w:tcW w:w="1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编号</w:t>
            </w:r>
          </w:p>
        </w:tc>
        <w:tc>
          <w:tcPr>
            <w:tcW w:w="159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支出类型</w:t>
            </w:r>
          </w:p>
        </w:tc>
        <w:tc>
          <w:tcPr>
            <w:tcW w:w="1976"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金额</w:t>
            </w:r>
          </w:p>
        </w:tc>
        <w:tc>
          <w:tcPr>
            <w:tcW w:w="313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定点厂商</w:t>
            </w:r>
          </w:p>
        </w:tc>
        <w:tc>
          <w:tcPr>
            <w:tcW w:w="236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发票号</w:t>
            </w:r>
          </w:p>
        </w:tc>
      </w:tr>
      <w:tr>
        <w:trPr>
          <w:trHeight w:val="435"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435"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435"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435"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435"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435"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435"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合计</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85" w:hRule="atLeast"/>
        </w:trPr>
        <w:tc>
          <w:tcPr>
            <w:tcW w:w="3189" w:type="dxa"/>
            <w:gridSpan w:val="3"/>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公车负责人签字：</w:t>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3133" w:type="dxa"/>
            <w:gridSpan w:val="2"/>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公车领用人签字：</w:t>
            </w:r>
          </w:p>
        </w:tc>
        <w:tc>
          <w:tcPr>
            <w:tcW w:w="2362" w:type="dx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经手人签字：</w:t>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85" w:hRule="atLeast"/>
        </w:trPr>
        <w:tc>
          <w:tcPr>
            <w:tcW w:w="1591" w:type="dxa"/>
            <w:tcBorders/>
            <w:shd w:color="auto" w:fill="auto" w:val="clear"/>
            <w:vAlign w:val="bottom"/>
          </w:tcPr>
          <w:p>
            <w:pPr>
              <w:pStyle w:val="Normal"/>
              <w:snapToGrid w:val="true"/>
              <w:spacing w:lineRule="auto" w:line="240"/>
              <w:jc w:val="left"/>
              <w:textAlignment w:val="auto"/>
              <w:rPr/>
            </w:pPr>
            <w:r>
              <w:rPr>
                <w:rFonts w:ascii="宋体" w:hAnsi="宋体" w:cs="宋体"/>
                <w:b/>
                <w:bCs/>
                <w:color w:val="000000"/>
                <w:sz w:val="24"/>
                <w:szCs w:val="24"/>
              </w:rPr>
              <w:t>第一联</w:t>
            </w:r>
          </w:p>
        </w:tc>
        <w:tc>
          <w:tcPr>
            <w:tcW w:w="1597" w:type="dxa"/>
            <w:tcBorders/>
            <w:shd w:color="auto" w:fill="auto" w:val="clear"/>
            <w:vAlign w:val="bottom"/>
          </w:tcPr>
          <w:p>
            <w:pPr>
              <w:pStyle w:val="Normal"/>
              <w:snapToGrid w:val="true"/>
              <w:spacing w:lineRule="auto" w:line="240"/>
              <w:jc w:val="left"/>
              <w:textAlignment w:val="auto"/>
              <w:rPr/>
            </w:pPr>
            <w:r>
              <w:rPr>
                <w:rFonts w:ascii="宋体" w:hAnsi="宋体" w:cs="宋体"/>
                <w:b/>
                <w:bCs/>
                <w:color w:val="000000"/>
                <w:sz w:val="24"/>
                <w:szCs w:val="24"/>
              </w:rPr>
              <w:t>财务部门</w:t>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b/>
                <w:b/>
                <w:bCs/>
                <w:color w:val="000000"/>
                <w:sz w:val="24"/>
                <w:szCs w:val="24"/>
              </w:rPr>
            </w:pPr>
            <w:r>
              <w:rPr>
                <w:rFonts w:cs="宋体" w:ascii="宋体" w:hAnsi="宋体"/>
                <w:b/>
                <w:bCs/>
                <w:color w:val="000000"/>
                <w:sz w:val="24"/>
                <w:szCs w:val="24"/>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b/>
                <w:b/>
                <w:bCs/>
                <w:color w:val="000000"/>
                <w:sz w:val="24"/>
                <w:szCs w:val="24"/>
              </w:rPr>
            </w:pPr>
            <w:r>
              <w:rPr>
                <w:rFonts w:cs="宋体" w:ascii="宋体" w:hAnsi="宋体"/>
                <w:b/>
                <w:bCs/>
                <w:color w:val="000000"/>
                <w:sz w:val="24"/>
                <w:szCs w:val="24"/>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b/>
                <w:b/>
                <w:bCs/>
                <w:color w:val="000000"/>
                <w:sz w:val="24"/>
                <w:szCs w:val="24"/>
              </w:rPr>
            </w:pPr>
            <w:r>
              <w:rPr>
                <w:rFonts w:cs="宋体" w:ascii="宋体" w:hAnsi="宋体"/>
                <w:b/>
                <w:bCs/>
                <w:color w:val="000000"/>
                <w:sz w:val="24"/>
                <w:szCs w:val="24"/>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b/>
                <w:b/>
                <w:bCs/>
                <w:color w:val="000000"/>
                <w:sz w:val="24"/>
                <w:szCs w:val="24"/>
              </w:rPr>
            </w:pPr>
            <w:r>
              <w:rPr>
                <w:rFonts w:cs="宋体" w:ascii="宋体" w:hAnsi="宋体"/>
                <w:b/>
                <w:bCs/>
                <w:color w:val="000000"/>
                <w:sz w:val="24"/>
                <w:szCs w:val="24"/>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b/>
                <w:b/>
                <w:bCs/>
                <w:color w:val="000000"/>
                <w:sz w:val="24"/>
                <w:szCs w:val="24"/>
              </w:rPr>
            </w:pPr>
            <w:r>
              <w:rPr>
                <w:rFonts w:cs="宋体" w:ascii="宋体" w:hAnsi="宋体"/>
                <w:b/>
                <w:bCs/>
                <w:color w:val="000000"/>
                <w:sz w:val="24"/>
                <w:szCs w:val="24"/>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b/>
                <w:b/>
                <w:bCs/>
                <w:color w:val="000000"/>
                <w:sz w:val="24"/>
                <w:szCs w:val="24"/>
              </w:rPr>
            </w:pPr>
            <w:r>
              <w:rPr>
                <w:rFonts w:cs="宋体" w:ascii="宋体" w:hAnsi="宋体"/>
                <w:b/>
                <w:bCs/>
                <w:color w:val="000000"/>
                <w:sz w:val="24"/>
                <w:szCs w:val="24"/>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b/>
                <w:b/>
                <w:bCs/>
                <w:color w:val="000000"/>
                <w:sz w:val="24"/>
                <w:szCs w:val="24"/>
              </w:rPr>
            </w:pPr>
            <w:r>
              <w:rPr>
                <w:rFonts w:cs="宋体" w:ascii="宋体" w:hAnsi="宋体"/>
                <w:b/>
                <w:bCs/>
                <w:color w:val="000000"/>
                <w:sz w:val="24"/>
                <w:szCs w:val="24"/>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b/>
                <w:b/>
                <w:bCs/>
                <w:color w:val="000000"/>
                <w:sz w:val="24"/>
                <w:szCs w:val="24"/>
              </w:rPr>
            </w:pPr>
            <w:r>
              <w:rPr>
                <w:rFonts w:cs="宋体" w:ascii="宋体" w:hAnsi="宋体"/>
                <w:b/>
                <w:bCs/>
                <w:color w:val="000000"/>
                <w:sz w:val="24"/>
                <w:szCs w:val="24"/>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r>
      <w:tr>
        <w:trPr>
          <w:trHeight w:val="705" w:hRule="atLeast"/>
        </w:trPr>
        <w:tc>
          <w:tcPr>
            <w:tcW w:w="10660" w:type="dxa"/>
            <w:gridSpan w:val="8"/>
            <w:tcBorders/>
            <w:shd w:color="auto" w:fill="auto" w:val="clear"/>
            <w:vAlign w:val="center"/>
          </w:tcPr>
          <w:p>
            <w:pPr>
              <w:pStyle w:val="Normal"/>
              <w:snapToGrid w:val="true"/>
              <w:spacing w:lineRule="auto" w:line="240"/>
              <w:jc w:val="center"/>
              <w:textAlignment w:val="auto"/>
              <w:rPr/>
            </w:pPr>
            <w:r>
              <w:rPr>
                <w:rFonts w:ascii="宋体" w:hAnsi="宋体" w:cs="宋体"/>
                <w:b/>
                <w:bCs/>
                <w:color w:val="000000"/>
                <w:sz w:val="32"/>
                <w:szCs w:val="32"/>
              </w:rPr>
              <w:t>北京理工大学公车日常运行经费支出单</w:t>
            </w:r>
          </w:p>
        </w:tc>
      </w:tr>
      <w:tr>
        <w:trPr>
          <w:trHeight w:val="480" w:hRule="atLeast"/>
        </w:trPr>
        <w:tc>
          <w:tcPr>
            <w:tcW w:w="1591" w:type="dxa"/>
            <w:tcBorders/>
            <w:shd w:color="auto" w:fill="auto" w:val="clear"/>
            <w:vAlign w:val="center"/>
          </w:tcPr>
          <w:p>
            <w:pPr>
              <w:pStyle w:val="Normal"/>
              <w:snapToGrid w:val="true"/>
              <w:spacing w:lineRule="auto" w:line="240"/>
              <w:jc w:val="left"/>
              <w:textAlignment w:val="auto"/>
              <w:rPr/>
            </w:pPr>
            <w:r>
              <w:rPr>
                <w:rFonts w:ascii="宋体" w:hAnsi="宋体" w:cs="宋体"/>
                <w:color w:val="000000"/>
                <w:sz w:val="24"/>
                <w:szCs w:val="24"/>
              </w:rPr>
              <w:t>车牌号：</w:t>
            </w:r>
          </w:p>
        </w:tc>
        <w:tc>
          <w:tcPr>
            <w:tcW w:w="1597" w:type="dxa"/>
            <w:tcBorders/>
            <w:shd w:color="auto" w:fill="auto" w:val="clear"/>
            <w:vAlign w:val="center"/>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976" w:type="dxa"/>
            <w:gridSpan w:val="2"/>
            <w:tcBorders/>
            <w:shd w:color="auto" w:fill="auto" w:val="clear"/>
            <w:vAlign w:val="center"/>
          </w:tcPr>
          <w:p>
            <w:pPr>
              <w:pStyle w:val="Normal"/>
              <w:snapToGrid w:val="true"/>
              <w:spacing w:lineRule="auto" w:line="240"/>
              <w:jc w:val="left"/>
              <w:textAlignment w:val="auto"/>
              <w:rPr/>
            </w:pPr>
            <w:r>
              <w:rPr>
                <w:rFonts w:ascii="宋体" w:hAnsi="宋体" w:cs="宋体"/>
                <w:color w:val="000000"/>
                <w:sz w:val="24"/>
                <w:szCs w:val="24"/>
              </w:rPr>
              <w:t>单位名称：</w:t>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480" w:hRule="atLeast"/>
        </w:trPr>
        <w:tc>
          <w:tcPr>
            <w:tcW w:w="1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编号</w:t>
            </w:r>
          </w:p>
        </w:tc>
        <w:tc>
          <w:tcPr>
            <w:tcW w:w="159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支出类型</w:t>
            </w:r>
          </w:p>
        </w:tc>
        <w:tc>
          <w:tcPr>
            <w:tcW w:w="1976"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金额</w:t>
            </w:r>
          </w:p>
        </w:tc>
        <w:tc>
          <w:tcPr>
            <w:tcW w:w="313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定点厂商</w:t>
            </w:r>
          </w:p>
        </w:tc>
        <w:tc>
          <w:tcPr>
            <w:tcW w:w="236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发票号</w:t>
            </w:r>
          </w:p>
        </w:tc>
      </w:tr>
      <w:tr>
        <w:trPr>
          <w:trHeight w:val="480"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r>
      <w:tr>
        <w:trPr>
          <w:trHeight w:val="480"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r>
      <w:tr>
        <w:trPr>
          <w:trHeight w:val="480"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r>
      <w:tr>
        <w:trPr>
          <w:trHeight w:val="480"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r>
      <w:tr>
        <w:trPr>
          <w:trHeight w:val="480"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napToGrid w:val="true"/>
              <w:spacing w:lineRule="auto" w:line="240"/>
              <w:jc w:val="center"/>
              <w:textAlignment w:val="auto"/>
              <w:rPr/>
            </w:pPr>
            <w:r>
              <w:rPr>
                <w:rFonts w:ascii="宋体" w:hAnsi="宋体" w:cs="宋体"/>
                <w:color w:val="000000"/>
                <w:sz w:val="24"/>
                <w:szCs w:val="24"/>
              </w:rPr>
              <w:t>　</w:t>
            </w:r>
          </w:p>
        </w:tc>
      </w:tr>
      <w:tr>
        <w:trPr>
          <w:trHeight w:val="480"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480" w:hRule="atLeast"/>
        </w:trPr>
        <w:tc>
          <w:tcPr>
            <w:tcW w:w="1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napToGrid w:val="true"/>
              <w:spacing w:lineRule="auto" w:line="240"/>
              <w:jc w:val="center"/>
              <w:textAlignment w:val="auto"/>
              <w:rPr/>
            </w:pPr>
            <w:r>
              <w:rPr>
                <w:rFonts w:ascii="宋体" w:hAnsi="宋体" w:cs="宋体"/>
                <w:color w:val="000000"/>
                <w:sz w:val="24"/>
                <w:szCs w:val="24"/>
              </w:rPr>
              <w:t>合计</w:t>
            </w:r>
          </w:p>
        </w:tc>
        <w:tc>
          <w:tcPr>
            <w:tcW w:w="159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1976"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313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c>
          <w:tcPr>
            <w:tcW w:w="2363" w:type="dxa"/>
            <w:gridSpan w:val="2"/>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　</w:t>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85" w:hRule="atLeast"/>
        </w:trPr>
        <w:tc>
          <w:tcPr>
            <w:tcW w:w="3189" w:type="dxa"/>
            <w:gridSpan w:val="3"/>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公车负责人签字：</w:t>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3133" w:type="dxa"/>
            <w:gridSpan w:val="2"/>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公车领用人签字：</w:t>
            </w:r>
          </w:p>
        </w:tc>
        <w:tc>
          <w:tcPr>
            <w:tcW w:w="2362" w:type="dxa"/>
            <w:tcBorders/>
            <w:shd w:color="auto" w:fill="auto" w:val="clear"/>
            <w:vAlign w:val="bottom"/>
          </w:tcPr>
          <w:p>
            <w:pPr>
              <w:pStyle w:val="Normal"/>
              <w:snapToGrid w:val="true"/>
              <w:spacing w:lineRule="auto" w:line="240"/>
              <w:jc w:val="left"/>
              <w:textAlignment w:val="auto"/>
              <w:rPr/>
            </w:pPr>
            <w:r>
              <w:rPr>
                <w:rFonts w:ascii="宋体" w:hAnsi="宋体" w:cs="宋体"/>
                <w:color w:val="000000"/>
                <w:sz w:val="24"/>
                <w:szCs w:val="24"/>
              </w:rPr>
              <w:t>经手人签字：</w:t>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3" w:hRule="exact"/>
        </w:trPr>
        <w:tc>
          <w:tcPr>
            <w:tcW w:w="1591" w:type="dxa"/>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1597" w:type="dxa"/>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4"/>
                <w:szCs w:val="24"/>
              </w:rPr>
            </w:pPr>
            <w:r>
              <w:rPr>
                <w:rFonts w:cs="宋体" w:ascii="宋体" w:hAnsi="宋体"/>
                <w:color w:val="000000"/>
                <w:sz w:val="24"/>
                <w:szCs w:val="24"/>
              </w:rPr>
            </w:r>
          </w:p>
        </w:tc>
      </w:tr>
      <w:tr>
        <w:trPr>
          <w:trHeight w:val="285" w:hRule="atLeast"/>
        </w:trPr>
        <w:tc>
          <w:tcPr>
            <w:tcW w:w="1591" w:type="dxa"/>
            <w:tcBorders/>
            <w:shd w:color="auto" w:fill="auto" w:val="clear"/>
            <w:vAlign w:val="bottom"/>
          </w:tcPr>
          <w:p>
            <w:pPr>
              <w:pStyle w:val="Normal"/>
              <w:snapToGrid w:val="true"/>
              <w:spacing w:lineRule="auto" w:line="240"/>
              <w:jc w:val="left"/>
              <w:textAlignment w:val="auto"/>
              <w:rPr/>
            </w:pPr>
            <w:r>
              <w:rPr>
                <w:rFonts w:ascii="宋体" w:hAnsi="宋体" w:cs="宋体"/>
                <w:b/>
                <w:bCs/>
                <w:color w:val="000000"/>
                <w:sz w:val="24"/>
                <w:szCs w:val="24"/>
              </w:rPr>
              <w:t xml:space="preserve">第二联 </w:t>
            </w:r>
          </w:p>
        </w:tc>
        <w:tc>
          <w:tcPr>
            <w:tcW w:w="1597" w:type="dxa"/>
            <w:tcBorders/>
            <w:shd w:color="auto" w:fill="auto" w:val="clear"/>
            <w:vAlign w:val="bottom"/>
          </w:tcPr>
          <w:p>
            <w:pPr>
              <w:pStyle w:val="Normal"/>
              <w:snapToGrid w:val="true"/>
              <w:spacing w:lineRule="auto" w:line="240"/>
              <w:jc w:val="left"/>
              <w:textAlignment w:val="auto"/>
              <w:rPr/>
            </w:pPr>
            <w:r>
              <w:rPr>
                <w:rFonts w:ascii="宋体" w:hAnsi="宋体" w:cs="宋体"/>
                <w:b/>
                <w:bCs/>
                <w:color w:val="000000"/>
                <w:sz w:val="24"/>
                <w:szCs w:val="24"/>
              </w:rPr>
              <w:t>领用部门</w:t>
            </w:r>
          </w:p>
        </w:tc>
        <w:tc>
          <w:tcPr>
            <w:tcW w:w="1976"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313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c>
          <w:tcPr>
            <w:tcW w:w="2363" w:type="dxa"/>
            <w:gridSpan w:val="2"/>
            <w:tcBorders/>
            <w:shd w:color="auto" w:fill="auto" w:val="clear"/>
            <w:vAlign w:val="bottom"/>
          </w:tcPr>
          <w:p>
            <w:pPr>
              <w:pStyle w:val="Normal"/>
              <w:snapToGrid w:val="true"/>
              <w:spacing w:lineRule="auto" w:line="240"/>
              <w:jc w:val="left"/>
              <w:textAlignment w:val="auto"/>
              <w:rPr>
                <w:rFonts w:ascii="宋体" w:hAnsi="宋体" w:cs="宋体"/>
                <w:color w:val="000000"/>
                <w:sz w:val="22"/>
                <w:szCs w:val="22"/>
              </w:rPr>
            </w:pPr>
            <w:r>
              <w:rPr>
                <w:rFonts w:cs="宋体" w:ascii="宋体" w:hAnsi="宋体"/>
                <w:color w:val="000000"/>
                <w:sz w:val="22"/>
                <w:szCs w:val="22"/>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OpenSymbol">
    <w:altName w:val="Arial Unicode MS"/>
    <w:charset w:val="02"/>
    <w:family w:val="auto"/>
    <w:pitch w:val="default"/>
  </w:font>
  <w:font w:name="Liberation Sans">
    <w:altName w:val="Arial"/>
    <w:charset w:val="86"/>
    <w:family w:val="roman"/>
    <w:pitch w:val="variable"/>
  </w:font>
  <w:font w:name="Calibri">
    <w:charset w:val="86"/>
    <w:family w:val="roman"/>
    <w:pitch w:val="variable"/>
  </w:font>
  <w:font w:name="宋体">
    <w:charset w:val="86"/>
    <w:family w:val="roman"/>
    <w:pitch w:val="variable"/>
  </w:font>
  <w:font w:name="黑体">
    <w:charset w:val="86"/>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suff w:val="nothing"/>
      <w:lvlText w:val=" %1."/>
      <w:lvlJc w:val="left"/>
      <w:pPr>
        <w:ind w:left="0" w:hanging="0"/>
      </w:pPr>
    </w:lvl>
    <w:lvl w:ilvl="1">
      <w:start w:val="1"/>
      <w:pStyle w:val="2"/>
      <w:numFmt w:val="decimal"/>
      <w:suff w:val="nothing"/>
      <w:lvlText w:val=" %1.%2."/>
      <w:lvlJc w:val="left"/>
      <w:pPr>
        <w:ind w:left="0" w:hanging="0"/>
      </w:pPr>
    </w:lvl>
    <w:lvl w:ilvl="2">
      <w:start w:val="1"/>
      <w:pStyle w:val="3"/>
      <w:numFmt w:val="decimal"/>
      <w:suff w:val="nothing"/>
      <w:lvlText w:val=" %1.%2.%3."/>
      <w:lvlJc w:val="left"/>
      <w:pPr>
        <w:ind w:left="0" w:hanging="0"/>
      </w:pPr>
    </w:lvl>
    <w:lvl w:ilvl="3">
      <w:start w:val="1"/>
      <w:numFmt w:val="decimal"/>
      <w:lvlText w:val=" %1.%2.%3.%4."/>
      <w:lvlJc w:val="left"/>
      <w:pPr>
        <w:ind w:left="0" w:hanging="0"/>
      </w:pPr>
    </w:lvl>
    <w:lvl w:ilvl="4">
      <w:start w:val="1"/>
      <w:numFmt w:val="decimal"/>
      <w:lvlText w:val=" %1.%2.%3.%4.%5."/>
      <w:lvlJc w:val="left"/>
      <w:pPr>
        <w:ind w:left="0" w:hanging="0"/>
      </w:pPr>
    </w:lvl>
    <w:lvl w:ilvl="5">
      <w:start w:val="1"/>
      <w:numFmt w:val="decimal"/>
      <w:lvlText w:val=" %1.%2.%3.%4.%5.%6."/>
      <w:lvlJc w:val="left"/>
      <w:pPr>
        <w:ind w:left="0" w:hanging="0"/>
      </w:pPr>
    </w:lvl>
    <w:lvl w:ilvl="6">
      <w:start w:val="1"/>
      <w:numFmt w:val="decimal"/>
      <w:lvlText w:val=" %1.%2.%3.%4.%5.%6.%7."/>
      <w:lvlJc w:val="left"/>
      <w:pPr>
        <w:ind w:left="0" w:hanging="0"/>
      </w:pPr>
    </w:lvl>
    <w:lvl w:ilvl="7">
      <w:start w:val="1"/>
      <w:numFmt w:val="decimal"/>
      <w:lvlText w:val=" %1.%2.%3.%4.%5.%6.%7.%8."/>
      <w:lvlJc w:val="left"/>
      <w:pPr>
        <w:ind w:left="0" w:hanging="0"/>
      </w:pPr>
    </w:lvl>
    <w:lvl w:ilvl="8">
      <w:start w:val="1"/>
      <w:numFmt w:val="decimal"/>
      <w:lvlText w:val=" %1.%2.%3.%4.%5.%6.%7.%8.%9."/>
      <w:lvlJc w:val="left"/>
      <w:pPr>
        <w:ind w:left="0" w:hanging="0"/>
      </w:pPr>
    </w:lvl>
  </w:abstractNum>
  <w:abstractNum w:abstractNumId="2">
    <w:lvl w:ilvl="0">
      <w:start w:val="1"/>
      <w:numFmt w:val="decimal"/>
      <w:suff w:val="nothing"/>
      <w:lvlText w:val=" %1 "/>
      <w:lvlJc w:val="left"/>
      <w:pPr>
        <w:ind w:left="0" w:hanging="0"/>
      </w:pPr>
    </w:lvl>
    <w:lvl w:ilvl="1">
      <w:start w:val="1"/>
      <w:numFmt w:val="decimal"/>
      <w:suff w:val="nothing"/>
      <w:lvlText w:val=" %1.%2 "/>
      <w:lvlJc w:val="left"/>
      <w:pPr>
        <w:ind w:left="0" w:hanging="0"/>
      </w:pPr>
    </w:lvl>
    <w:lvl w:ilvl="2">
      <w:start w:val="1"/>
      <w:numFmt w:val="decimal"/>
      <w:suff w:val="nothing"/>
      <w:lvlText w:val=" %1.%2.%3 "/>
      <w:lvlJc w:val="left"/>
      <w:pPr>
        <w:ind w:left="0" w:hanging="0"/>
      </w:pPr>
    </w:lvl>
    <w:lvl w:ilvl="3">
      <w:start w:val="1"/>
      <w:numFmt w:val="decimal"/>
      <w:suff w:val="nothing"/>
      <w:lvlText w:val=" %1.%2.%3.%4 "/>
      <w:lvlJc w:val="left"/>
      <w:pPr>
        <w:ind w:left="0" w:hanging="0"/>
      </w:pPr>
    </w:lvl>
    <w:lvl w:ilvl="4">
      <w:start w:val="1"/>
      <w:numFmt w:val="decimal"/>
      <w:suff w:val="nothing"/>
      <w:lvlText w:val=" %1.%2.%3.%4.%5 "/>
      <w:lvlJc w:val="left"/>
      <w:pPr>
        <w:ind w:left="0" w:hanging="0"/>
      </w:pPr>
    </w:lvl>
    <w:lvl w:ilvl="5">
      <w:start w:val="1"/>
      <w:numFmt w:val="decimal"/>
      <w:suff w:val="nothing"/>
      <w:lvlText w:val=" %1.%2.%3.%4.%5.%6 "/>
      <w:lvlJc w:val="left"/>
      <w:pPr>
        <w:ind w:left="0" w:hanging="0"/>
      </w:pPr>
    </w:lvl>
    <w:lvl w:ilvl="6">
      <w:start w:val="1"/>
      <w:numFmt w:val="decimal"/>
      <w:suff w:val="nothing"/>
      <w:lvlText w:val=" %1.%2.%3.%4.%5.%6.%7 "/>
      <w:lvlJc w:val="left"/>
      <w:pPr>
        <w:ind w:left="0" w:hanging="0"/>
      </w:pPr>
    </w:lvl>
    <w:lvl w:ilvl="7">
      <w:start w:val="1"/>
      <w:numFmt w:val="decimal"/>
      <w:suff w:val="nothing"/>
      <w:lvlText w:val=" %1.%2.%3.%4.%5.%6.%7.%8 "/>
      <w:lvlJc w:val="left"/>
      <w:pPr>
        <w:ind w:left="0" w:hanging="0"/>
      </w:pPr>
    </w:lvl>
    <w:lvl w:ilvl="8">
      <w:start w:val="1"/>
      <w:numFmt w:val="decimal"/>
      <w:suff w:val="nothing"/>
      <w:lvlText w:val=" %1.%2.%3.%4.%5.%6.%7.%8.%9 "/>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930"/>
        </w:tabs>
        <w:ind w:left="930" w:hanging="360"/>
      </w:pPr>
      <w:rPr>
        <w:rFonts w:ascii="Symbol" w:hAnsi="Symbol" w:cs="Symbol" w:hint="default"/>
        <w:rFonts w:cs="OpenSymbol"/>
      </w:rPr>
    </w:lvl>
    <w:lvl w:ilvl="1">
      <w:start w:val="1"/>
      <w:numFmt w:val="bullet"/>
      <w:lvlText w:val="◦"/>
      <w:lvlJc w:val="left"/>
      <w:pPr>
        <w:tabs>
          <w:tab w:val="num" w:pos="1290"/>
        </w:tabs>
        <w:ind w:left="1290" w:hanging="360"/>
      </w:pPr>
      <w:rPr>
        <w:rFonts w:ascii="OpenSymbol" w:hAnsi="OpenSymbol" w:cs="OpenSymbol" w:hint="default"/>
        <w:rFonts w:cs="OpenSymbol"/>
      </w:rPr>
    </w:lvl>
    <w:lvl w:ilvl="2">
      <w:start w:val="1"/>
      <w:numFmt w:val="bullet"/>
      <w:lvlText w:val="▪"/>
      <w:lvlJc w:val="left"/>
      <w:pPr>
        <w:tabs>
          <w:tab w:val="num" w:pos="1650"/>
        </w:tabs>
        <w:ind w:left="1650" w:hanging="360"/>
      </w:pPr>
      <w:rPr>
        <w:rFonts w:ascii="OpenSymbol" w:hAnsi="OpenSymbol" w:cs="OpenSymbol" w:hint="default"/>
        <w:rFonts w:cs="OpenSymbol"/>
      </w:rPr>
    </w:lvl>
    <w:lvl w:ilvl="3">
      <w:start w:val="1"/>
      <w:numFmt w:val="bullet"/>
      <w:lvlText w:val=""/>
      <w:lvlJc w:val="left"/>
      <w:pPr>
        <w:tabs>
          <w:tab w:val="num" w:pos="2010"/>
        </w:tabs>
        <w:ind w:left="2010" w:hanging="360"/>
      </w:pPr>
      <w:rPr>
        <w:rFonts w:ascii="Symbol" w:hAnsi="Symbol" w:cs="Symbol" w:hint="default"/>
        <w:rFonts w:cs="OpenSymbol"/>
      </w:rPr>
    </w:lvl>
    <w:lvl w:ilvl="4">
      <w:start w:val="1"/>
      <w:numFmt w:val="bullet"/>
      <w:lvlText w:val="◦"/>
      <w:lvlJc w:val="left"/>
      <w:pPr>
        <w:tabs>
          <w:tab w:val="num" w:pos="2370"/>
        </w:tabs>
        <w:ind w:left="2370" w:hanging="360"/>
      </w:pPr>
      <w:rPr>
        <w:rFonts w:ascii="OpenSymbol" w:hAnsi="OpenSymbol" w:cs="OpenSymbol" w:hint="default"/>
        <w:rFonts w:cs="OpenSymbol"/>
      </w:rPr>
    </w:lvl>
    <w:lvl w:ilvl="5">
      <w:start w:val="1"/>
      <w:numFmt w:val="bullet"/>
      <w:lvlText w:val="▪"/>
      <w:lvlJc w:val="left"/>
      <w:pPr>
        <w:tabs>
          <w:tab w:val="num" w:pos="2730"/>
        </w:tabs>
        <w:ind w:left="2730" w:hanging="360"/>
      </w:pPr>
      <w:rPr>
        <w:rFonts w:ascii="OpenSymbol" w:hAnsi="OpenSymbol" w:cs="OpenSymbol" w:hint="default"/>
        <w:rFonts w:cs="OpenSymbol"/>
      </w:rPr>
    </w:lvl>
    <w:lvl w:ilvl="6">
      <w:start w:val="1"/>
      <w:numFmt w:val="bullet"/>
      <w:lvlText w:val=""/>
      <w:lvlJc w:val="left"/>
      <w:pPr>
        <w:tabs>
          <w:tab w:val="num" w:pos="3090"/>
        </w:tabs>
        <w:ind w:left="3090" w:hanging="360"/>
      </w:pPr>
      <w:rPr>
        <w:rFonts w:ascii="Symbol" w:hAnsi="Symbol" w:cs="Symbol" w:hint="default"/>
        <w:rFonts w:cs="OpenSymbol"/>
      </w:rPr>
    </w:lvl>
    <w:lvl w:ilvl="7">
      <w:start w:val="1"/>
      <w:numFmt w:val="bullet"/>
      <w:lvlText w:val="◦"/>
      <w:lvlJc w:val="left"/>
      <w:pPr>
        <w:tabs>
          <w:tab w:val="num" w:pos="3450"/>
        </w:tabs>
        <w:ind w:left="3450" w:hanging="360"/>
      </w:pPr>
      <w:rPr>
        <w:rFonts w:ascii="OpenSymbol" w:hAnsi="OpenSymbol" w:cs="OpenSymbol" w:hint="default"/>
        <w:rFonts w:cs="OpenSymbol"/>
      </w:rPr>
    </w:lvl>
    <w:lvl w:ilvl="8">
      <w:start w:val="1"/>
      <w:numFmt w:val="bullet"/>
      <w:lvlText w:val="▪"/>
      <w:lvlJc w:val="left"/>
      <w:pPr>
        <w:tabs>
          <w:tab w:val="num" w:pos="3810"/>
        </w:tabs>
        <w:ind w:left="381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Arial"/>
      <w:color w:val="00000A"/>
      <w:sz w:val="24"/>
      <w:szCs w:val="24"/>
      <w:lang w:val="en-US" w:eastAsia="zh-CN" w:bidi="hi-IN"/>
    </w:rPr>
  </w:style>
  <w:style w:type="paragraph" w:styleId="1">
    <w:name w:val="Heading 1"/>
    <w:basedOn w:val="Style10"/>
    <w:qFormat/>
    <w:pPr>
      <w:numPr>
        <w:ilvl w:val="0"/>
        <w:numId w:val="1"/>
      </w:numPr>
      <w:spacing w:before="240" w:after="120"/>
      <w:outlineLvl w:val="0"/>
      <w:outlineLvl w:val="0"/>
    </w:pPr>
    <w:rPr>
      <w:b/>
      <w:bCs/>
      <w:sz w:val="36"/>
      <w:szCs w:val="36"/>
    </w:rPr>
  </w:style>
  <w:style w:type="paragraph" w:styleId="2">
    <w:name w:val="Heading 2"/>
    <w:basedOn w:val="Style10"/>
    <w:qFormat/>
    <w:pPr>
      <w:numPr>
        <w:ilvl w:val="1"/>
        <w:numId w:val="1"/>
      </w:numPr>
      <w:spacing w:before="200" w:after="120"/>
      <w:outlineLvl w:val="1"/>
      <w:outlineLvl w:val="1"/>
    </w:pPr>
    <w:rPr>
      <w:b/>
      <w:bCs/>
      <w:sz w:val="32"/>
      <w:szCs w:val="32"/>
    </w:rPr>
  </w:style>
  <w:style w:type="paragraph" w:styleId="3">
    <w:name w:val="Heading 3"/>
    <w:basedOn w:val="Style10"/>
    <w:qFormat/>
    <w:pPr>
      <w:numPr>
        <w:ilvl w:val="2"/>
        <w:numId w:val="1"/>
      </w:numPr>
      <w:spacing w:before="140" w:after="120"/>
      <w:outlineLvl w:val="2"/>
      <w:outlineLvl w:val="2"/>
    </w:pPr>
    <w:rPr>
      <w:b/>
      <w:bCs/>
      <w:sz w:val="28"/>
      <w:szCs w:val="28"/>
    </w:rPr>
  </w:style>
  <w:style w:type="paragraph" w:styleId="4">
    <w:name w:val="Heading 4"/>
    <w:basedOn w:val="Style10"/>
    <w:qFormat/>
    <w:pPr/>
    <w:rPr/>
  </w:style>
  <w:style w:type="paragraph" w:styleId="5">
    <w:name w:val="Heading 5"/>
    <w:basedOn w:val="Style10"/>
    <w:qFormat/>
    <w:pPr/>
    <w:rPr/>
  </w:style>
  <w:style w:type="character" w:styleId="Style9">
    <w:name w:val="项目符号"/>
    <w:qFormat/>
    <w:rPr>
      <w:rFonts w:ascii="OpenSymbol" w:hAnsi="OpenSymbol" w:eastAsia="OpenSymbol" w:cs="OpenSymbol"/>
    </w:rPr>
  </w:style>
  <w:style w:type="paragraph" w:styleId="Style10">
    <w:name w:val="标题"/>
    <w:basedOn w:val="Normal"/>
    <w:next w:val="Style11"/>
    <w:qFormat/>
    <w:pPr>
      <w:keepNext/>
      <w:spacing w:before="240" w:after="120"/>
    </w:pPr>
    <w:rPr>
      <w:rFonts w:ascii="Liberation Sans" w:hAnsi="Liberation Sans" w:eastAsia="微软雅黑" w:cs="Arial"/>
      <w:sz w:val="28"/>
      <w:szCs w:val="28"/>
    </w:rPr>
  </w:style>
  <w:style w:type="paragraph" w:styleId="Style11">
    <w:name w:val="Body Text"/>
    <w:basedOn w:val="Normal"/>
    <w:pPr>
      <w:bidi w:val="0"/>
      <w:spacing w:lineRule="auto" w:line="360" w:before="0" w:after="140"/>
      <w:ind w:left="0" w:right="0" w:firstLine="420"/>
      <w:jc w:val="left"/>
    </w:pPr>
    <w:rPr/>
  </w:style>
  <w:style w:type="paragraph" w:styleId="Style12">
    <w:name w:val="List"/>
    <w:basedOn w:val="Style11"/>
    <w:pPr/>
    <w:rPr>
      <w:rFonts w:eastAsia="微软雅黑"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索引"/>
    <w:basedOn w:val="Normal"/>
    <w:qFormat/>
    <w:pPr>
      <w:suppressLineNumbers/>
    </w:pPr>
    <w:rPr>
      <w:rFonts w:eastAsia="微软雅黑" w:cs="Arial"/>
    </w:rPr>
  </w:style>
  <w:style w:type="paragraph" w:styleId="Style15">
    <w:name w:val="Title"/>
    <w:basedOn w:val="Style10"/>
    <w:qFormat/>
    <w:pPr>
      <w:jc w:val="center"/>
    </w:pPr>
    <w:rPr>
      <w:b/>
      <w:bCs/>
      <w:sz w:val="56"/>
      <w:szCs w:val="56"/>
    </w:rPr>
  </w:style>
  <w:style w:type="paragraph" w:styleId="Style16">
    <w:name w:val="Subtitle"/>
    <w:basedOn w:val="Style10"/>
    <w:qFormat/>
    <w:pPr>
      <w:spacing w:before="60" w:after="120"/>
      <w:jc w:val="center"/>
    </w:pPr>
    <w:rPr>
      <w:sz w:val="36"/>
      <w:szCs w:val="36"/>
    </w:rPr>
  </w:style>
  <w:style w:type="paragraph" w:styleId="Style17">
    <w:name w:val="插图"/>
    <w:basedOn w:val="Style13"/>
    <w:qFormat/>
    <w:pPr/>
    <w:rPr/>
  </w:style>
  <w:style w:type="paragraph" w:styleId="Style18">
    <w:name w:val="正文格式"/>
    <w:basedOn w:val="Normal"/>
    <w:qFormat/>
    <w:pPr>
      <w:ind w:firstLine="482"/>
      <w:jc w:val="left"/>
    </w:pPr>
    <w:rPr>
      <w:rFonts w:ascii="Calibri" w:hAnsi="Calibri" w:eastAsia="宋体" w:cs="" w:asciiTheme="minorHAnsi" w:cstheme="minorBidi" w:eastAsiaTheme="minorEastAsia" w:hAnsiTheme="minorHAnsi"/>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LibreOffice/5.2.3.3$Windows_x86 LibreOffice_project/d54a8868f08a7b39642414cf2c8ef2f228f780cf</Application>
  <Pages>12</Pages>
  <Words>3011</Words>
  <Characters>3238</Characters>
  <CharactersWithSpaces>3385</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2016-11-19T10:53:55Z</dcterms:created>
  <dc:creator/>
  <dc:description/>
  <dc:language>zh-CN</dc:language>
  <cp:lastModifiedBy/>
  <dcterms:modified xsi:type="dcterms:W3CDTF">2016-11-19T12:21:30Z</dcterms:modified>
  <cp:revision>51</cp:revision>
  <dc:subject/>
  <dc:title/>
</cp:coreProperties>
</file>