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00000" w:sz="8" w:space="6"/>
        </w:pBdr>
        <w:spacing w:after="140"/>
      </w:pPr>
      <w:r>
        <w:rPr>
          <w:rFonts w:ascii="Calibri" w:cs="Calibri" w:eastAsia="Calibri" w:hAnsi="Calibri"/>
          <w:b/>
          <w:bCs/>
          <w:sz w:val="26"/>
          <w:szCs w:val="26"/>
        </w:rPr>
        <w:t xml:space="preserve">VEHICLE INSURANCE — WRITTEN ENQUIRY</w:t>
      </w:r>
    </w:p>
    <w:p>
      <w:pPr>
        <w:spacing w:after="20" w:line="240"/>
      </w:pPr>
      <w:r>
        <w:rPr>
          <w:rFonts w:ascii="Calibri" w:cs="Calibri" w:eastAsia="Calibri" w:hAnsi="Calibri"/>
          <w:b/>
          <w:bCs/>
          <w:sz w:val="18"/>
          <w:szCs w:val="18"/>
        </w:rPr>
        <w:t xml:space="preserve">To:</w:t>
      </w:r>
      <w:r>
        <w:rPr>
          <w:rFonts w:ascii="Calibri" w:cs="Calibri" w:eastAsia="Calibri" w:hAnsi="Calibri"/>
          <w:sz w:val="18"/>
          <w:szCs w:val="18"/>
        </w:rPr>
        <w:t xml:space="preserve">  [Broker / Underwriter]</w:t>
      </w:r>
    </w:p>
    <w:p>
      <w:pPr>
        <w:spacing w:after="20" w:line="240"/>
      </w:pPr>
      <w:r>
        <w:rPr>
          <w:rFonts w:ascii="Calibri" w:cs="Calibri" w:eastAsia="Calibri" w:hAnsi="Calibri"/>
          <w:b/>
          <w:bCs/>
          <w:sz w:val="18"/>
          <w:szCs w:val="18"/>
        </w:rPr>
        <w:t xml:space="preserve">From:</w:t>
      </w:r>
      <w:r>
        <w:rPr>
          <w:rFonts w:ascii="Calibri" w:cs="Calibri" w:eastAsia="Calibri" w:hAnsi="Calibri"/>
          <w:sz w:val="18"/>
          <w:szCs w:val="18"/>
        </w:rPr>
        <w:t xml:space="preserve">  N. Slabbert, on behalf of M-A West (registered owner)</w:t>
      </w:r>
    </w:p>
    <w:p>
      <w:pPr>
        <w:spacing w:after="20" w:line="240"/>
      </w:pPr>
      <w:r>
        <w:rPr>
          <w:rFonts w:ascii="Calibri" w:cs="Calibri" w:eastAsia="Calibri" w:hAnsi="Calibri"/>
          <w:b/>
          <w:bCs/>
          <w:sz w:val="18"/>
          <w:szCs w:val="18"/>
        </w:rPr>
        <w:t xml:space="preserve">Date:</w:t>
      </w:r>
      <w:r>
        <w:rPr>
          <w:rFonts w:ascii="Calibri" w:cs="Calibri" w:eastAsia="Calibri" w:hAnsi="Calibri"/>
          <w:sz w:val="18"/>
          <w:szCs w:val="18"/>
        </w:rPr>
        <w:t xml:space="preserve">  [            ]</w:t>
      </w:r>
    </w:p>
    <w:p>
      <w:pPr>
        <w:spacing w:after="20" w:line="240"/>
      </w:pPr>
      <w:r>
        <w:rPr>
          <w:rFonts w:ascii="Calibri" w:cs="Calibri" w:eastAsia="Calibri" w:hAnsi="Calibri"/>
          <w:b/>
          <w:bCs/>
          <w:sz w:val="18"/>
          <w:szCs w:val="18"/>
        </w:rPr>
        <w:t xml:space="preserve">Vehicle:</w:t>
      </w:r>
      <w:r>
        <w:rPr>
          <w:rFonts w:ascii="Calibri" w:cs="Calibri" w:eastAsia="Calibri" w:hAnsi="Calibri"/>
          <w:sz w:val="18"/>
          <w:szCs w:val="18"/>
        </w:rPr>
        <w:t xml:space="preserve">  2009 Toyota Land Cruiser 76 Series SW  ·  Reg CAA 430 689  ·  VIN JTEEB71J207007860</w:t>
      </w:r>
    </w:p>
    <w:p>
      <w:pPr>
        <w:spacing w:after="100" w:before="200" w:line="250"/>
      </w:pPr>
      <w:r>
        <w:rPr>
          <w:rFonts w:ascii="Calibri" w:cs="Calibri" w:eastAsia="Calibri" w:hAnsi="Calibri"/>
          <w:sz w:val="19"/>
          <w:szCs w:val="19"/>
        </w:rPr>
        <w:t xml:space="preserve">We are planning an extended overland expedition through Southern and East Africa in the 2028–2030 window — provisionally 12 to 24 months, 60 000+ km, through Namibia, Botswana, Zambia, Zimbabwe, Malawi, Tanzania, Kenya and Mozambique, with Angola possible. The vehicle carries substantial non-standard expedition fitment and will travel under a Carnet de Passages.</w:t>
      </w:r>
    </w:p>
    <w:p>
      <w:pPr>
        <w:spacing w:after="140" w:line="250"/>
      </w:pPr>
      <w:r>
        <w:rPr>
          <w:rFonts w:ascii="Calibri" w:cs="Calibri" w:eastAsia="Calibri" w:hAnsi="Calibri"/>
          <w:sz w:val="19"/>
          <w:szCs w:val="19"/>
        </w:rPr>
        <w:t xml:space="preserve">We are seeking </w:t>
      </w:r>
      <w:r>
        <w:rPr>
          <w:rFonts w:ascii="Calibri" w:cs="Calibri" w:eastAsia="Calibri" w:hAnsi="Calibri"/>
          <w:b/>
          <w:bCs/>
          <w:sz w:val="19"/>
          <w:szCs w:val="19"/>
        </w:rPr>
        <w:t xml:space="preserve">comprehensive cover on the vehicle asset, including cross-border repatriation</w:t>
      </w:r>
      <w:r>
        <w:rPr>
          <w:rFonts w:ascii="Calibri" w:cs="Calibri" w:eastAsia="Calibri" w:hAnsi="Calibri"/>
          <w:sz w:val="19"/>
          <w:szCs w:val="19"/>
        </w:rPr>
        <w:t xml:space="preserve">. Identical questions are being put to three providers, and the decision will be made on the written answers. Please respond in writing, citing the relevant policy wording clause where one applies.</w:t>
      </w:r>
    </w:p>
    <w:p>
      <w:pPr>
        <w:spacing w:after="70" w:before="70" w:line="250"/>
        <w:ind w:left="340" w:hanging="340"/>
      </w:pPr>
      <w:r>
        <w:rPr>
          <w:rFonts w:ascii="Calibri" w:cs="Calibri" w:eastAsia="Calibri" w:hAnsi="Calibri"/>
          <w:b/>
          <w:bCs/>
          <w:sz w:val="19"/>
          <w:szCs w:val="19"/>
        </w:rPr>
        <w:t xml:space="preserve">1.  </w:t>
      </w:r>
      <w:r>
        <w:rPr>
          <w:rFonts w:ascii="Calibri" w:cs="Calibri" w:eastAsia="Calibri" w:hAnsi="Calibri"/>
          <w:b/>
          <w:bCs/>
          <w:sz w:val="19"/>
          <w:szCs w:val="19"/>
        </w:rPr>
        <w:t xml:space="preserve">Duration.</w:t>
      </w:r>
      <w:r>
        <w:rPr>
          <w:rFonts w:ascii="Calibri" w:cs="Calibri" w:eastAsia="Calibri" w:hAnsi="Calibri"/>
          <w:sz w:val="19"/>
          <w:szCs w:val="19"/>
        </w:rPr>
        <w:t xml:space="preserve"> Is there any limit on the number of consecutive days the insured vehicle may remain outside the RSA? If so, what is it, and is an endorsement available to extend it to 12 or 24 months?</w:t>
      </w:r>
    </w:p>
    <w:p>
      <w:pPr>
        <w:spacing w:after="70" w:before="70" w:line="250"/>
        <w:ind w:left="340" w:hanging="340"/>
      </w:pPr>
      <w:r>
        <w:rPr>
          <w:rFonts w:ascii="Calibri" w:cs="Calibri" w:eastAsia="Calibri" w:hAnsi="Calibri"/>
          <w:b/>
          <w:bCs/>
          <w:sz w:val="19"/>
          <w:szCs w:val="19"/>
        </w:rPr>
        <w:t xml:space="preserve">2.  </w:t>
      </w:r>
      <w:r>
        <w:rPr>
          <w:rFonts w:ascii="Calibri" w:cs="Calibri" w:eastAsia="Calibri" w:hAnsi="Calibri"/>
          <w:b/>
          <w:bCs/>
          <w:sz w:val="19"/>
          <w:szCs w:val="19"/>
        </w:rPr>
        <w:t xml:space="preserve">Agreed value — vehicle.</w:t>
      </w:r>
      <w:r>
        <w:rPr>
          <w:rFonts w:ascii="Calibri" w:cs="Calibri" w:eastAsia="Calibri" w:hAnsi="Calibri"/>
          <w:sz w:val="19"/>
          <w:szCs w:val="19"/>
        </w:rPr>
        <w:t xml:space="preserve"> Will you write an agreed value on a vehicle of this age and mileage (approx. 19 years and 370 000 km at departure)? What evidence do you require to set it, and how is it reviewed at renewal while the vehicle is abroad?</w:t>
      </w:r>
    </w:p>
    <w:p>
      <w:pPr>
        <w:spacing w:after="70" w:before="70" w:line="250"/>
        <w:ind w:left="340" w:hanging="340"/>
      </w:pPr>
      <w:r>
        <w:rPr>
          <w:rFonts w:ascii="Calibri" w:cs="Calibri" w:eastAsia="Calibri" w:hAnsi="Calibri"/>
          <w:b/>
          <w:bCs/>
          <w:sz w:val="19"/>
          <w:szCs w:val="19"/>
        </w:rPr>
        <w:t xml:space="preserve">3.  </w:t>
      </w:r>
      <w:r>
        <w:rPr>
          <w:rFonts w:ascii="Calibri" w:cs="Calibri" w:eastAsia="Calibri" w:hAnsi="Calibri"/>
          <w:b/>
          <w:bCs/>
          <w:sz w:val="19"/>
          <w:szCs w:val="19"/>
        </w:rPr>
        <w:t xml:space="preserve">Agreed value — fitment.</w:t>
      </w:r>
      <w:r>
        <w:rPr>
          <w:rFonts w:ascii="Calibri" w:cs="Calibri" w:eastAsia="Calibri" w:hAnsi="Calibri"/>
          <w:sz w:val="19"/>
          <w:szCs w:val="19"/>
        </w:rPr>
        <w:t xml:space="preserve"> Are non-standard accessories covered on an itemised agreed-value basis? Does average apply to that section if the schedule is under-declared?</w:t>
      </w:r>
    </w:p>
    <w:p>
      <w:pPr>
        <w:spacing w:after="70" w:before="70" w:line="250"/>
        <w:ind w:left="340" w:hanging="340"/>
      </w:pPr>
      <w:r>
        <w:rPr>
          <w:rFonts w:ascii="Calibri" w:cs="Calibri" w:eastAsia="Calibri" w:hAnsi="Calibri"/>
          <w:b/>
          <w:bCs/>
          <w:sz w:val="19"/>
          <w:szCs w:val="19"/>
        </w:rPr>
        <w:t xml:space="preserve">4.  </w:t>
      </w:r>
      <w:r>
        <w:rPr>
          <w:rFonts w:ascii="Calibri" w:cs="Calibri" w:eastAsia="Calibri" w:hAnsi="Calibri"/>
          <w:b/>
          <w:bCs/>
          <w:sz w:val="19"/>
          <w:szCs w:val="19"/>
        </w:rPr>
        <w:t xml:space="preserve">Territorial limits.</w:t>
      </w:r>
      <w:r>
        <w:rPr>
          <w:rFonts w:ascii="Calibri" w:cs="Calibri" w:eastAsia="Calibri" w:hAnsi="Calibri"/>
          <w:sz w:val="19"/>
          <w:szCs w:val="19"/>
        </w:rPr>
        <w:t xml:space="preserve"> Please confirm cover in each country listed above, and identify any country where cover or benefits are restricted.</w:t>
      </w:r>
    </w:p>
    <w:p>
      <w:pPr>
        <w:spacing w:after="70" w:before="70" w:line="250"/>
        <w:ind w:left="340" w:hanging="340"/>
      </w:pPr>
      <w:r>
        <w:rPr>
          <w:rFonts w:ascii="Calibri" w:cs="Calibri" w:eastAsia="Calibri" w:hAnsi="Calibri"/>
          <w:b/>
          <w:bCs/>
          <w:sz w:val="19"/>
          <w:szCs w:val="19"/>
        </w:rPr>
        <w:t xml:space="preserve">5.  </w:t>
      </w:r>
      <w:r>
        <w:rPr>
          <w:rFonts w:ascii="Calibri" w:cs="Calibri" w:eastAsia="Calibri" w:hAnsi="Calibri"/>
          <w:b/>
          <w:bCs/>
          <w:sz w:val="19"/>
          <w:szCs w:val="19"/>
        </w:rPr>
        <w:t xml:space="preserve">Repatriation.</w:t>
      </w:r>
      <w:r>
        <w:rPr>
          <w:rFonts w:ascii="Calibri" w:cs="Calibri" w:eastAsia="Calibri" w:hAnsi="Calibri"/>
          <w:sz w:val="19"/>
          <w:szCs w:val="19"/>
        </w:rPr>
        <w:t xml:space="preserve"> What is the limit? Does it apply from within each listed country, or only from a designated border? Does it apply to a vehicle that is a total loss, or only to a repairable vehicle?</w:t>
      </w:r>
    </w:p>
    <w:p>
      <w:pPr>
        <w:spacing w:after="70" w:before="70" w:line="250"/>
        <w:ind w:left="340" w:hanging="340"/>
      </w:pPr>
      <w:r>
        <w:rPr>
          <w:rFonts w:ascii="Calibri" w:cs="Calibri" w:eastAsia="Calibri" w:hAnsi="Calibri"/>
          <w:b/>
          <w:bCs/>
          <w:sz w:val="19"/>
          <w:szCs w:val="19"/>
        </w:rPr>
        <w:t xml:space="preserve">6.  </w:t>
      </w:r>
      <w:r>
        <w:rPr>
          <w:rFonts w:ascii="Calibri" w:cs="Calibri" w:eastAsia="Calibri" w:hAnsi="Calibri"/>
          <w:b/>
          <w:bCs/>
          <w:sz w:val="19"/>
          <w:szCs w:val="19"/>
        </w:rPr>
        <w:t xml:space="preserve">Carnet.</w:t>
      </w:r>
      <w:r>
        <w:rPr>
          <w:rFonts w:ascii="Calibri" w:cs="Calibri" w:eastAsia="Calibri" w:hAnsi="Calibri"/>
          <w:sz w:val="19"/>
          <w:szCs w:val="19"/>
        </w:rPr>
        <w:t xml:space="preserve"> Where the vehicle is a total loss outside the RSA, the Carnet obligation requires export or destruction under customs supervision. Who bears that cost, and does your repatriation benefit extend to discharging it?</w:t>
      </w:r>
    </w:p>
    <w:p>
      <w:pPr>
        <w:spacing w:after="70" w:before="70" w:line="250"/>
        <w:ind w:left="340" w:hanging="340"/>
      </w:pPr>
      <w:r>
        <w:rPr>
          <w:rFonts w:ascii="Calibri" w:cs="Calibri" w:eastAsia="Calibri" w:hAnsi="Calibri"/>
          <w:b/>
          <w:bCs/>
          <w:sz w:val="19"/>
          <w:szCs w:val="19"/>
        </w:rPr>
        <w:t xml:space="preserve">7.  </w:t>
      </w:r>
      <w:r>
        <w:rPr>
          <w:rFonts w:ascii="Calibri" w:cs="Calibri" w:eastAsia="Calibri" w:hAnsi="Calibri"/>
          <w:b/>
          <w:bCs/>
          <w:sz w:val="19"/>
          <w:szCs w:val="19"/>
        </w:rPr>
        <w:t xml:space="preserve">Assessment and repair abroad.</w:t>
      </w:r>
      <w:r>
        <w:rPr>
          <w:rFonts w:ascii="Calibri" w:cs="Calibri" w:eastAsia="Calibri" w:hAnsi="Calibri"/>
          <w:sz w:val="19"/>
          <w:szCs w:val="19"/>
        </w:rPr>
        <w:t xml:space="preserve"> What is the repair authority limit outside the RSA? Can an assessor be appointed in-country, or must the vehicle return to the RSA before a claim is settled?</w:t>
      </w:r>
    </w:p>
    <w:p>
      <w:pPr>
        <w:spacing w:after="70" w:before="70" w:line="250"/>
        <w:ind w:left="340" w:hanging="340"/>
      </w:pPr>
      <w:r>
        <w:rPr>
          <w:rFonts w:ascii="Calibri" w:cs="Calibri" w:eastAsia="Calibri" w:hAnsi="Calibri"/>
          <w:b/>
          <w:bCs/>
          <w:sz w:val="19"/>
          <w:szCs w:val="19"/>
        </w:rPr>
        <w:t xml:space="preserve">8.  </w:t>
      </w:r>
      <w:r>
        <w:rPr>
          <w:rFonts w:ascii="Calibri" w:cs="Calibri" w:eastAsia="Calibri" w:hAnsi="Calibri"/>
          <w:b/>
          <w:bCs/>
          <w:sz w:val="19"/>
          <w:szCs w:val="19"/>
        </w:rPr>
        <w:t xml:space="preserve">Security conditions.</w:t>
      </w:r>
      <w:r>
        <w:rPr>
          <w:rFonts w:ascii="Calibri" w:cs="Calibri" w:eastAsia="Calibri" w:hAnsi="Calibri"/>
          <w:sz w:val="19"/>
          <w:szCs w:val="19"/>
        </w:rPr>
        <w:t xml:space="preserve"> Are tracking or immobiliser requirements a condition precedent to liability? If so, how is compliance assessed in territories where the tracking service has no coverage?</w:t>
      </w:r>
    </w:p>
    <w:p>
      <w:pPr>
        <w:spacing w:after="70" w:before="70" w:line="250"/>
        <w:ind w:left="340" w:hanging="340"/>
      </w:pPr>
      <w:r>
        <w:rPr>
          <w:rFonts w:ascii="Calibri" w:cs="Calibri" w:eastAsia="Calibri" w:hAnsi="Calibri"/>
          <w:b/>
          <w:bCs/>
          <w:sz w:val="19"/>
          <w:szCs w:val="19"/>
        </w:rPr>
        <w:t xml:space="preserve">9.  </w:t>
      </w:r>
      <w:r>
        <w:rPr>
          <w:rFonts w:ascii="Calibri" w:cs="Calibri" w:eastAsia="Calibri" w:hAnsi="Calibri"/>
          <w:b/>
          <w:bCs/>
          <w:sz w:val="19"/>
          <w:szCs w:val="19"/>
        </w:rPr>
        <w:t xml:space="preserve">Off-road and water.</w:t>
      </w:r>
      <w:r>
        <w:rPr>
          <w:rFonts w:ascii="Calibri" w:cs="Calibri" w:eastAsia="Calibri" w:hAnsi="Calibri"/>
          <w:sz w:val="19"/>
          <w:szCs w:val="19"/>
        </w:rPr>
        <w:t xml:space="preserve"> Please confirm the position on damage sustained while driving off a proclaimed road or on no road, and on water ingress during a river or drift crossing.</w:t>
      </w:r>
    </w:p>
    <w:p>
      <w:pPr>
        <w:spacing w:after="70" w:before="70" w:line="250"/>
        <w:ind w:left="340" w:hanging="340"/>
      </w:pPr>
      <w:r>
        <w:rPr>
          <w:rFonts w:ascii="Calibri" w:cs="Calibri" w:eastAsia="Calibri" w:hAnsi="Calibri"/>
          <w:b/>
          <w:bCs/>
          <w:sz w:val="19"/>
          <w:szCs w:val="19"/>
        </w:rPr>
        <w:t xml:space="preserve">10.  </w:t>
      </w:r>
      <w:r>
        <w:rPr>
          <w:rFonts w:ascii="Calibri" w:cs="Calibri" w:eastAsia="Calibri" w:hAnsi="Calibri"/>
          <w:b/>
          <w:bCs/>
          <w:sz w:val="19"/>
          <w:szCs w:val="19"/>
        </w:rPr>
        <w:t xml:space="preserve">Progressive damage.</w:t>
      </w:r>
      <w:r>
        <w:rPr>
          <w:rFonts w:ascii="Calibri" w:cs="Calibri" w:eastAsia="Calibri" w:hAnsi="Calibri"/>
          <w:sz w:val="19"/>
          <w:szCs w:val="19"/>
        </w:rPr>
        <w:t xml:space="preserve"> Please confirm which exclusions you would rely on for damage arising from sustained corrugated-road use — chassis or body cracking, fatigue failure, suspension collapse.</w:t>
      </w:r>
    </w:p>
    <w:p>
      <w:pPr>
        <w:spacing w:after="70" w:before="70" w:line="250"/>
        <w:ind w:left="340" w:hanging="340"/>
      </w:pPr>
      <w:r>
        <w:rPr>
          <w:rFonts w:ascii="Calibri" w:cs="Calibri" w:eastAsia="Calibri" w:hAnsi="Calibri"/>
          <w:b/>
          <w:bCs/>
          <w:sz w:val="19"/>
          <w:szCs w:val="19"/>
        </w:rPr>
        <w:t xml:space="preserve">11.  </w:t>
      </w:r>
      <w:r>
        <w:rPr>
          <w:rFonts w:ascii="Calibri" w:cs="Calibri" w:eastAsia="Calibri" w:hAnsi="Calibri"/>
          <w:b/>
          <w:bCs/>
          <w:sz w:val="19"/>
          <w:szCs w:val="19"/>
        </w:rPr>
        <w:t xml:space="preserve">Repudiation grounds.</w:t>
      </w:r>
      <w:r>
        <w:rPr>
          <w:rFonts w:ascii="Calibri" w:cs="Calibri" w:eastAsia="Calibri" w:hAnsi="Calibri"/>
          <w:sz w:val="19"/>
          <w:szCs w:val="19"/>
        </w:rPr>
        <w:t xml:space="preserve"> Please state the grounds you routinely apply, in particular overloading against GVM, driving licence validity, and non-disclosure of modification. What disclosure format do you require for the fitment schedule?</w:t>
      </w:r>
    </w:p>
    <w:p>
      <w:pPr>
        <w:spacing w:after="70" w:before="70" w:line="250"/>
        <w:ind w:left="340" w:hanging="340"/>
      </w:pPr>
      <w:r>
        <w:rPr>
          <w:rFonts w:ascii="Calibri" w:cs="Calibri" w:eastAsia="Calibri" w:hAnsi="Calibri"/>
          <w:b/>
          <w:bCs/>
          <w:sz w:val="19"/>
          <w:szCs w:val="19"/>
        </w:rPr>
        <w:t xml:space="preserve">12.  </w:t>
      </w:r>
      <w:r>
        <w:rPr>
          <w:rFonts w:ascii="Calibri" w:cs="Calibri" w:eastAsia="Calibri" w:hAnsi="Calibri"/>
          <w:b/>
          <w:bCs/>
          <w:sz w:val="19"/>
          <w:szCs w:val="19"/>
        </w:rPr>
        <w:t xml:space="preserve">Administration.</w:t>
      </w:r>
      <w:r>
        <w:rPr>
          <w:rFonts w:ascii="Calibri" w:cs="Calibri" w:eastAsia="Calibri" w:hAnsi="Calibri"/>
          <w:sz w:val="19"/>
          <w:szCs w:val="19"/>
        </w:rPr>
        <w:t xml:space="preserve"> How is a policy administered where the insured is abroad for 12–24 months — renewal, premium collection, and any inspection or survey requirement?</w:t>
      </w:r>
    </w:p>
    <w:p>
      <w:pPr>
        <w:spacing w:after="220" w:before="160" w:line="250"/>
      </w:pPr>
      <w:r>
        <w:rPr>
          <w:rFonts w:ascii="Calibri" w:cs="Calibri" w:eastAsia="Calibri" w:hAnsi="Calibri"/>
          <w:b/>
          <w:bCs/>
          <w:sz w:val="19"/>
          <w:szCs w:val="19"/>
        </w:rPr>
        <w:t xml:space="preserve">Please also attach your current full policy wording and a specimen schedule.</w:t>
      </w:r>
      <w:r>
        <w:rPr>
          <w:rFonts w:ascii="Calibri" w:cs="Calibri" w:eastAsia="Calibri" w:hAnsi="Calibri"/>
          <w:sz w:val="19"/>
          <w:szCs w:val="19"/>
        </w:rPr>
        <w:t xml:space="preserve">  We would appreciate a response by [            ].</w:t>
      </w:r>
    </w:p>
    <w:p>
      <w:pPr>
        <w:spacing w:after="60"/>
      </w:pPr>
      <w:r>
        <w:rPr>
          <w:rFonts w:ascii="Calibri" w:cs="Calibri" w:eastAsia="Calibri" w:hAnsi="Calibri"/>
          <w:sz w:val="19"/>
          <w:szCs w:val="19"/>
        </w:rPr>
        <w:t xml:space="preserve">Yours faithfully,</w:t>
      </w:r>
    </w:p>
    <w:p>
      <w:pPr>
        <w:spacing w:after="0" w:before="220"/>
      </w:pPr>
      <w:r>
        <w:rPr>
          <w:rFonts w:ascii="Calibri" w:cs="Calibri" w:eastAsia="Calibri" w:hAnsi="Calibri"/>
          <w:b/>
          <w:bCs/>
          <w:sz w:val="19"/>
          <w:szCs w:val="19"/>
        </w:rPr>
        <w:t xml:space="preserve">N. Slabbert</w:t>
      </w:r>
    </w:p>
    <w:p>
      <w:r>
        <w:rPr>
          <w:rFonts w:ascii="Calibri" w:cs="Calibri" w:eastAsia="Calibri" w:hAnsi="Calibri"/>
          <w:color w:val="666666"/>
          <w:sz w:val="18"/>
          <w:szCs w:val="18"/>
        </w:rPr>
        <w:t xml:space="preserve">[contact details]</w:t>
      </w:r>
    </w:p>
    <w:sectPr>
      <w:pgSz w:w="11906" w:h="16838" w:orient="portrait"/>
      <w:pgMar w:top="1008" w:right="1224" w:bottom="863" w:left="122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2026-07-23T14:02:54.554Z</dcterms:created>
  <dcterms:modified xsi:type="dcterms:W3CDTF">2026-07-23T14:02:54.568Z</dcterms:modified>
</cp:coreProperties>
</file>

<file path=docProps/custom.xml><?xml version="1.0" encoding="utf-8"?>
<Properties xmlns="http://schemas.openxmlformats.org/officeDocument/2006/custom-properties" xmlns:vt="http://schemas.openxmlformats.org/officeDocument/2006/docPropsVTypes"/>
</file>