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84056F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84056F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B7068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DB7068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B7068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for evaluating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A5160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in detail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comprehensively using appropriate methods and design principles with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detailed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reference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A5160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detailed evidence of critical and creative thinking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comprehensively evidence of critical and creative thinking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A5160F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0EB4B6F9" w14:textId="1FD9DDE4" w:rsidR="00A5160F" w:rsidRDefault="00A5160F"/>
    <w:p w14:paraId="04222CA1" w14:textId="77777777" w:rsidR="00A5160F" w:rsidRDefault="00A5160F">
      <w:pPr>
        <w:spacing w:after="0" w:line="240" w:lineRule="auto"/>
      </w:pPr>
      <w:r>
        <w:br w:type="page"/>
      </w:r>
    </w:p>
    <w:p w14:paraId="40BCA384" w14:textId="7632E240" w:rsidR="00715381" w:rsidRDefault="00A5160F">
      <w:r>
        <w:lastRenderedPageBreak/>
        <w:t>Nicely done Nick!</w:t>
      </w:r>
    </w:p>
    <w:p w14:paraId="46460672" w14:textId="6222818B" w:rsidR="00A5160F" w:rsidRDefault="00A5160F">
      <w:r>
        <w:t xml:space="preserve">Your mockup shows your ideas well </w:t>
      </w:r>
      <w:r w:rsidR="007A324F">
        <w:t xml:space="preserve">with a few design principles shown and your data </w:t>
      </w:r>
      <w:proofErr w:type="spellStart"/>
      <w:r w:rsidR="007A324F">
        <w:t>visualisations</w:t>
      </w:r>
      <w:proofErr w:type="spellEnd"/>
      <w:r w:rsidR="007A324F">
        <w:t xml:space="preserve"> given well. Mentions of specific design principles within your </w:t>
      </w:r>
      <w:r w:rsidR="00E34F0E">
        <w:t>annotations would also be good to see.</w:t>
      </w:r>
    </w:p>
    <w:p w14:paraId="4A090926" w14:textId="0B9E576C" w:rsidR="00622F16" w:rsidRDefault="00622F16">
      <w:r>
        <w:t>The criteria given was well varied, though some more specifics would be good to see also.</w:t>
      </w:r>
      <w:r w:rsidR="002127A4">
        <w:t xml:space="preserve"> The IPOs given also showed what was </w:t>
      </w:r>
      <w:proofErr w:type="spellStart"/>
      <w:r w:rsidR="002127A4">
        <w:t>gong</w:t>
      </w:r>
      <w:proofErr w:type="spellEnd"/>
      <w:r w:rsidR="002127A4">
        <w:t xml:space="preserve"> to be produced, but some further steps within it would have been good to see.</w:t>
      </w:r>
    </w:p>
    <w:p w14:paraId="2F9C7FD0" w14:textId="4AD54E3D" w:rsidR="002127A4" w:rsidRDefault="002127A4">
      <w:r>
        <w:t xml:space="preserve">Overall, this looks great so far; I look forward to seeing your findings </w:t>
      </w:r>
      <w:r>
        <w:sym w:font="Wingdings" w:char="F04A"/>
      </w:r>
    </w:p>
    <w:p w14:paraId="32677629" w14:textId="0E6A83FC" w:rsidR="002127A4" w:rsidRDefault="00FD530C">
      <w:r>
        <w:t xml:space="preserve">(It’d be interesting to look into how the priority pick rules have changed </w:t>
      </w:r>
      <w:r w:rsidR="00B22FF1">
        <w:t>and if this has had any effects too!)</w:t>
      </w:r>
    </w:p>
    <w:sectPr w:rsidR="002127A4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2127A4"/>
    <w:rsid w:val="002434F3"/>
    <w:rsid w:val="002F7920"/>
    <w:rsid w:val="00622F16"/>
    <w:rsid w:val="00715381"/>
    <w:rsid w:val="007A324F"/>
    <w:rsid w:val="0084056F"/>
    <w:rsid w:val="00A0635A"/>
    <w:rsid w:val="00A33023"/>
    <w:rsid w:val="00A5160F"/>
    <w:rsid w:val="00B22FF1"/>
    <w:rsid w:val="00C42775"/>
    <w:rsid w:val="00DB7068"/>
    <w:rsid w:val="00E34F0E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10</cp:revision>
  <dcterms:created xsi:type="dcterms:W3CDTF">2024-06-20T13:36:00Z</dcterms:created>
  <dcterms:modified xsi:type="dcterms:W3CDTF">2024-06-20T15:02:00Z</dcterms:modified>
</cp:coreProperties>
</file>