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593" w:type="dxa"/>
        <w:tblInd w:w="-5" w:type="dxa"/>
        <w:tblLook w:val="04A0" w:firstRow="1" w:lastRow="0" w:firstColumn="1" w:lastColumn="0" w:noHBand="0" w:noVBand="1"/>
      </w:tblPr>
      <w:tblGrid>
        <w:gridCol w:w="1748"/>
        <w:gridCol w:w="2041"/>
        <w:gridCol w:w="1744"/>
        <w:gridCol w:w="2041"/>
        <w:gridCol w:w="2041"/>
        <w:gridCol w:w="1984"/>
        <w:gridCol w:w="1984"/>
        <w:gridCol w:w="2010"/>
      </w:tblGrid>
      <w:tr w:rsidR="00A0635A" w:rsidRPr="00C830F0" w14:paraId="17897382" w14:textId="77777777" w:rsidTr="00492968">
        <w:tc>
          <w:tcPr>
            <w:tcW w:w="15593" w:type="dxa"/>
            <w:gridSpan w:val="8"/>
            <w:shd w:val="clear" w:color="auto" w:fill="0F4761" w:themeFill="accent1" w:themeFillShade="BF"/>
          </w:tcPr>
          <w:p w14:paraId="7120EF4E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250009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A0635A" w:rsidRPr="00C830F0" w14:paraId="49D9FBCB" w14:textId="77777777" w:rsidTr="00492968">
        <w:tc>
          <w:tcPr>
            <w:tcW w:w="1748" w:type="dxa"/>
            <w:vMerge w:val="restart"/>
            <w:vAlign w:val="center"/>
          </w:tcPr>
          <w:p w14:paraId="0F20F28F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45" w:type="dxa"/>
            <w:gridSpan w:val="7"/>
            <w:shd w:val="clear" w:color="auto" w:fill="auto"/>
          </w:tcPr>
          <w:p w14:paraId="7E06117E" w14:textId="77777777" w:rsidR="00A0635A" w:rsidRPr="00C830F0" w:rsidRDefault="00A0635A" w:rsidP="00492968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A0635A" w:rsidRPr="00C830F0" w14:paraId="7D4A80D6" w14:textId="77777777" w:rsidTr="00492968">
        <w:tc>
          <w:tcPr>
            <w:tcW w:w="1748" w:type="dxa"/>
            <w:vMerge/>
          </w:tcPr>
          <w:p w14:paraId="4A9D7FAD" w14:textId="77777777" w:rsidR="00A0635A" w:rsidRPr="00C830F0" w:rsidRDefault="00A0635A" w:rsidP="00492968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1737DD07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55270C77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5616108A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278559C6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41D1BA06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25DA61C1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010" w:type="dxa"/>
            <w:vAlign w:val="center"/>
          </w:tcPr>
          <w:p w14:paraId="45E50054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A0635A" w:rsidRPr="00C830F0" w14:paraId="2A3D034E" w14:textId="77777777" w:rsidTr="00492968">
        <w:trPr>
          <w:trHeight w:val="998"/>
        </w:trPr>
        <w:tc>
          <w:tcPr>
            <w:tcW w:w="1748" w:type="dxa"/>
            <w:vMerge w:val="restart"/>
          </w:tcPr>
          <w:p w14:paraId="2E3D8848" w14:textId="77777777" w:rsidR="00A0635A" w:rsidRPr="00902E65" w:rsidRDefault="00A0635A" w:rsidP="0049296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  <w:r w:rsidRPr="00902E65">
              <w:rPr>
                <w:b/>
                <w:sz w:val="18"/>
                <w:szCs w:val="18"/>
                <w:lang w:val="en-GB"/>
              </w:rPr>
              <w:t>Unit 3 Outcome 2</w:t>
            </w:r>
          </w:p>
          <w:p w14:paraId="09A1F346" w14:textId="77777777" w:rsidR="00A0635A" w:rsidRPr="00902E65" w:rsidRDefault="00A0635A" w:rsidP="00492968">
            <w:pPr>
              <w:pStyle w:val="VCAAtablecondensed"/>
              <w:rPr>
                <w:sz w:val="18"/>
                <w:szCs w:val="18"/>
                <w:lang w:val="en-GB"/>
              </w:rPr>
            </w:pPr>
          </w:p>
          <w:p w14:paraId="24FE71FD" w14:textId="77777777" w:rsidR="00A0635A" w:rsidRPr="00902E65" w:rsidRDefault="00A0635A" w:rsidP="00492968">
            <w:pPr>
              <w:pStyle w:val="VCAAtablecondensed"/>
              <w:spacing w:line="240" w:lineRule="auto"/>
              <w:ind w:left="319" w:hanging="319"/>
              <w:rPr>
                <w:sz w:val="18"/>
                <w:szCs w:val="18"/>
                <w:lang w:val="en-GB"/>
              </w:rPr>
            </w:pPr>
            <w:r w:rsidRPr="00902E65">
              <w:rPr>
                <w:b/>
                <w:sz w:val="18"/>
                <w:szCs w:val="18"/>
                <w:lang w:val="en-GB"/>
              </w:rPr>
              <w:t>5.</w:t>
            </w:r>
            <w:r w:rsidRPr="00902E65">
              <w:rPr>
                <w:b/>
                <w:sz w:val="18"/>
                <w:szCs w:val="18"/>
                <w:lang w:val="en-GB"/>
              </w:rPr>
              <w:tab/>
              <w:t xml:space="preserve">Skills in designing the </w:t>
            </w:r>
            <w:r w:rsidRPr="00902E65">
              <w:rPr>
                <w:b/>
                <w:color w:val="000000" w:themeColor="text1"/>
                <w:sz w:val="18"/>
                <w:szCs w:val="18"/>
                <w:lang w:val="en-GB"/>
              </w:rPr>
              <w:t xml:space="preserve">database and/or spreadsheet solutions and the </w:t>
            </w:r>
            <w:r w:rsidRPr="00902E65">
              <w:rPr>
                <w:b/>
                <w:sz w:val="18"/>
                <w:szCs w:val="18"/>
                <w:lang w:val="en-GB"/>
              </w:rPr>
              <w:t>infographics or dynamic data visualisations.</w:t>
            </w:r>
          </w:p>
        </w:tc>
        <w:tc>
          <w:tcPr>
            <w:tcW w:w="2041" w:type="dxa"/>
            <w:tcBorders>
              <w:bottom w:val="nil"/>
            </w:tcBorders>
          </w:tcPr>
          <w:p w14:paraId="5067BB2B" w14:textId="77777777" w:rsidR="00A0635A" w:rsidRPr="0084056F" w:rsidRDefault="00A0635A" w:rsidP="00A0635A">
            <w:pPr>
              <w:pStyle w:val="ListParagraph"/>
              <w:numPr>
                <w:ilvl w:val="0"/>
                <w:numId w:val="2"/>
              </w:num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0" w:line="240" w:lineRule="auto"/>
              <w:ind w:left="267" w:hanging="284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84056F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Generates alternative design ideas.</w:t>
            </w:r>
          </w:p>
        </w:tc>
        <w:tc>
          <w:tcPr>
            <w:tcW w:w="1744" w:type="dxa"/>
            <w:vMerge w:val="restart"/>
          </w:tcPr>
          <w:p w14:paraId="36844CAB" w14:textId="77777777" w:rsidR="00A0635A" w:rsidRPr="00902E65" w:rsidRDefault="00A0635A" w:rsidP="00492968">
            <w:pPr>
              <w:rPr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noProof/>
                <w:sz w:val="18"/>
                <w:szCs w:val="1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A84FDA7" wp14:editId="2B03B820">
                      <wp:simplePos x="0" y="0"/>
                      <wp:positionH relativeFrom="column">
                        <wp:posOffset>277812</wp:posOffset>
                      </wp:positionH>
                      <wp:positionV relativeFrom="paragraph">
                        <wp:posOffset>1340332</wp:posOffset>
                      </wp:positionV>
                      <wp:extent cx="1587500" cy="1403985"/>
                      <wp:effectExtent l="5715" t="0" r="0" b="0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C9B2C0" w14:textId="77777777" w:rsidR="00A0635A" w:rsidRPr="00346DB3" w:rsidRDefault="00A0635A" w:rsidP="00A0635A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 w:rsidRPr="00346DB3"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84FDA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1.85pt;margin-top:105.55pt;width:125pt;height:110.55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" stroked="f">
                      <v:textbox style="mso-fit-shape-to-text:t">
                        <w:txbxContent>
                          <w:p w14:paraId="62C9B2C0" w14:textId="77777777" w:rsidR="00A0635A" w:rsidRPr="00346DB3" w:rsidRDefault="00A0635A" w:rsidP="00A0635A">
                            <w:pPr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346DB3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0C7E131E" w14:textId="77777777" w:rsidR="00A0635A" w:rsidRPr="0084056F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84056F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Generates two design ideas with limited differences in appearance or functionality.</w:t>
            </w:r>
          </w:p>
        </w:tc>
        <w:tc>
          <w:tcPr>
            <w:tcW w:w="2041" w:type="dxa"/>
            <w:tcBorders>
              <w:bottom w:val="nil"/>
            </w:tcBorders>
          </w:tcPr>
          <w:p w14:paraId="5BB014F4" w14:textId="77777777" w:rsidR="00A0635A" w:rsidRPr="0084056F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84056F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Generates two design ideas with some modifications in appearance and functionality.</w:t>
            </w:r>
          </w:p>
        </w:tc>
        <w:tc>
          <w:tcPr>
            <w:tcW w:w="1984" w:type="dxa"/>
            <w:tcBorders>
              <w:bottom w:val="nil"/>
            </w:tcBorders>
          </w:tcPr>
          <w:p w14:paraId="0D20B12E" w14:textId="77777777" w:rsidR="00A0635A" w:rsidRPr="0084056F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84056F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Generates two or three design ideas that represent sound alternatives to appearance and functionality.</w:t>
            </w:r>
          </w:p>
        </w:tc>
        <w:tc>
          <w:tcPr>
            <w:tcW w:w="1984" w:type="dxa"/>
            <w:tcBorders>
              <w:bottom w:val="nil"/>
            </w:tcBorders>
          </w:tcPr>
          <w:p w14:paraId="3A39F1B3" w14:textId="77777777" w:rsidR="00A0635A" w:rsidRPr="0084056F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84056F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Generates two or three design ideas that are feasible alternatives and clearly differ in appearance and functionality.</w:t>
            </w:r>
          </w:p>
        </w:tc>
        <w:tc>
          <w:tcPr>
            <w:tcW w:w="2010" w:type="dxa"/>
            <w:tcBorders>
              <w:bottom w:val="nil"/>
            </w:tcBorders>
          </w:tcPr>
          <w:p w14:paraId="5BFA3E83" w14:textId="77777777" w:rsidR="00A0635A" w:rsidRPr="0084056F" w:rsidRDefault="00A0635A" w:rsidP="00492968">
            <w:pPr>
              <w:spacing w:before="120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84056F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Generates two or three distinctive design ideas that are feasible and original representations of appearance and functionality.</w:t>
            </w:r>
          </w:p>
        </w:tc>
      </w:tr>
      <w:tr w:rsidR="00A0635A" w:rsidRPr="00C830F0" w14:paraId="5961D2CA" w14:textId="77777777" w:rsidTr="00492968">
        <w:trPr>
          <w:trHeight w:val="794"/>
        </w:trPr>
        <w:tc>
          <w:tcPr>
            <w:tcW w:w="1748" w:type="dxa"/>
            <w:vMerge/>
          </w:tcPr>
          <w:p w14:paraId="01B48767" w14:textId="77777777" w:rsidR="00A0635A" w:rsidRPr="00902E65" w:rsidRDefault="00A0635A" w:rsidP="0049296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05BB3983" w14:textId="77777777" w:rsidR="00A0635A" w:rsidRPr="00902E65" w:rsidRDefault="00A0635A" w:rsidP="00A0635A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line="240" w:lineRule="auto"/>
              <w:ind w:left="269" w:hanging="269"/>
              <w:rPr>
                <w:sz w:val="18"/>
                <w:szCs w:val="18"/>
              </w:rPr>
            </w:pPr>
            <w:r w:rsidRPr="00902E65">
              <w:rPr>
                <w:sz w:val="18"/>
                <w:szCs w:val="18"/>
              </w:rPr>
              <w:t>Develops evaluation criteria with reference to design ideas and infographics or dynamic data visualisations.</w:t>
            </w:r>
          </w:p>
        </w:tc>
        <w:tc>
          <w:tcPr>
            <w:tcW w:w="1744" w:type="dxa"/>
            <w:vMerge/>
          </w:tcPr>
          <w:p w14:paraId="7A9A07D1" w14:textId="77777777" w:rsidR="00A0635A" w:rsidRPr="00902E65" w:rsidRDefault="00A0635A" w:rsidP="00492968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022ADABB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Lists some criteria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for evaluating</w:t>
            </w:r>
            <w:r w:rsidRPr="00902E65">
              <w:rPr>
                <w:rFonts w:ascii="Arial Narrow" w:hAnsi="Arial Narrow"/>
                <w:color w:val="FF0000"/>
                <w:sz w:val="18"/>
                <w:szCs w:val="18"/>
                <w:lang w:val="en-GB"/>
              </w:rPr>
              <w:t xml:space="preserve">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design ideas and the infographics or dynamic data visualisations.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4115E2DE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Outlines some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criteria for evaluating</w:t>
            </w:r>
            <w:r w:rsidRPr="00902E65">
              <w:rPr>
                <w:rFonts w:ascii="Arial Narrow" w:hAnsi="Arial Narrow"/>
                <w:color w:val="FF0000"/>
                <w:sz w:val="18"/>
                <w:szCs w:val="18"/>
                <w:lang w:val="en-GB"/>
              </w:rPr>
              <w:t xml:space="preserve">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design ideas and the infographics or dynamic data visualisations.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7FAD3B8F" w14:textId="77777777" w:rsidR="00A0635A" w:rsidRPr="00902E65" w:rsidRDefault="00A0635A" w:rsidP="0049296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Develops a range of criteria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 xml:space="preserve">for evaluating alternative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design ideas and the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effectiveness of the</w:t>
            </w:r>
            <w:r w:rsidRPr="00902E65">
              <w:rPr>
                <w:rFonts w:ascii="Arial Narrow" w:hAnsi="Arial Narrow"/>
                <w:color w:val="FF0000"/>
                <w:sz w:val="18"/>
                <w:szCs w:val="18"/>
                <w:lang w:val="en-GB"/>
              </w:rPr>
              <w:t xml:space="preserve">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infographics or dynamic data visualisations.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33D2D6C9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Develops a detailed set of criteria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for evaluating alternative</w:t>
            </w:r>
            <w:r w:rsidRPr="00902E65">
              <w:rPr>
                <w:rFonts w:ascii="Arial Narrow" w:hAnsi="Arial Narrow"/>
                <w:color w:val="FF0000"/>
                <w:sz w:val="18"/>
                <w:szCs w:val="18"/>
                <w:lang w:val="en-GB"/>
              </w:rPr>
              <w:t xml:space="preserve">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design ideas and the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 xml:space="preserve">efficiency and effectiveness of the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infographics or dynamic data visualisations.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3A869DD5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8F7333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Develops a comprehensive set of criteria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for evaluating alternative design ideas and the efficiency and effectiveness of the infographics or dynamic data visualisations.</w:t>
            </w:r>
          </w:p>
        </w:tc>
      </w:tr>
      <w:tr w:rsidR="00A0635A" w:rsidRPr="00C830F0" w14:paraId="377F41ED" w14:textId="77777777" w:rsidTr="00492968">
        <w:trPr>
          <w:trHeight w:val="850"/>
        </w:trPr>
        <w:tc>
          <w:tcPr>
            <w:tcW w:w="1748" w:type="dxa"/>
            <w:vMerge/>
          </w:tcPr>
          <w:p w14:paraId="18E06421" w14:textId="77777777" w:rsidR="00A0635A" w:rsidRPr="00902E65" w:rsidRDefault="00A0635A" w:rsidP="0049296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736E0A2C" w14:textId="77777777" w:rsidR="00A0635A" w:rsidRPr="00902E65" w:rsidRDefault="00A0635A" w:rsidP="00A0635A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ind w:left="269" w:hanging="269"/>
              <w:rPr>
                <w:sz w:val="18"/>
                <w:szCs w:val="18"/>
              </w:rPr>
            </w:pPr>
            <w:r w:rsidRPr="00902E65">
              <w:rPr>
                <w:sz w:val="18"/>
                <w:szCs w:val="18"/>
              </w:rPr>
              <w:t>Produces preferred design for infographics or dynamic data visualisations.</w:t>
            </w:r>
          </w:p>
        </w:tc>
        <w:tc>
          <w:tcPr>
            <w:tcW w:w="1744" w:type="dxa"/>
            <w:vMerge/>
          </w:tcPr>
          <w:p w14:paraId="5F891F10" w14:textId="77777777" w:rsidR="00A0635A" w:rsidRPr="00902E65" w:rsidRDefault="00A0635A" w:rsidP="00492968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2A798400" w14:textId="77777777" w:rsidR="00A0635A" w:rsidRPr="00902E65" w:rsidRDefault="00A0635A" w:rsidP="0049296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Produces the preferred design using limited and incomplete methods.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2C9D004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Produces the preferred design using some appropriate methods and limited reference to the evaluation criteria.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633DDF06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Produces the preferred design using a range of appropriate methods and design principles with reference to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some</w:t>
            </w:r>
            <w:r w:rsidRPr="00902E65">
              <w:rPr>
                <w:rFonts w:ascii="Arial Narrow" w:hAnsi="Arial Narrow"/>
                <w:color w:val="FF0000"/>
                <w:sz w:val="18"/>
                <w:szCs w:val="18"/>
                <w:lang w:val="en-GB"/>
              </w:rPr>
              <w:t xml:space="preserve">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evaluation criteria.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57A1E483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D9102F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Produces the preferred design in detail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using appropriate methods and design principles with reference to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most</w:t>
            </w:r>
            <w:r w:rsidRPr="00902E65">
              <w:rPr>
                <w:rFonts w:ascii="Arial Narrow" w:hAnsi="Arial Narrow"/>
                <w:color w:val="FF0000"/>
                <w:sz w:val="18"/>
                <w:szCs w:val="18"/>
                <w:lang w:val="en-GB"/>
              </w:rPr>
              <w:t xml:space="preserve">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evaluation criteria.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78C84EAD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Produces the preferred design comprehensively using appropriate methods and design principles with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detailed</w:t>
            </w:r>
            <w:r w:rsidRPr="00902E65">
              <w:rPr>
                <w:rFonts w:ascii="Arial Narrow" w:hAnsi="Arial Narrow"/>
                <w:color w:val="FF0000"/>
                <w:sz w:val="18"/>
                <w:szCs w:val="18"/>
                <w:lang w:val="en-GB"/>
              </w:rPr>
              <w:t xml:space="preserve">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reference to all evaluation criteria.</w:t>
            </w:r>
          </w:p>
        </w:tc>
      </w:tr>
      <w:tr w:rsidR="00A0635A" w:rsidRPr="00C830F0" w14:paraId="4D82AEC3" w14:textId="77777777" w:rsidTr="00492968">
        <w:trPr>
          <w:trHeight w:val="2268"/>
        </w:trPr>
        <w:tc>
          <w:tcPr>
            <w:tcW w:w="1748" w:type="dxa"/>
            <w:vMerge/>
          </w:tcPr>
          <w:p w14:paraId="2810FD56" w14:textId="77777777" w:rsidR="00A0635A" w:rsidRPr="00902E65" w:rsidRDefault="00A0635A" w:rsidP="0049296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2ED396B9" w14:textId="77777777" w:rsidR="00A0635A" w:rsidRPr="00902E65" w:rsidRDefault="00A0635A" w:rsidP="00A0635A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ind w:left="269" w:hanging="269"/>
              <w:rPr>
                <w:sz w:val="18"/>
                <w:szCs w:val="18"/>
              </w:rPr>
            </w:pPr>
            <w:r w:rsidRPr="00902E65">
              <w:rPr>
                <w:sz w:val="18"/>
                <w:szCs w:val="18"/>
              </w:rPr>
              <w:t>Documents evidence of critical and creative thinking through design ideas, solution requirements and justification of preferred designs.</w:t>
            </w:r>
          </w:p>
        </w:tc>
        <w:tc>
          <w:tcPr>
            <w:tcW w:w="1744" w:type="dxa"/>
            <w:vMerge/>
          </w:tcPr>
          <w:p w14:paraId="0649FFD1" w14:textId="77777777" w:rsidR="00A0635A" w:rsidRPr="00902E65" w:rsidRDefault="00A0635A" w:rsidP="00492968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5FE7A8C6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Lists some evidence of critical and creative thinking through the development of connections between ideas and solution requirements.</w:t>
            </w:r>
          </w:p>
        </w:tc>
        <w:tc>
          <w:tcPr>
            <w:tcW w:w="2041" w:type="dxa"/>
            <w:tcBorders>
              <w:top w:val="nil"/>
            </w:tcBorders>
          </w:tcPr>
          <w:p w14:paraId="5542A871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Outlines some evidence of critical and creative thinking through the development of connections between design ideas and solution requirements.</w:t>
            </w:r>
          </w:p>
        </w:tc>
        <w:tc>
          <w:tcPr>
            <w:tcW w:w="1984" w:type="dxa"/>
            <w:tcBorders>
              <w:top w:val="nil"/>
            </w:tcBorders>
          </w:tcPr>
          <w:p w14:paraId="7944E232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Documents evidence of critical and creative thinking through the development of connections between design ideas and solution requirements and the justification of the preferred designs.</w:t>
            </w:r>
          </w:p>
        </w:tc>
        <w:tc>
          <w:tcPr>
            <w:tcW w:w="1984" w:type="dxa"/>
            <w:tcBorders>
              <w:top w:val="nil"/>
            </w:tcBorders>
          </w:tcPr>
          <w:p w14:paraId="62A68EA0" w14:textId="77777777" w:rsidR="00A0635A" w:rsidRPr="00902E65" w:rsidRDefault="00A0635A" w:rsidP="0049296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Documents detailed evidence of critical and creative thinking through the connection of ideas, design ideas, solution requirements and the justification of the preferred designs.</w:t>
            </w:r>
          </w:p>
        </w:tc>
        <w:tc>
          <w:tcPr>
            <w:tcW w:w="2010" w:type="dxa"/>
            <w:tcBorders>
              <w:top w:val="nil"/>
            </w:tcBorders>
          </w:tcPr>
          <w:p w14:paraId="2ABA70B6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D9102F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Documents comprehensively evidence of critical and creative thinking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through the connection of ideas, the generation of design ideas, solution requirements and the justification of preferred designs.</w:t>
            </w:r>
          </w:p>
        </w:tc>
      </w:tr>
      <w:tr w:rsidR="00A0635A" w:rsidRPr="00C830F0" w14:paraId="698E133D" w14:textId="77777777" w:rsidTr="00492968">
        <w:trPr>
          <w:trHeight w:val="227"/>
        </w:trPr>
        <w:tc>
          <w:tcPr>
            <w:tcW w:w="1748" w:type="dxa"/>
            <w:vMerge/>
          </w:tcPr>
          <w:p w14:paraId="297754F8" w14:textId="77777777" w:rsidR="00A0635A" w:rsidRPr="00902E65" w:rsidRDefault="00A0635A" w:rsidP="0049296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620377AC" w14:textId="77777777" w:rsidR="00A0635A" w:rsidRPr="00902E65" w:rsidRDefault="00A0635A" w:rsidP="0049296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744" w:type="dxa"/>
          </w:tcPr>
          <w:p w14:paraId="3A12E98F" w14:textId="77777777" w:rsidR="00A0635A" w:rsidRPr="00902E65" w:rsidRDefault="00A0635A" w:rsidP="00492968">
            <w:pPr>
              <w:spacing w:before="120" w:after="120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0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0296F842" w14:textId="77777777" w:rsidR="00A0635A" w:rsidRPr="00902E65" w:rsidRDefault="00A0635A" w:rsidP="0049296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1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2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74BE9F44" w14:textId="77777777" w:rsidR="00A0635A" w:rsidRPr="00902E65" w:rsidRDefault="00A0635A" w:rsidP="0049296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3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4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4FF0E2C0" w14:textId="77777777" w:rsidR="00A0635A" w:rsidRPr="00902E65" w:rsidRDefault="00A0635A" w:rsidP="0049296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5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6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6737B17F" w14:textId="77777777" w:rsidR="00A0635A" w:rsidRPr="00902E65" w:rsidRDefault="00A0635A" w:rsidP="0049296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7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8 </w:t>
            </w:r>
            <w:r w:rsidRPr="00255935">
              <w:rPr>
                <w:rFonts w:ascii="Arial Narrow" w:hAnsi="Arial Narrow"/>
                <w:sz w:val="18"/>
                <w:szCs w:val="18"/>
                <w:highlight w:val="red"/>
                <w:lang w:val="en-GB"/>
              </w:rPr>
              <w:sym w:font="Wingdings" w:char="F071"/>
            </w:r>
          </w:p>
        </w:tc>
        <w:tc>
          <w:tcPr>
            <w:tcW w:w="2010" w:type="dxa"/>
          </w:tcPr>
          <w:p w14:paraId="5EA1357E" w14:textId="77777777" w:rsidR="00A0635A" w:rsidRPr="00902E65" w:rsidRDefault="00A0635A" w:rsidP="0049296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9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10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</w:tr>
    </w:tbl>
    <w:p w14:paraId="0EB4B6F9" w14:textId="22DE625A" w:rsidR="008F7333" w:rsidRDefault="008F7333"/>
    <w:p w14:paraId="486FDB8E" w14:textId="77777777" w:rsidR="008F7333" w:rsidRDefault="008F7333">
      <w:pPr>
        <w:spacing w:after="0" w:line="240" w:lineRule="auto"/>
      </w:pPr>
      <w:r>
        <w:br w:type="page"/>
      </w:r>
    </w:p>
    <w:p w14:paraId="557FCCBD" w14:textId="00A34BA8" w:rsidR="00715381" w:rsidRDefault="008F7333">
      <w:r>
        <w:lastRenderedPageBreak/>
        <w:t>Great work Kai!</w:t>
      </w:r>
    </w:p>
    <w:p w14:paraId="1A2AB63D" w14:textId="1CAEE94F" w:rsidR="008F7333" w:rsidRDefault="008F7333">
      <w:r>
        <w:t xml:space="preserve">The criteria set was really nice, I especially liked your time criteria, making points to look at </w:t>
      </w:r>
      <w:proofErr w:type="gramStart"/>
      <w:r w:rsidR="00422733">
        <w:t>both how</w:t>
      </w:r>
      <w:proofErr w:type="gramEnd"/>
      <w:r w:rsidR="00422733">
        <w:t xml:space="preserve"> to hold attention whilst keeping to a reasonable amount of time.</w:t>
      </w:r>
    </w:p>
    <w:p w14:paraId="1A7C8D5A" w14:textId="7138D766" w:rsidR="00422733" w:rsidRDefault="00422733">
      <w:r>
        <w:t xml:space="preserve">I would have liked to see some more detail within your </w:t>
      </w:r>
      <w:proofErr w:type="gramStart"/>
      <w:r>
        <w:t>mock up</w:t>
      </w:r>
      <w:proofErr w:type="gramEnd"/>
      <w:r>
        <w:t xml:space="preserve"> and IPO charts, demonstrating through further annotation displaying how your </w:t>
      </w:r>
      <w:r w:rsidR="008F7554">
        <w:t>design principles will be given and some more steps given in your IPO; however they both gave a good idea of how it will be developed and how it will look.</w:t>
      </w:r>
    </w:p>
    <w:p w14:paraId="6A5E82DD" w14:textId="103D38EC" w:rsidR="008F7554" w:rsidRDefault="008F7554">
      <w:r>
        <w:t>Overall, you’ve done well with this</w:t>
      </w:r>
      <w:r w:rsidR="00053891">
        <w:t>, I look forward to seeing this finished!</w:t>
      </w:r>
      <w:r w:rsidR="00053891">
        <w:br/>
        <w:t>(I’ll have to look over this and keep this in mind when I decide to finally upgrade my car; especially to something from this century!)</w:t>
      </w:r>
    </w:p>
    <w:sectPr w:rsidR="008F7554" w:rsidSect="00A0635A">
      <w:pgSz w:w="16838" w:h="11906" w:orient="landscape"/>
      <w:pgMar w:top="454" w:right="284" w:bottom="45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B7064"/>
    <w:multiLevelType w:val="hybridMultilevel"/>
    <w:tmpl w:val="A238C2A4"/>
    <w:lvl w:ilvl="0" w:tplc="0C090001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105954">
    <w:abstractNumId w:val="0"/>
  </w:num>
  <w:num w:numId="2" w16cid:durableId="1636325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5A"/>
    <w:rsid w:val="00033411"/>
    <w:rsid w:val="00053891"/>
    <w:rsid w:val="002434F3"/>
    <w:rsid w:val="00255935"/>
    <w:rsid w:val="002F7920"/>
    <w:rsid w:val="00422733"/>
    <w:rsid w:val="00715381"/>
    <w:rsid w:val="0084056F"/>
    <w:rsid w:val="008F7333"/>
    <w:rsid w:val="008F7554"/>
    <w:rsid w:val="00A0635A"/>
    <w:rsid w:val="00A33023"/>
    <w:rsid w:val="00C22F71"/>
    <w:rsid w:val="00C42775"/>
    <w:rsid w:val="00D9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43713"/>
  <w15:chartTrackingRefBased/>
  <w15:docId w15:val="{921214B8-9B71-2646-B8BA-23D7DE6C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35A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3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3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3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3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3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3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3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3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3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3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3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3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3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3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3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3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3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3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A0635A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A0635A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A0635A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A0635A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9</cp:revision>
  <dcterms:created xsi:type="dcterms:W3CDTF">2024-06-20T13:36:00Z</dcterms:created>
  <dcterms:modified xsi:type="dcterms:W3CDTF">2024-06-20T23:44:00Z</dcterms:modified>
</cp:coreProperties>
</file>