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153"/>
        <w:gridCol w:w="2154"/>
        <w:gridCol w:w="2154"/>
        <w:gridCol w:w="2154"/>
        <w:gridCol w:w="2154"/>
      </w:tblGrid>
      <w:tr w:rsidR="00A024CA" w:rsidRPr="00C830F0" w14:paraId="47650C22" w14:textId="77777777" w:rsidTr="00A024CA">
        <w:tc>
          <w:tcPr>
            <w:tcW w:w="16302" w:type="dxa"/>
            <w:gridSpan w:val="8"/>
            <w:shd w:val="clear" w:color="auto" w:fill="0F4761" w:themeFill="accent1" w:themeFillShade="BF"/>
          </w:tcPr>
          <w:p w14:paraId="6B8AD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24CA" w:rsidRPr="00C830F0" w14:paraId="2EA3359A" w14:textId="77777777" w:rsidTr="00A024CA">
        <w:tc>
          <w:tcPr>
            <w:tcW w:w="1748" w:type="dxa"/>
            <w:vMerge w:val="restart"/>
            <w:vAlign w:val="center"/>
          </w:tcPr>
          <w:p w14:paraId="0A8F5430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4554" w:type="dxa"/>
            <w:gridSpan w:val="7"/>
            <w:shd w:val="clear" w:color="auto" w:fill="auto"/>
          </w:tcPr>
          <w:p w14:paraId="379D7521" w14:textId="77777777" w:rsidR="00A024CA" w:rsidRPr="00C830F0" w:rsidRDefault="00A024CA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24CA" w:rsidRPr="00C830F0" w14:paraId="1D6B1CD1" w14:textId="77777777" w:rsidTr="00A024CA">
        <w:tc>
          <w:tcPr>
            <w:tcW w:w="1748" w:type="dxa"/>
            <w:vMerge/>
          </w:tcPr>
          <w:p w14:paraId="464C1AC7" w14:textId="77777777" w:rsidR="00A024CA" w:rsidRPr="00C830F0" w:rsidRDefault="00A024CA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70AC2938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7B63CE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153" w:type="dxa"/>
            <w:vAlign w:val="center"/>
          </w:tcPr>
          <w:p w14:paraId="454A876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154" w:type="dxa"/>
            <w:vAlign w:val="center"/>
          </w:tcPr>
          <w:p w14:paraId="5738C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2154" w:type="dxa"/>
            <w:vAlign w:val="center"/>
          </w:tcPr>
          <w:p w14:paraId="37351911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2154" w:type="dxa"/>
            <w:vAlign w:val="center"/>
          </w:tcPr>
          <w:p w14:paraId="0B0F80A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154" w:type="dxa"/>
            <w:vAlign w:val="center"/>
          </w:tcPr>
          <w:p w14:paraId="6CC6B06C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24CA" w:rsidRPr="00C830F0" w14:paraId="13501358" w14:textId="77777777" w:rsidTr="00A024CA">
        <w:trPr>
          <w:trHeight w:val="998"/>
        </w:trPr>
        <w:tc>
          <w:tcPr>
            <w:tcW w:w="1748" w:type="dxa"/>
            <w:vMerge w:val="restart"/>
          </w:tcPr>
          <w:p w14:paraId="313D41E3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Unit 4 Outcome 1</w:t>
            </w:r>
          </w:p>
          <w:p w14:paraId="161571A4" w14:textId="77777777" w:rsidR="00A024CA" w:rsidRPr="00C10E0E" w:rsidRDefault="00A024CA" w:rsidP="008E4308">
            <w:pPr>
              <w:pStyle w:val="VCAAtablecondensed"/>
              <w:rPr>
                <w:szCs w:val="20"/>
                <w:lang w:val="en-GB"/>
              </w:rPr>
            </w:pPr>
          </w:p>
          <w:p w14:paraId="4FB561B1" w14:textId="77777777" w:rsidR="00A024CA" w:rsidRPr="00C10E0E" w:rsidRDefault="00A024CA" w:rsidP="008E4308">
            <w:pPr>
              <w:pStyle w:val="VCAAtablecondensed"/>
              <w:spacing w:line="240" w:lineRule="auto"/>
              <w:ind w:left="319" w:hanging="319"/>
              <w:rPr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6.</w:t>
            </w:r>
            <w:r w:rsidRPr="00C10E0E">
              <w:rPr>
                <w:b/>
                <w:szCs w:val="20"/>
                <w:lang w:val="en-GB"/>
              </w:rPr>
              <w:tab/>
              <w:t>Skills in using database and/or spreadsheet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7C719738" w14:textId="77777777" w:rsidR="00A024CA" w:rsidRPr="00C10E0E" w:rsidRDefault="00A024CA" w:rsidP="00A024CA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 of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1744" w:type="dxa"/>
            <w:vMerge w:val="restart"/>
          </w:tcPr>
          <w:p w14:paraId="2CC329F8" w14:textId="77777777" w:rsidR="00A024CA" w:rsidRPr="00C10E0E" w:rsidRDefault="00A024CA" w:rsidP="008E4308">
            <w:pPr>
              <w:rPr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9DECA" wp14:editId="4F94BFFA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1528486</wp:posOffset>
                      </wp:positionV>
                      <wp:extent cx="1587500" cy="1403985"/>
                      <wp:effectExtent l="5715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04C45" w14:textId="77777777" w:rsidR="00A024CA" w:rsidRPr="00346DB3" w:rsidRDefault="00A024CA" w:rsidP="00A024C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9D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0.3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D15z/XmAAAADwEAAA8AAAAAAAAAAAAAAAAAcAQAAGRycy9kb3ducmV2Lnht&#13;&#10;bFBLBQYAAAAABAAEAPMAAACDBQAAAAA=&#13;&#10;" stroked="f">
                      <v:textbox style="mso-fit-shape-to-text:t">
                        <w:txbxContent>
                          <w:p w14:paraId="68504C45" w14:textId="77777777" w:rsidR="00A024CA" w:rsidRPr="00346DB3" w:rsidRDefault="00A024CA" w:rsidP="00A024C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53" w:type="dxa"/>
            <w:tcBorders>
              <w:bottom w:val="nil"/>
            </w:tcBorders>
          </w:tcPr>
          <w:p w14:paraId="562DD4D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limited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374B8D28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some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687308D4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202689EE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wide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01862BEF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8365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Uses a comprehensive range of features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</w:tr>
      <w:tr w:rsidR="00A024CA" w:rsidRPr="00C830F0" w14:paraId="6EBB5266" w14:textId="77777777" w:rsidTr="00A024CA">
        <w:trPr>
          <w:trHeight w:val="794"/>
        </w:trPr>
        <w:tc>
          <w:tcPr>
            <w:tcW w:w="1748" w:type="dxa"/>
            <w:vMerge/>
          </w:tcPr>
          <w:p w14:paraId="0202CE32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0AD0E1F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Applies appropriate validation techniques.</w:t>
            </w:r>
          </w:p>
        </w:tc>
        <w:tc>
          <w:tcPr>
            <w:tcW w:w="1744" w:type="dxa"/>
            <w:vMerge/>
          </w:tcPr>
          <w:p w14:paraId="4A039511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67A7F27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limited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46CA3B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some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76D1147E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range of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E0C1963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wide range of relevant data validation techniques to check the reasonableness of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136CF4B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4350A0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Applies comprehensive data validation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check the reasonableness and completeness of all input data.</w:t>
            </w:r>
          </w:p>
        </w:tc>
      </w:tr>
      <w:tr w:rsidR="00A024CA" w:rsidRPr="00C830F0" w14:paraId="705DE71C" w14:textId="77777777" w:rsidTr="00A024CA">
        <w:trPr>
          <w:trHeight w:val="850"/>
        </w:trPr>
        <w:tc>
          <w:tcPr>
            <w:tcW w:w="1748" w:type="dxa"/>
            <w:vMerge/>
          </w:tcPr>
          <w:p w14:paraId="23551150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85E017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Documents the use of suitable testing techniques and test data.</w:t>
            </w:r>
          </w:p>
        </w:tc>
        <w:tc>
          <w:tcPr>
            <w:tcW w:w="1744" w:type="dxa"/>
            <w:vMerge/>
          </w:tcPr>
          <w:p w14:paraId="57F28468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DCE7083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Lists some suitable testing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3BF0631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Outlines some suitable testing techniques with some test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125D4CE9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05C489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wide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0F594FF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637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range of suitable testing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test data to ensure the full solution performs as intended.</w:t>
            </w:r>
          </w:p>
        </w:tc>
      </w:tr>
      <w:tr w:rsidR="00A024CA" w:rsidRPr="00C830F0" w14:paraId="47ACE01B" w14:textId="77777777" w:rsidTr="00A024CA">
        <w:trPr>
          <w:trHeight w:val="998"/>
        </w:trPr>
        <w:tc>
          <w:tcPr>
            <w:tcW w:w="1748" w:type="dxa"/>
            <w:vMerge/>
          </w:tcPr>
          <w:p w14:paraId="5D780D57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A4994C" w14:textId="77777777" w:rsidR="00A024CA" w:rsidRPr="004161D0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Cs w:val="20"/>
              </w:rPr>
            </w:pPr>
            <w:r w:rsidRPr="004161D0">
              <w:rPr>
                <w:strike/>
                <w:szCs w:val="20"/>
              </w:rPr>
              <w:t xml:space="preserve">Documents evidence of critical and creative thinking through the modification of designs and evaluation criteria </w:t>
            </w:r>
            <w:r w:rsidRPr="004161D0">
              <w:rPr>
                <w:strike/>
                <w:szCs w:val="20"/>
              </w:rPr>
              <w:br/>
              <w:t>for solution development.</w:t>
            </w:r>
          </w:p>
        </w:tc>
        <w:tc>
          <w:tcPr>
            <w:tcW w:w="1744" w:type="dxa"/>
            <w:vMerge/>
          </w:tcPr>
          <w:p w14:paraId="0299D886" w14:textId="77777777" w:rsidR="00A024CA" w:rsidRPr="004161D0" w:rsidRDefault="00A024CA" w:rsidP="008E4308">
            <w:pPr>
              <w:rPr>
                <w:rFonts w:ascii="Arial Narrow" w:hAnsi="Arial Narrow"/>
                <w:strike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</w:tcBorders>
          </w:tcPr>
          <w:p w14:paraId="63142CF9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180E3151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7386A745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0FCC00C6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modification of designs and evaluation criteria as well as listing a range of relevant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20466567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modification of designs and evaluation criteria as well as listing a wide range of relevant contingencies for solution development.</w:t>
            </w:r>
          </w:p>
        </w:tc>
      </w:tr>
      <w:tr w:rsidR="00A024CA" w:rsidRPr="00C830F0" w14:paraId="6C4237F7" w14:textId="77777777" w:rsidTr="00A024CA">
        <w:trPr>
          <w:trHeight w:val="227"/>
        </w:trPr>
        <w:tc>
          <w:tcPr>
            <w:tcW w:w="1748" w:type="dxa"/>
            <w:vMerge/>
          </w:tcPr>
          <w:p w14:paraId="4E1E54C8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7CA768D9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D6E5820" w14:textId="77777777" w:rsidR="00A024CA" w:rsidRPr="00C10E0E" w:rsidRDefault="00A024CA" w:rsidP="008E4308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3" w:type="dxa"/>
          </w:tcPr>
          <w:p w14:paraId="4D3790E0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67BDC5A1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6538CA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E48A4DB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43E967D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B7473C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2E2F7C4A" w:rsidR="007C5508" w:rsidRDefault="004350A0">
      <w:r>
        <w:lastRenderedPageBreak/>
        <w:t>Amazing job Mohammad!</w:t>
      </w:r>
    </w:p>
    <w:p w14:paraId="53F0922A" w14:textId="6F0FBD4F" w:rsidR="004350A0" w:rsidRDefault="004350A0">
      <w:r>
        <w:t xml:space="preserve">Your transformations and manipulations were well varied and showed a clear and concise </w:t>
      </w:r>
      <w:r w:rsidR="00B52E22">
        <w:t>use of your data sets. The information you retrieved from your data was relevant and showed to be tested extensively to ensure your data was given with integrity and</w:t>
      </w:r>
      <w:r w:rsidR="00E1113C">
        <w:t xml:space="preserve"> your solution was to show your data in a simple manner.</w:t>
      </w:r>
    </w:p>
    <w:p w14:paraId="75B88B4A" w14:textId="712C03DE" w:rsidR="00E1113C" w:rsidRDefault="00E1113C">
      <w:r>
        <w:t xml:space="preserve">The validation </w:t>
      </w:r>
      <w:r w:rsidR="004D5A21">
        <w:t xml:space="preserve">and verification </w:t>
      </w:r>
      <w:r>
        <w:t xml:space="preserve">techniques </w:t>
      </w:r>
      <w:r w:rsidR="004D5A21">
        <w:t>given were well thought through and shown clearly through your statements also.</w:t>
      </w:r>
    </w:p>
    <w:p w14:paraId="6E5B3D11" w14:textId="4DD16D36" w:rsidR="004D5A21" w:rsidRDefault="004D5A21">
      <w:r>
        <w:t xml:space="preserve">Overall, you’ve done some great work in transforming your data here </w:t>
      </w:r>
      <w:r>
        <w:sym w:font="Wingdings" w:char="F04A"/>
      </w:r>
    </w:p>
    <w:p w14:paraId="39BD8AE2" w14:textId="77777777" w:rsidR="00711539" w:rsidRDefault="00711539"/>
    <w:sectPr w:rsidR="00711539" w:rsidSect="00A024C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531"/>
    <w:multiLevelType w:val="hybridMultilevel"/>
    <w:tmpl w:val="8E44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3"/>
  </w:num>
  <w:num w:numId="3" w16cid:durableId="306325795">
    <w:abstractNumId w:val="2"/>
  </w:num>
  <w:num w:numId="4" w16cid:durableId="965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7645"/>
    <w:rsid w:val="002434F3"/>
    <w:rsid w:val="002F7920"/>
    <w:rsid w:val="003A13E3"/>
    <w:rsid w:val="004161D0"/>
    <w:rsid w:val="004350A0"/>
    <w:rsid w:val="004D5A21"/>
    <w:rsid w:val="005321D7"/>
    <w:rsid w:val="00652773"/>
    <w:rsid w:val="006E09FA"/>
    <w:rsid w:val="00711539"/>
    <w:rsid w:val="00715381"/>
    <w:rsid w:val="007C5508"/>
    <w:rsid w:val="00870B22"/>
    <w:rsid w:val="00883659"/>
    <w:rsid w:val="00A024CA"/>
    <w:rsid w:val="00A33023"/>
    <w:rsid w:val="00B22BFE"/>
    <w:rsid w:val="00B52E22"/>
    <w:rsid w:val="00B7473C"/>
    <w:rsid w:val="00C1637B"/>
    <w:rsid w:val="00E1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13</cp:revision>
  <dcterms:created xsi:type="dcterms:W3CDTF">2024-06-06T04:46:00Z</dcterms:created>
  <dcterms:modified xsi:type="dcterms:W3CDTF">2024-08-22T07:51:00Z</dcterms:modified>
</cp:coreProperties>
</file>