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5593" w:type="dxa"/>
        <w:tblInd w:w="-5" w:type="dxa"/>
        <w:tblLook w:val="04A0" w:firstRow="1" w:lastRow="0" w:firstColumn="1" w:lastColumn="0" w:noHBand="0" w:noVBand="1"/>
      </w:tblPr>
      <w:tblGrid>
        <w:gridCol w:w="1748"/>
        <w:gridCol w:w="2041"/>
        <w:gridCol w:w="1744"/>
        <w:gridCol w:w="2041"/>
        <w:gridCol w:w="2041"/>
        <w:gridCol w:w="1984"/>
        <w:gridCol w:w="1984"/>
        <w:gridCol w:w="2010"/>
      </w:tblGrid>
      <w:tr w:rsidR="00243CB3" w:rsidRPr="00C830F0" w14:paraId="391A3676" w14:textId="77777777" w:rsidTr="008E4308">
        <w:tc>
          <w:tcPr>
            <w:tcW w:w="15593" w:type="dxa"/>
            <w:gridSpan w:val="8"/>
            <w:shd w:val="clear" w:color="auto" w:fill="0F4761" w:themeFill="accent1" w:themeFillShade="BF"/>
          </w:tcPr>
          <w:p w14:paraId="464751CE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lang w:val="en-GB"/>
              </w:rPr>
              <w:t xml:space="preserve">VCE Data Analytics: School-assessed Task </w:t>
            </w:r>
            <w:r w:rsidRPr="009119A3">
              <w:rPr>
                <w:b/>
                <w:lang w:val="en-GB"/>
              </w:rPr>
              <w:t>202</w:t>
            </w:r>
            <w:r>
              <w:rPr>
                <w:b/>
                <w:lang w:val="en-GB"/>
              </w:rPr>
              <w:t>4</w:t>
            </w:r>
          </w:p>
        </w:tc>
      </w:tr>
      <w:tr w:rsidR="00243CB3" w:rsidRPr="00C830F0" w14:paraId="6D7C4D65" w14:textId="77777777" w:rsidTr="008E4308">
        <w:tc>
          <w:tcPr>
            <w:tcW w:w="1748" w:type="dxa"/>
            <w:vMerge w:val="restart"/>
            <w:vAlign w:val="center"/>
          </w:tcPr>
          <w:p w14:paraId="3DA8128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Assessment Criteria</w:t>
            </w:r>
          </w:p>
        </w:tc>
        <w:tc>
          <w:tcPr>
            <w:tcW w:w="13845" w:type="dxa"/>
            <w:gridSpan w:val="7"/>
            <w:shd w:val="clear" w:color="auto" w:fill="auto"/>
          </w:tcPr>
          <w:p w14:paraId="73DC8236" w14:textId="77777777" w:rsidR="00243CB3" w:rsidRPr="00C830F0" w:rsidRDefault="00243CB3" w:rsidP="008E4308">
            <w:pPr>
              <w:pStyle w:val="VCAAtablecondensedheading"/>
              <w:ind w:hanging="1711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Levels of Performance</w:t>
            </w:r>
          </w:p>
        </w:tc>
      </w:tr>
      <w:tr w:rsidR="00243CB3" w:rsidRPr="00C830F0" w14:paraId="1F548517" w14:textId="77777777" w:rsidTr="008E4308">
        <w:tc>
          <w:tcPr>
            <w:tcW w:w="1748" w:type="dxa"/>
            <w:vMerge/>
          </w:tcPr>
          <w:p w14:paraId="54B21E97" w14:textId="77777777" w:rsidR="00243CB3" w:rsidRPr="00C830F0" w:rsidRDefault="00243CB3" w:rsidP="008E4308">
            <w:pPr>
              <w:rPr>
                <w:lang w:val="en-GB"/>
              </w:rPr>
            </w:pPr>
          </w:p>
        </w:tc>
        <w:tc>
          <w:tcPr>
            <w:tcW w:w="2041" w:type="dxa"/>
          </w:tcPr>
          <w:p w14:paraId="504C6D48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Indicators</w:t>
            </w:r>
          </w:p>
        </w:tc>
        <w:tc>
          <w:tcPr>
            <w:tcW w:w="1744" w:type="dxa"/>
          </w:tcPr>
          <w:p w14:paraId="1F09489D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Not shown</w:t>
            </w:r>
          </w:p>
        </w:tc>
        <w:tc>
          <w:tcPr>
            <w:tcW w:w="2041" w:type="dxa"/>
            <w:vAlign w:val="center"/>
          </w:tcPr>
          <w:p w14:paraId="4233604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1–2 (very low)</w:t>
            </w:r>
          </w:p>
        </w:tc>
        <w:tc>
          <w:tcPr>
            <w:tcW w:w="2041" w:type="dxa"/>
            <w:vAlign w:val="center"/>
          </w:tcPr>
          <w:p w14:paraId="4800D12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3–4 (low)</w:t>
            </w:r>
          </w:p>
        </w:tc>
        <w:tc>
          <w:tcPr>
            <w:tcW w:w="1984" w:type="dxa"/>
            <w:vAlign w:val="center"/>
          </w:tcPr>
          <w:p w14:paraId="62643402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5–6 (medium)</w:t>
            </w:r>
          </w:p>
        </w:tc>
        <w:tc>
          <w:tcPr>
            <w:tcW w:w="1984" w:type="dxa"/>
            <w:vAlign w:val="center"/>
          </w:tcPr>
          <w:p w14:paraId="392C1A14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/>
              </w:rPr>
              <w:t>7–8 (high)</w:t>
            </w:r>
          </w:p>
        </w:tc>
        <w:tc>
          <w:tcPr>
            <w:tcW w:w="2010" w:type="dxa"/>
            <w:vAlign w:val="center"/>
          </w:tcPr>
          <w:p w14:paraId="6BF13393" w14:textId="77777777" w:rsidR="00243CB3" w:rsidRPr="00C830F0" w:rsidRDefault="00243CB3" w:rsidP="008E4308">
            <w:pPr>
              <w:pStyle w:val="VCAAtablecondensedheading"/>
              <w:jc w:val="center"/>
              <w:rPr>
                <w:b/>
                <w:color w:val="auto"/>
                <w:lang w:val="en-GB"/>
              </w:rPr>
            </w:pPr>
            <w:r w:rsidRPr="00C830F0">
              <w:rPr>
                <w:b/>
                <w:color w:val="auto"/>
                <w:lang w:val="en-GB" w:eastAsia="en-AU"/>
              </w:rPr>
              <w:t>9–10 (very high)</w:t>
            </w:r>
          </w:p>
        </w:tc>
      </w:tr>
      <w:tr w:rsidR="00243CB3" w:rsidRPr="00C830F0" w14:paraId="5F8679BC" w14:textId="77777777" w:rsidTr="008E4308">
        <w:trPr>
          <w:trHeight w:val="998"/>
        </w:trPr>
        <w:tc>
          <w:tcPr>
            <w:tcW w:w="1748" w:type="dxa"/>
            <w:vMerge w:val="restart"/>
          </w:tcPr>
          <w:p w14:paraId="08829269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Unit 4 Outcome 1</w:t>
            </w:r>
          </w:p>
          <w:p w14:paraId="14376B76" w14:textId="77777777" w:rsidR="00243CB3" w:rsidRPr="00920754" w:rsidRDefault="00243CB3" w:rsidP="008E4308">
            <w:pPr>
              <w:pStyle w:val="VCAAtablecondensed"/>
              <w:rPr>
                <w:sz w:val="18"/>
                <w:szCs w:val="18"/>
                <w:lang w:val="en-GB"/>
              </w:rPr>
            </w:pPr>
          </w:p>
          <w:p w14:paraId="2D2252E1" w14:textId="77777777" w:rsidR="00243CB3" w:rsidRPr="00920754" w:rsidRDefault="00243CB3" w:rsidP="008E4308">
            <w:pPr>
              <w:pStyle w:val="VCAAtablecondensed"/>
              <w:spacing w:line="240" w:lineRule="auto"/>
              <w:ind w:left="319" w:hanging="319"/>
              <w:rPr>
                <w:sz w:val="18"/>
                <w:szCs w:val="18"/>
                <w:lang w:val="en-GB"/>
              </w:rPr>
            </w:pPr>
            <w:r w:rsidRPr="00920754">
              <w:rPr>
                <w:b/>
                <w:sz w:val="18"/>
                <w:szCs w:val="18"/>
                <w:lang w:val="en-GB"/>
              </w:rPr>
              <w:t>7.</w:t>
            </w:r>
            <w:r w:rsidRPr="00920754">
              <w:rPr>
                <w:b/>
                <w:sz w:val="18"/>
                <w:szCs w:val="18"/>
                <w:lang w:val="en-GB"/>
              </w:rPr>
              <w:tab/>
              <w:t xml:space="preserve">Skills in </w:t>
            </w:r>
            <w:r w:rsidRPr="00920754">
              <w:rPr>
                <w:b/>
                <w:sz w:val="18"/>
                <w:szCs w:val="18"/>
                <w:lang w:val="en-GB"/>
              </w:rPr>
              <w:br/>
              <w:t>using data visualisation software.</w:t>
            </w:r>
          </w:p>
        </w:tc>
        <w:tc>
          <w:tcPr>
            <w:tcW w:w="2041" w:type="dxa"/>
            <w:tcBorders>
              <w:bottom w:val="nil"/>
            </w:tcBorders>
          </w:tcPr>
          <w:p w14:paraId="18D24062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7" w:hanging="267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Use of data visualisation software tool to create infographics or dynamic data visualisations.</w:t>
            </w:r>
          </w:p>
        </w:tc>
        <w:tc>
          <w:tcPr>
            <w:tcW w:w="1744" w:type="dxa"/>
            <w:vMerge w:val="restart"/>
          </w:tcPr>
          <w:p w14:paraId="54FC9D62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noProof/>
                <w:sz w:val="18"/>
                <w:szCs w:val="18"/>
                <w:lang w:val="en-AU"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E3D5CF2" wp14:editId="73238ACD">
                      <wp:simplePos x="0" y="0"/>
                      <wp:positionH relativeFrom="column">
                        <wp:posOffset>325343</wp:posOffset>
                      </wp:positionH>
                      <wp:positionV relativeFrom="paragraph">
                        <wp:posOffset>1169738</wp:posOffset>
                      </wp:positionV>
                      <wp:extent cx="1587500" cy="1403985"/>
                      <wp:effectExtent l="5715" t="0" r="0" b="0"/>
                      <wp:wrapNone/>
                      <wp:docPr id="2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 rot="16200000">
                                <a:off x="0" y="0"/>
                                <a:ext cx="1587500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B2A7140" w14:textId="77777777" w:rsidR="00243CB3" w:rsidRPr="00EF6F25" w:rsidRDefault="00243CB3" w:rsidP="00243CB3">
                                  <w:pPr>
                                    <w:jc w:val="center"/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</w:pPr>
                                  <w:r w:rsidRPr="00EF6F25">
                                    <w:rPr>
                                      <w:rFonts w:ascii="Arial Narrow" w:hAnsi="Arial Narrow"/>
                                      <w:sz w:val="18"/>
                                      <w:szCs w:val="18"/>
                                    </w:rPr>
                                    <w:t>Insufficient evidence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ctr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E3D5CF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5.6pt;margin-top:92.1pt;width:125pt;height:110.55pt;rotation:-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" stroked="f">
                      <v:textbox style="mso-fit-shape-to-text:t">
                        <w:txbxContent>
                          <w:p w14:paraId="1B2A7140" w14:textId="77777777" w:rsidR="00243CB3" w:rsidRPr="00EF6F25" w:rsidRDefault="00243CB3" w:rsidP="00243CB3">
                            <w:pPr>
                              <w:jc w:val="center"/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</w:pPr>
                            <w:r w:rsidRPr="00EF6F25">
                              <w:rPr>
                                <w:rFonts w:ascii="Arial Narrow" w:hAnsi="Arial Narrow"/>
                                <w:sz w:val="18"/>
                                <w:szCs w:val="18"/>
                              </w:rPr>
                              <w:t>Insufficient evidence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041" w:type="dxa"/>
            <w:tcBorders>
              <w:bottom w:val="nil"/>
            </w:tcBorders>
          </w:tcPr>
          <w:p w14:paraId="7A2E91C3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limited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41" w:type="dxa"/>
            <w:tcBorders>
              <w:bottom w:val="nil"/>
            </w:tcBorders>
          </w:tcPr>
          <w:p w14:paraId="679AEBE2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some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3D583BA8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range of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1984" w:type="dxa"/>
            <w:tcBorders>
              <w:bottom w:val="nil"/>
            </w:tcBorders>
          </w:tcPr>
          <w:p w14:paraId="7CF56DD9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Uses a wide range of suitable functions, formats and conventions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  <w:tc>
          <w:tcPr>
            <w:tcW w:w="2010" w:type="dxa"/>
            <w:tcBorders>
              <w:bottom w:val="nil"/>
            </w:tcBorders>
          </w:tcPr>
          <w:p w14:paraId="6E842B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Uses a </w:t>
            </w:r>
            <w:r w:rsidRPr="00B8474D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comprehensive range of suitable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functions, </w:t>
            </w:r>
            <w:r w:rsidRPr="006779A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formats and conventions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create infographic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or dynamic data visualisation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.</w:t>
            </w:r>
          </w:p>
        </w:tc>
      </w:tr>
      <w:tr w:rsidR="00243CB3" w:rsidRPr="00C830F0" w14:paraId="2A016EE9" w14:textId="77777777" w:rsidTr="008E4308">
        <w:trPr>
          <w:trHeight w:val="794"/>
        </w:trPr>
        <w:tc>
          <w:tcPr>
            <w:tcW w:w="1748" w:type="dxa"/>
            <w:vMerge/>
          </w:tcPr>
          <w:p w14:paraId="44F91B35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395880A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 xml:space="preserve">Applies appropriate validation </w:t>
            </w:r>
            <w:r w:rsidRPr="00920754">
              <w:rPr>
                <w:color w:val="000000" w:themeColor="text1"/>
                <w:sz w:val="18"/>
                <w:szCs w:val="18"/>
              </w:rPr>
              <w:t>and verification</w:t>
            </w:r>
            <w:r w:rsidRPr="00920754">
              <w:rPr>
                <w:color w:val="FF0000"/>
                <w:sz w:val="18"/>
                <w:szCs w:val="18"/>
              </w:rPr>
              <w:t xml:space="preserve"> </w:t>
            </w:r>
            <w:r w:rsidRPr="00920754">
              <w:rPr>
                <w:sz w:val="18"/>
                <w:szCs w:val="18"/>
              </w:rPr>
              <w:t>techniques.</w:t>
            </w:r>
          </w:p>
        </w:tc>
        <w:tc>
          <w:tcPr>
            <w:tcW w:w="1744" w:type="dxa"/>
            <w:vMerge/>
          </w:tcPr>
          <w:p w14:paraId="3A909B8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58AC9211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limited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F6C7D3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some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300C045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581040C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a wide range of relevant data validation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 xml:space="preserve">and verification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of input data.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0291AF5F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Applies </w:t>
            </w:r>
            <w:r w:rsidRPr="006779A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comprehensive data validation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color w:val="000000" w:themeColor="text1"/>
                <w:sz w:val="18"/>
                <w:szCs w:val="18"/>
                <w:lang w:val="en-GB"/>
              </w:rPr>
              <w:t>and verification</w:t>
            </w:r>
            <w:r w:rsidRPr="00920754">
              <w:rPr>
                <w:rFonts w:ascii="Arial Narrow" w:hAnsi="Arial Narrow"/>
                <w:color w:val="FF0000"/>
                <w:sz w:val="18"/>
                <w:szCs w:val="18"/>
                <w:lang w:val="en-GB"/>
              </w:rPr>
              <w:t xml:space="preserve">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techniques to check the reasonableness and completeness of all input data.</w:t>
            </w:r>
          </w:p>
        </w:tc>
      </w:tr>
      <w:tr w:rsidR="00243CB3" w:rsidRPr="00C830F0" w14:paraId="473F2265" w14:textId="77777777" w:rsidTr="008E4308">
        <w:trPr>
          <w:trHeight w:val="794"/>
        </w:trPr>
        <w:tc>
          <w:tcPr>
            <w:tcW w:w="1748" w:type="dxa"/>
            <w:vMerge/>
          </w:tcPr>
          <w:p w14:paraId="1408983F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28C56AD3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the use of suitable testing techniques to ensure the solution performs as intended.</w:t>
            </w:r>
          </w:p>
        </w:tc>
        <w:tc>
          <w:tcPr>
            <w:tcW w:w="1744" w:type="dxa"/>
            <w:vMerge/>
          </w:tcPr>
          <w:p w14:paraId="389FF47F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6B738FC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suitable testing techniques.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B60288D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suitable testing techniques.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3007FEA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range of suitable testing techniques to ensure the solution performs as intended.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053813EC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wide range of suitable testing techniques to ensure the solution performs as intended.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5360E507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a c</w:t>
            </w:r>
            <w:r w:rsidRPr="006779AF">
              <w:rPr>
                <w:rFonts w:ascii="Arial Narrow" w:hAnsi="Arial Narrow"/>
                <w:sz w:val="18"/>
                <w:szCs w:val="18"/>
                <w:highlight w:val="yellow"/>
                <w:lang w:val="en-GB"/>
              </w:rPr>
              <w:t>omprehensive range of suitable testing techniques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to ensure the full solution performs as intended.</w:t>
            </w:r>
          </w:p>
        </w:tc>
      </w:tr>
      <w:tr w:rsidR="00243CB3" w:rsidRPr="00C830F0" w14:paraId="637325A0" w14:textId="77777777" w:rsidTr="008E4308">
        <w:trPr>
          <w:trHeight w:val="2211"/>
        </w:trPr>
        <w:tc>
          <w:tcPr>
            <w:tcW w:w="1748" w:type="dxa"/>
            <w:vMerge/>
          </w:tcPr>
          <w:p w14:paraId="5C176943" w14:textId="77777777" w:rsidR="00243CB3" w:rsidRPr="00920754" w:rsidRDefault="00243CB3" w:rsidP="008E4308">
            <w:pPr>
              <w:pStyle w:val="VCAAtablecondensed"/>
              <w:rPr>
                <w:b/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92E10C0" w14:textId="77777777" w:rsidR="00243CB3" w:rsidRPr="00920754" w:rsidRDefault="00243CB3" w:rsidP="00243CB3">
            <w:pPr>
              <w:pStyle w:val="VCAAtablecondensedbullet"/>
              <w:numPr>
                <w:ilvl w:val="0"/>
                <w:numId w:val="4"/>
              </w:numPr>
              <w:tabs>
                <w:tab w:val="clear" w:pos="425"/>
              </w:tabs>
              <w:spacing w:after="0" w:line="240" w:lineRule="auto"/>
              <w:ind w:left="269" w:hanging="269"/>
              <w:rPr>
                <w:sz w:val="18"/>
                <w:szCs w:val="18"/>
              </w:rPr>
            </w:pPr>
            <w:r w:rsidRPr="00920754">
              <w:rPr>
                <w:sz w:val="18"/>
                <w:szCs w:val="18"/>
              </w:rPr>
              <w:t>Documents evidence of critical and creative thinking through the modification of designs and evaluation criteria.</w:t>
            </w:r>
          </w:p>
        </w:tc>
        <w:tc>
          <w:tcPr>
            <w:tcW w:w="1744" w:type="dxa"/>
            <w:vMerge/>
          </w:tcPr>
          <w:p w14:paraId="47454E52" w14:textId="77777777" w:rsidR="00243CB3" w:rsidRPr="00920754" w:rsidRDefault="00243CB3" w:rsidP="008E4308">
            <w:pPr>
              <w:rPr>
                <w:rFonts w:ascii="Arial Narrow" w:hAnsi="Arial Narrow"/>
                <w:sz w:val="18"/>
                <w:szCs w:val="18"/>
                <w:lang w:val="en-GB" w:eastAsia="en-AU"/>
              </w:rPr>
            </w:pP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48DA7EF3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Lists some evidence of critical and creative thinking through the modification of designs.</w:t>
            </w:r>
          </w:p>
        </w:tc>
        <w:tc>
          <w:tcPr>
            <w:tcW w:w="2041" w:type="dxa"/>
            <w:tcBorders>
              <w:top w:val="nil"/>
              <w:bottom w:val="nil"/>
            </w:tcBorders>
          </w:tcPr>
          <w:p w14:paraId="0144FDFB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Outlines some evidence of critical and creative thinking through the modification and further development of designs.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4ED04785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evidence of critical and creative thinking through the modification of designs and evaluation criteria as well as listing some possible contingencies for solution development.</w:t>
            </w:r>
          </w:p>
        </w:tc>
        <w:tc>
          <w:tcPr>
            <w:tcW w:w="1984" w:type="dxa"/>
            <w:tcBorders>
              <w:top w:val="nil"/>
              <w:bottom w:val="nil"/>
            </w:tcBorders>
          </w:tcPr>
          <w:p w14:paraId="2754A225" w14:textId="77777777" w:rsidR="00243CB3" w:rsidRPr="00920754" w:rsidRDefault="00243CB3" w:rsidP="008E4308">
            <w:pPr>
              <w:spacing w:before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detailed evidence of critical and creative thinking through the modification of designs and evaluation criteria as well as a range of relevant contingencies for solution development.</w:t>
            </w:r>
          </w:p>
        </w:tc>
        <w:tc>
          <w:tcPr>
            <w:tcW w:w="2010" w:type="dxa"/>
            <w:tcBorders>
              <w:top w:val="nil"/>
              <w:bottom w:val="nil"/>
            </w:tcBorders>
          </w:tcPr>
          <w:p w14:paraId="74DD28CD" w14:textId="77777777" w:rsidR="00243CB3" w:rsidRPr="00920754" w:rsidRDefault="00243CB3" w:rsidP="008E4308">
            <w:pPr>
              <w:tabs>
                <w:tab w:val="left" w:pos="3969"/>
                <w:tab w:val="left" w:pos="4082"/>
                <w:tab w:val="left" w:pos="4252"/>
                <w:tab w:val="center" w:pos="8220"/>
              </w:tabs>
              <w:suppressAutoHyphens/>
              <w:autoSpaceDE w:val="0"/>
              <w:autoSpaceDN w:val="0"/>
              <w:adjustRightInd w:val="0"/>
              <w:spacing w:before="120" w:after="240"/>
              <w:textAlignment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>Documents comprehensively evidence of critical and creative thinking through the modification of designs and evaluation criteria as well as a wide range of relevant contingencies for solution development.</w:t>
            </w:r>
          </w:p>
        </w:tc>
      </w:tr>
      <w:tr w:rsidR="00243CB3" w:rsidRPr="00C830F0" w14:paraId="6C5399BA" w14:textId="77777777" w:rsidTr="008E4308">
        <w:trPr>
          <w:trHeight w:val="227"/>
        </w:trPr>
        <w:tc>
          <w:tcPr>
            <w:tcW w:w="1748" w:type="dxa"/>
            <w:vMerge/>
          </w:tcPr>
          <w:p w14:paraId="53774D35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2041" w:type="dxa"/>
            <w:tcBorders>
              <w:top w:val="nil"/>
            </w:tcBorders>
          </w:tcPr>
          <w:p w14:paraId="22D9BB2E" w14:textId="77777777" w:rsidR="00243CB3" w:rsidRPr="00920754" w:rsidRDefault="00243CB3" w:rsidP="008E4308">
            <w:pPr>
              <w:rPr>
                <w:sz w:val="18"/>
                <w:szCs w:val="18"/>
                <w:lang w:val="en-GB"/>
              </w:rPr>
            </w:pPr>
          </w:p>
        </w:tc>
        <w:tc>
          <w:tcPr>
            <w:tcW w:w="1744" w:type="dxa"/>
          </w:tcPr>
          <w:p w14:paraId="15EE8DC9" w14:textId="77777777" w:rsidR="00243CB3" w:rsidRPr="00920754" w:rsidRDefault="00243CB3" w:rsidP="008E4308">
            <w:pPr>
              <w:spacing w:before="120" w:after="120"/>
              <w:jc w:val="center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7BC202B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1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2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41" w:type="dxa"/>
          </w:tcPr>
          <w:p w14:paraId="5CEF87F0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3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4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6C3EF174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5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6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1984" w:type="dxa"/>
          </w:tcPr>
          <w:p w14:paraId="45C1E53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7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8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  <w:tc>
          <w:tcPr>
            <w:tcW w:w="2010" w:type="dxa"/>
          </w:tcPr>
          <w:p w14:paraId="3A83C61A" w14:textId="77777777" w:rsidR="00243CB3" w:rsidRPr="00920754" w:rsidRDefault="00243CB3" w:rsidP="008E4308">
            <w:pPr>
              <w:spacing w:before="120" w:after="120"/>
              <w:rPr>
                <w:rFonts w:ascii="Arial Narrow" w:hAnsi="Arial Narrow"/>
                <w:sz w:val="18"/>
                <w:szCs w:val="18"/>
                <w:lang w:val="en-GB"/>
              </w:rPr>
            </w:pP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9 </w:t>
            </w:r>
            <w:r w:rsidRPr="006779AF">
              <w:rPr>
                <w:rFonts w:ascii="Arial Narrow" w:hAnsi="Arial Narrow"/>
                <w:sz w:val="18"/>
                <w:szCs w:val="18"/>
                <w:highlight w:val="red"/>
                <w:lang w:val="en-GB"/>
              </w:rPr>
              <w:sym w:font="Wingdings" w:char="F071"/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</w:t>
            </w:r>
            <w:r>
              <w:rPr>
                <w:rFonts w:ascii="Arial Narrow" w:hAnsi="Arial Narrow"/>
                <w:sz w:val="18"/>
                <w:szCs w:val="18"/>
                <w:lang w:val="en-GB"/>
              </w:rPr>
              <w:t xml:space="preserve">   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t xml:space="preserve">                10 </w:t>
            </w:r>
            <w:r w:rsidRPr="00920754">
              <w:rPr>
                <w:rFonts w:ascii="Arial Narrow" w:hAnsi="Arial Narrow"/>
                <w:sz w:val="18"/>
                <w:szCs w:val="18"/>
                <w:lang w:val="en-GB"/>
              </w:rPr>
              <w:sym w:font="Wingdings" w:char="F071"/>
            </w:r>
          </w:p>
        </w:tc>
      </w:tr>
    </w:tbl>
    <w:p w14:paraId="6BBCE310" w14:textId="77777777" w:rsidR="00715381" w:rsidRDefault="00715381"/>
    <w:p w14:paraId="6214779F" w14:textId="77777777" w:rsidR="007C5508" w:rsidRDefault="007C5508"/>
    <w:p w14:paraId="39BD8AE2" w14:textId="47B5A990" w:rsidR="00711539" w:rsidRDefault="006779AF">
      <w:r>
        <w:lastRenderedPageBreak/>
        <w:t>Excellent work Nick!</w:t>
      </w:r>
      <w:r>
        <w:br/>
      </w:r>
      <w:r>
        <w:br/>
      </w:r>
      <w:r w:rsidR="00D75E92">
        <w:t xml:space="preserve">Your infographic came out looking really nice! The use of space combined with several different charts </w:t>
      </w:r>
      <w:r w:rsidR="0091674E">
        <w:t>and statements made for your findings were really well done.</w:t>
      </w:r>
      <w:r w:rsidR="0091674E">
        <w:br/>
      </w:r>
      <w:r w:rsidR="0091674E">
        <w:br/>
      </w:r>
      <w:r w:rsidR="001147DC">
        <w:t>Ensuring conventions were met for some</w:t>
      </w:r>
      <w:r w:rsidR="00330222">
        <w:t xml:space="preserve"> of your charts including the bubble chart to give some further context would also be good to see including size, amount of responses and some context </w:t>
      </w:r>
      <w:r w:rsidR="006F4757">
        <w:t xml:space="preserve">showing where your data came from (e.g </w:t>
      </w:r>
      <w:r w:rsidR="00AC0EAB">
        <w:t>where the charts given responses from your survey? Secondary data? Found from where?)</w:t>
      </w:r>
      <w:r w:rsidR="00AC0EAB">
        <w:br/>
      </w:r>
      <w:r w:rsidR="00AC0EAB">
        <w:br/>
        <w:t>Overall, you’ve done a great job here and it’s really informative!</w:t>
      </w:r>
      <w:r w:rsidR="00AC0EAB">
        <w:br/>
        <w:t>(I’</w:t>
      </w:r>
      <w:r w:rsidR="0026095B">
        <w:t>ll actually have to go back and check on my old wallets somewhere now….)</w:t>
      </w:r>
    </w:p>
    <w:sectPr w:rsidR="00711539" w:rsidSect="003A13E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D15B4E"/>
    <w:multiLevelType w:val="hybridMultilevel"/>
    <w:tmpl w:val="D94028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295D7B"/>
    <w:multiLevelType w:val="hybridMultilevel"/>
    <w:tmpl w:val="DB76DB38"/>
    <w:lvl w:ilvl="0" w:tplc="F59E3C58">
      <w:start w:val="1"/>
      <w:numFmt w:val="bullet"/>
      <w:pStyle w:val="VCAAtablecondensedbullet"/>
      <w:lvlText w:val=""/>
      <w:lvlJc w:val="left"/>
      <w:pPr>
        <w:ind w:left="2202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1F2C02"/>
    <w:multiLevelType w:val="hybridMultilevel"/>
    <w:tmpl w:val="F4169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AF573C"/>
    <w:multiLevelType w:val="hybridMultilevel"/>
    <w:tmpl w:val="7FE05B7C"/>
    <w:lvl w:ilvl="0" w:tplc="085ABB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93345703">
    <w:abstractNumId w:val="1"/>
  </w:num>
  <w:num w:numId="2" w16cid:durableId="1293054871">
    <w:abstractNumId w:val="3"/>
  </w:num>
  <w:num w:numId="3" w16cid:durableId="306325795">
    <w:abstractNumId w:val="2"/>
  </w:num>
  <w:num w:numId="4" w16cid:durableId="14634287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3E3"/>
    <w:rsid w:val="00033411"/>
    <w:rsid w:val="001147DC"/>
    <w:rsid w:val="002434F3"/>
    <w:rsid w:val="00243CB3"/>
    <w:rsid w:val="0026095B"/>
    <w:rsid w:val="002F7920"/>
    <w:rsid w:val="00330222"/>
    <w:rsid w:val="003A13E3"/>
    <w:rsid w:val="00523918"/>
    <w:rsid w:val="005321D7"/>
    <w:rsid w:val="00652773"/>
    <w:rsid w:val="006779AF"/>
    <w:rsid w:val="006F4757"/>
    <w:rsid w:val="00711539"/>
    <w:rsid w:val="00715381"/>
    <w:rsid w:val="007C5508"/>
    <w:rsid w:val="0091674E"/>
    <w:rsid w:val="00A33023"/>
    <w:rsid w:val="00AC0EAB"/>
    <w:rsid w:val="00B22BFE"/>
    <w:rsid w:val="00B8474D"/>
    <w:rsid w:val="00D75E92"/>
    <w:rsid w:val="00F24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B54DC3"/>
  <w15:chartTrackingRefBased/>
  <w15:docId w15:val="{835ADBF7-286A-5546-9DE5-6496C7A9D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13E3"/>
    <w:pPr>
      <w:spacing w:after="200" w:line="276" w:lineRule="auto"/>
    </w:pPr>
    <w:rPr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13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13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13E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13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13E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13E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13E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13E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13E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13E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13E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13E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13E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13E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13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13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13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13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A13E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A13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13E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A13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A13E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A13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A13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A13E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13E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13E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A13E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3A13E3"/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CAAtablecondensed">
    <w:name w:val="VCAA table condensed"/>
    <w:qFormat/>
    <w:rsid w:val="003A13E3"/>
    <w:pPr>
      <w:spacing w:before="80" w:after="80" w:line="280" w:lineRule="exact"/>
    </w:pPr>
    <w:rPr>
      <w:rFonts w:ascii="Arial Narrow" w:hAnsi="Arial Narrow" w:cs="Arial"/>
      <w:kern w:val="0"/>
      <w:sz w:val="20"/>
      <w:szCs w:val="22"/>
      <w:lang w:val="en-US"/>
      <w14:ligatures w14:val="none"/>
    </w:rPr>
  </w:style>
  <w:style w:type="paragraph" w:customStyle="1" w:styleId="VCAAtablecondensedheading">
    <w:name w:val="VCAA table condensed heading"/>
    <w:basedOn w:val="VCAAtablecondensed"/>
    <w:qFormat/>
    <w:rsid w:val="003A13E3"/>
    <w:rPr>
      <w:color w:val="FFFFFF" w:themeColor="background1"/>
    </w:rPr>
  </w:style>
  <w:style w:type="paragraph" w:customStyle="1" w:styleId="VCAAtablecondensedbullet">
    <w:name w:val="VCAA table condensed bullet"/>
    <w:basedOn w:val="Normal"/>
    <w:qFormat/>
    <w:rsid w:val="003A13E3"/>
    <w:pPr>
      <w:numPr>
        <w:numId w:val="1"/>
      </w:numPr>
      <w:tabs>
        <w:tab w:val="left" w:pos="425"/>
      </w:tabs>
      <w:overflowPunct w:val="0"/>
      <w:autoSpaceDE w:val="0"/>
      <w:autoSpaceDN w:val="0"/>
      <w:adjustRightInd w:val="0"/>
      <w:spacing w:before="80" w:after="80" w:line="280" w:lineRule="exact"/>
      <w:ind w:left="425" w:hanging="425"/>
      <w:textAlignment w:val="baseline"/>
    </w:pPr>
    <w:rPr>
      <w:rFonts w:ascii="Arial Narrow" w:eastAsia="Times New Roman" w:hAnsi="Arial Narrow" w:cs="Arial"/>
      <w:sz w:val="20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Robertson</dc:creator>
  <cp:keywords/>
  <dc:description/>
  <cp:lastModifiedBy>Michael Robertson</cp:lastModifiedBy>
  <cp:revision>14</cp:revision>
  <dcterms:created xsi:type="dcterms:W3CDTF">2024-06-06T04:46:00Z</dcterms:created>
  <dcterms:modified xsi:type="dcterms:W3CDTF">2024-08-15T08:50:00Z</dcterms:modified>
</cp:coreProperties>
</file>