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detailed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457A1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A7BB2">
              <w:rPr>
                <w:rFonts w:ascii="Arial Narrow" w:hAnsi="Arial Narrow"/>
                <w:sz w:val="20"/>
                <w:szCs w:val="20"/>
                <w:lang w:val="en-GB"/>
              </w:rPr>
              <w:t>Documents a detailed evaluation of efficiency and effectiveness of how most of the specific features of the infographics or dynamic data visualisations meet functional and non-functional requirements. 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6A7BB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evaluation of efficiency and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how all specific features of the infographics or dynamic data visualisations meet all functional and non-functional requirements. </w:t>
            </w:r>
            <w:r w:rsidRPr="006A7BB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all the evaluation criteria.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6A7BB2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6A7BB2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detail a range of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adjustments to the initial project plan during the project </w:t>
            </w:r>
            <w:r w:rsidRPr="00546DE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using appropriate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Documents a comprehensive 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46DE8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Documents a c</w:t>
            </w:r>
            <w:r w:rsidRPr="00546DE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omprehensive </w:t>
            </w:r>
            <w:r w:rsidRPr="00546DE8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range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factors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A41736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41736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5FD8B3AF" w:rsidR="00BA3F99" w:rsidRDefault="00026F8D">
      <w:r>
        <w:t>Excellent work Sam!</w:t>
      </w:r>
    </w:p>
    <w:p w14:paraId="60969E5F" w14:textId="7ED81424" w:rsidR="0077301C" w:rsidRDefault="00026F8D">
      <w:r>
        <w:t>This was a strong finish for your project!</w:t>
      </w:r>
      <w:r>
        <w:br/>
        <w:t>Your Gantt chart modifications were completed well, demonstrating the changes through your project log</w:t>
      </w:r>
      <w:r w:rsidR="0077301C">
        <w:t>, making some excellent notes for your changes to dates and your predictions for task duration</w:t>
      </w:r>
      <w:r w:rsidR="00F64FBD">
        <w:t xml:space="preserve">. However, the </w:t>
      </w:r>
      <w:r w:rsidR="00546DE8">
        <w:t xml:space="preserve">inclusion of </w:t>
      </w:r>
      <w:r w:rsidR="00F64FBD">
        <w:t xml:space="preserve">your actual dates compared to the </w:t>
      </w:r>
      <w:r w:rsidR="00F1465D">
        <w:t xml:space="preserve">estimated date, given by your project log or via </w:t>
      </w:r>
      <w:r w:rsidR="00D257FD">
        <w:t>annotation would aid in showing how your project timeline had changed</w:t>
      </w:r>
      <w:r w:rsidR="0077301C">
        <w:t xml:space="preserve">. The evaluation was completed well, noting advantages and disadvantages to your </w:t>
      </w:r>
      <w:r w:rsidR="005C7EE1">
        <w:t>project plan and reflecting on the plan thoroughly.</w:t>
      </w:r>
    </w:p>
    <w:p w14:paraId="66DBCC4D" w14:textId="786D4958" w:rsidR="005C7EE1" w:rsidRDefault="007D45B5">
      <w:r>
        <w:t>The solutions e</w:t>
      </w:r>
      <w:r w:rsidR="006A7B59">
        <w:t xml:space="preserve">valuation criteria </w:t>
      </w:r>
      <w:proofErr w:type="gramStart"/>
      <w:r w:rsidR="00502375">
        <w:t>was</w:t>
      </w:r>
      <w:proofErr w:type="gramEnd"/>
      <w:r w:rsidR="00502375">
        <w:t xml:space="preserve"> well written</w:t>
      </w:r>
      <w:r>
        <w:t xml:space="preserve">, including </w:t>
      </w:r>
      <w:r w:rsidR="004A7762">
        <w:t>comprehensive steps that allowed for your results to be given well</w:t>
      </w:r>
      <w:r w:rsidR="007860CA">
        <w:t>, reflected well through your evaluation of the given functional and non-functional requirements.</w:t>
      </w:r>
    </w:p>
    <w:p w14:paraId="3AD9156A" w14:textId="26E00A49" w:rsidR="008B3F4C" w:rsidRPr="00BA3F99" w:rsidRDefault="008B3F4C">
      <w:r>
        <w:t xml:space="preserve">Overall, you’ve done well to finish this </w:t>
      </w:r>
      <w:r w:rsidR="00F4192C">
        <w:t>project</w:t>
      </w:r>
      <w:r>
        <w:t xml:space="preserve">, congratulations again for getting through all of this! </w:t>
      </w:r>
      <w:r>
        <w:sym w:font="Wingdings" w:char="F04A"/>
      </w:r>
    </w:p>
    <w:sectPr w:rsidR="008B3F4C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26F8D"/>
    <w:rsid w:val="00033411"/>
    <w:rsid w:val="0006557B"/>
    <w:rsid w:val="00085652"/>
    <w:rsid w:val="000A4840"/>
    <w:rsid w:val="002434F3"/>
    <w:rsid w:val="002F7920"/>
    <w:rsid w:val="00360662"/>
    <w:rsid w:val="003A13E3"/>
    <w:rsid w:val="00485B09"/>
    <w:rsid w:val="004A7762"/>
    <w:rsid w:val="00502375"/>
    <w:rsid w:val="00546DE8"/>
    <w:rsid w:val="0057126D"/>
    <w:rsid w:val="005C7EE1"/>
    <w:rsid w:val="00652773"/>
    <w:rsid w:val="006A7B59"/>
    <w:rsid w:val="006A7BB2"/>
    <w:rsid w:val="00711539"/>
    <w:rsid w:val="00715381"/>
    <w:rsid w:val="00770DBB"/>
    <w:rsid w:val="0077301C"/>
    <w:rsid w:val="007860CA"/>
    <w:rsid w:val="007C5508"/>
    <w:rsid w:val="007D45B5"/>
    <w:rsid w:val="008B3F4C"/>
    <w:rsid w:val="00A33023"/>
    <w:rsid w:val="00A41736"/>
    <w:rsid w:val="00A5072B"/>
    <w:rsid w:val="00AA0E08"/>
    <w:rsid w:val="00B22BFE"/>
    <w:rsid w:val="00BA3F99"/>
    <w:rsid w:val="00C11D57"/>
    <w:rsid w:val="00D257FD"/>
    <w:rsid w:val="00D457A1"/>
    <w:rsid w:val="00DB5CAD"/>
    <w:rsid w:val="00EA55B6"/>
    <w:rsid w:val="00F1465D"/>
    <w:rsid w:val="00F4192C"/>
    <w:rsid w:val="00F64FBD"/>
    <w:rsid w:val="00FB031B"/>
    <w:rsid w:val="00F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33</cp:revision>
  <dcterms:created xsi:type="dcterms:W3CDTF">2024-06-06T04:46:00Z</dcterms:created>
  <dcterms:modified xsi:type="dcterms:W3CDTF">2024-09-10T09:38:00Z</dcterms:modified>
</cp:coreProperties>
</file>