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243CB3" w:rsidRPr="00C830F0" w14:paraId="391A3676" w14:textId="77777777" w:rsidTr="008E4308">
        <w:tc>
          <w:tcPr>
            <w:tcW w:w="15593" w:type="dxa"/>
            <w:gridSpan w:val="8"/>
            <w:shd w:val="clear" w:color="auto" w:fill="0F4761" w:themeFill="accent1" w:themeFillShade="BF"/>
          </w:tcPr>
          <w:p w14:paraId="464751CE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243CB3" w:rsidRPr="00C830F0" w14:paraId="6D7C4D65" w14:textId="77777777" w:rsidTr="008E4308">
        <w:tc>
          <w:tcPr>
            <w:tcW w:w="1748" w:type="dxa"/>
            <w:vMerge w:val="restart"/>
            <w:vAlign w:val="center"/>
          </w:tcPr>
          <w:p w14:paraId="3DA8128D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3DC8236" w14:textId="77777777" w:rsidR="00243CB3" w:rsidRPr="00C830F0" w:rsidRDefault="00243CB3" w:rsidP="008E430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243CB3" w:rsidRPr="00C830F0" w14:paraId="1F548517" w14:textId="77777777" w:rsidTr="008E4308">
        <w:tc>
          <w:tcPr>
            <w:tcW w:w="1748" w:type="dxa"/>
            <w:vMerge/>
          </w:tcPr>
          <w:p w14:paraId="54B21E97" w14:textId="77777777" w:rsidR="00243CB3" w:rsidRPr="00C830F0" w:rsidRDefault="00243CB3" w:rsidP="008E430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504C6D48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1F09489D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42336043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800D124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62643402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392C1A14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6BF13393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243CB3" w:rsidRPr="00C830F0" w14:paraId="5F8679BC" w14:textId="77777777" w:rsidTr="008E4308">
        <w:trPr>
          <w:trHeight w:val="998"/>
        </w:trPr>
        <w:tc>
          <w:tcPr>
            <w:tcW w:w="1748" w:type="dxa"/>
            <w:vMerge w:val="restart"/>
          </w:tcPr>
          <w:p w14:paraId="08829269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920754">
              <w:rPr>
                <w:b/>
                <w:sz w:val="18"/>
                <w:szCs w:val="18"/>
                <w:lang w:val="en-GB"/>
              </w:rPr>
              <w:t>Unit 4 Outcome 1</w:t>
            </w:r>
          </w:p>
          <w:p w14:paraId="14376B76" w14:textId="77777777" w:rsidR="00243CB3" w:rsidRPr="00920754" w:rsidRDefault="00243CB3" w:rsidP="008E4308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2D2252E1" w14:textId="77777777" w:rsidR="00243CB3" w:rsidRPr="00920754" w:rsidRDefault="00243CB3" w:rsidP="008E4308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920754">
              <w:rPr>
                <w:b/>
                <w:sz w:val="18"/>
                <w:szCs w:val="18"/>
                <w:lang w:val="en-GB"/>
              </w:rPr>
              <w:t>7.</w:t>
            </w:r>
            <w:r w:rsidRPr="00920754">
              <w:rPr>
                <w:b/>
                <w:sz w:val="18"/>
                <w:szCs w:val="18"/>
                <w:lang w:val="en-GB"/>
              </w:rPr>
              <w:tab/>
              <w:t xml:space="preserve">Skills in </w:t>
            </w:r>
            <w:r w:rsidRPr="00920754">
              <w:rPr>
                <w:b/>
                <w:sz w:val="18"/>
                <w:szCs w:val="18"/>
                <w:lang w:val="en-GB"/>
              </w:rPr>
              <w:br/>
              <w:t>using data visualisation software.</w:t>
            </w:r>
          </w:p>
        </w:tc>
        <w:tc>
          <w:tcPr>
            <w:tcW w:w="2041" w:type="dxa"/>
            <w:tcBorders>
              <w:bottom w:val="nil"/>
            </w:tcBorders>
          </w:tcPr>
          <w:p w14:paraId="18D24062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7" w:hanging="267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>Use of data visualisation software tool to create infographics or dynamic data visualisations.</w:t>
            </w:r>
          </w:p>
        </w:tc>
        <w:tc>
          <w:tcPr>
            <w:tcW w:w="1744" w:type="dxa"/>
            <w:vMerge w:val="restart"/>
          </w:tcPr>
          <w:p w14:paraId="54FC9D62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3D5CF2" wp14:editId="73238ACD">
                      <wp:simplePos x="0" y="0"/>
                      <wp:positionH relativeFrom="column">
                        <wp:posOffset>325343</wp:posOffset>
                      </wp:positionH>
                      <wp:positionV relativeFrom="paragraph">
                        <wp:posOffset>1169738</wp:posOffset>
                      </wp:positionV>
                      <wp:extent cx="1587500" cy="1403985"/>
                      <wp:effectExtent l="5715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2A7140" w14:textId="77777777" w:rsidR="00243CB3" w:rsidRPr="00EF6F25" w:rsidRDefault="00243CB3" w:rsidP="00243CB3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EF6F25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3D5C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.6pt;margin-top:92.1pt;width:125pt;height:110.5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" stroked="f">
                      <v:textbox style="mso-fit-shape-to-text:t">
                        <w:txbxContent>
                          <w:p w14:paraId="1B2A7140" w14:textId="77777777" w:rsidR="00243CB3" w:rsidRPr="00EF6F25" w:rsidRDefault="00243CB3" w:rsidP="00243CB3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EF6F25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7A2E91C3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limited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2041" w:type="dxa"/>
            <w:tcBorders>
              <w:bottom w:val="nil"/>
            </w:tcBorders>
          </w:tcPr>
          <w:p w14:paraId="679AEBE2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some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3D583BA8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a range of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7CF56DD9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a wide range of suitable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2010" w:type="dxa"/>
            <w:tcBorders>
              <w:bottom w:val="nil"/>
            </w:tcBorders>
          </w:tcPr>
          <w:p w14:paraId="6E842B85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9705D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Uses a comprehensive range of suitable functions, formats and conventions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</w:tr>
      <w:tr w:rsidR="00243CB3" w:rsidRPr="00C830F0" w14:paraId="2A016EE9" w14:textId="77777777" w:rsidTr="008E4308">
        <w:trPr>
          <w:trHeight w:val="794"/>
        </w:trPr>
        <w:tc>
          <w:tcPr>
            <w:tcW w:w="1748" w:type="dxa"/>
            <w:vMerge/>
          </w:tcPr>
          <w:p w14:paraId="44F91B35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395880A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 xml:space="preserve">Applies appropriate validation </w:t>
            </w:r>
            <w:r w:rsidRPr="00920754">
              <w:rPr>
                <w:color w:val="000000" w:themeColor="text1"/>
                <w:sz w:val="18"/>
                <w:szCs w:val="18"/>
              </w:rPr>
              <w:t>and verification</w:t>
            </w:r>
            <w:r w:rsidRPr="00920754">
              <w:rPr>
                <w:color w:val="FF0000"/>
                <w:sz w:val="18"/>
                <w:szCs w:val="18"/>
              </w:rPr>
              <w:t xml:space="preserve"> </w:t>
            </w:r>
            <w:r w:rsidRPr="00920754">
              <w:rPr>
                <w:sz w:val="18"/>
                <w:szCs w:val="18"/>
              </w:rPr>
              <w:t>techniques.</w:t>
            </w:r>
          </w:p>
        </w:tc>
        <w:tc>
          <w:tcPr>
            <w:tcW w:w="1744" w:type="dxa"/>
            <w:vMerge/>
          </w:tcPr>
          <w:p w14:paraId="3A909B8F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58AC9211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limited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and verification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techniques.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F6C7D33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4B3ECC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 xml:space="preserve">Applies some relevant data validation </w:t>
            </w:r>
            <w:r w:rsidRPr="004B3ECC">
              <w:rPr>
                <w:rFonts w:ascii="Arial Narrow" w:hAnsi="Arial Narrow"/>
                <w:color w:val="000000" w:themeColor="text1"/>
                <w:sz w:val="18"/>
                <w:szCs w:val="18"/>
                <w:highlight w:val="yellow"/>
                <w:lang w:val="en-GB"/>
              </w:rPr>
              <w:t>and verification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00C045D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4B3ECC">
              <w:rPr>
                <w:rFonts w:ascii="Arial Narrow" w:hAnsi="Arial Narrow"/>
                <w:sz w:val="18"/>
                <w:szCs w:val="18"/>
                <w:lang w:val="en-GB"/>
              </w:rPr>
              <w:t>Applies a range of relevant data validation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81040C5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a wide range of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 to check the reasonableness of input data.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0291AF5F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comprehensive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and verification</w:t>
            </w:r>
            <w:r w:rsidRPr="00920754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 to check the reasonableness and completeness of all input data.</w:t>
            </w:r>
          </w:p>
        </w:tc>
      </w:tr>
      <w:tr w:rsidR="00243CB3" w:rsidRPr="00C830F0" w14:paraId="473F2265" w14:textId="77777777" w:rsidTr="008E4308">
        <w:trPr>
          <w:trHeight w:val="794"/>
        </w:trPr>
        <w:tc>
          <w:tcPr>
            <w:tcW w:w="1748" w:type="dxa"/>
            <w:vMerge/>
          </w:tcPr>
          <w:p w14:paraId="1408983F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8C56AD3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>Documents the use of suitable testing techniques to ensure the solution performs as intended.</w:t>
            </w:r>
          </w:p>
        </w:tc>
        <w:tc>
          <w:tcPr>
            <w:tcW w:w="1744" w:type="dxa"/>
            <w:vMerge/>
          </w:tcPr>
          <w:p w14:paraId="389FF47F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B738FCA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9705D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Lists some suitable testing techniques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B60288D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Outlines some suitable testing 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3007FEA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a range of suitable testing techniques to ensure the solution performs as intended.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53813EC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a wide range of suitable testing techniques to ensure the solution performs as intended.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360E507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a comprehensive range of suitable testing techniques to ensure the full solution performs as intended.</w:t>
            </w:r>
          </w:p>
        </w:tc>
      </w:tr>
      <w:tr w:rsidR="00243CB3" w:rsidRPr="00C830F0" w14:paraId="637325A0" w14:textId="77777777" w:rsidTr="008E4308">
        <w:trPr>
          <w:trHeight w:val="2211"/>
        </w:trPr>
        <w:tc>
          <w:tcPr>
            <w:tcW w:w="1748" w:type="dxa"/>
            <w:vMerge/>
          </w:tcPr>
          <w:p w14:paraId="5C176943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92E10C0" w14:textId="77777777" w:rsidR="00243CB3" w:rsidRPr="0022236D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 w:val="18"/>
                <w:szCs w:val="18"/>
              </w:rPr>
            </w:pPr>
            <w:r w:rsidRPr="0022236D">
              <w:rPr>
                <w:strike/>
                <w:sz w:val="18"/>
                <w:szCs w:val="18"/>
              </w:rPr>
              <w:t>Documents evidence of critical and creative thinking through the modification of designs and evaluation criteria.</w:t>
            </w:r>
          </w:p>
        </w:tc>
        <w:tc>
          <w:tcPr>
            <w:tcW w:w="1744" w:type="dxa"/>
            <w:vMerge/>
          </w:tcPr>
          <w:p w14:paraId="47454E52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8DA7EF3" w14:textId="77777777" w:rsidR="00243CB3" w:rsidRPr="0022236D" w:rsidRDefault="00243CB3" w:rsidP="008E430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Lists some evidence of critical and creative thinking through the modification of designs.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144FDFB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Outlines some evidence of critical and creative thinking through the modification and further development of designs.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ED04785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evidence of critical and creative thinking through the modification of designs and evaluation criteria as well as listing some possible contingencies for solution development.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754A225" w14:textId="77777777" w:rsidR="00243CB3" w:rsidRPr="0022236D" w:rsidRDefault="00243CB3" w:rsidP="008E430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detailed evidence of critical and creative thinking through the modification of designs and evaluation criteria as well as a range of relevant contingencies for solution development.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74DD28CD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comprehensively evidence of critical and creative thinking through the modification of designs and evaluation criteria as well as a wide range of relevant contingencies for solution development.</w:t>
            </w:r>
          </w:p>
        </w:tc>
      </w:tr>
      <w:tr w:rsidR="00243CB3" w:rsidRPr="00C830F0" w14:paraId="6C5399BA" w14:textId="77777777" w:rsidTr="008E4308">
        <w:trPr>
          <w:trHeight w:val="227"/>
        </w:trPr>
        <w:tc>
          <w:tcPr>
            <w:tcW w:w="1748" w:type="dxa"/>
            <w:vMerge/>
          </w:tcPr>
          <w:p w14:paraId="53774D35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22D9BB2E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15EE8DC9" w14:textId="77777777" w:rsidR="00243CB3" w:rsidRPr="00920754" w:rsidRDefault="00243CB3" w:rsidP="008E4308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BC202B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2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CEF87F0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4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C3EF174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6 </w:t>
            </w:r>
            <w:r w:rsidRPr="004B3ECC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45C1E53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4B3ECC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8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3A83C61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10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77777777" w:rsidR="007C5508" w:rsidRDefault="007C5508"/>
    <w:p w14:paraId="39BD8AE2" w14:textId="2E974D3E" w:rsidR="00711539" w:rsidRDefault="00BD6986">
      <w:r>
        <w:lastRenderedPageBreak/>
        <w:t>Good job Tyler,</w:t>
      </w:r>
    </w:p>
    <w:p w14:paraId="3B183CDB" w14:textId="265CC74D" w:rsidR="00806863" w:rsidRDefault="00BD6986">
      <w:r>
        <w:t xml:space="preserve">I can really appreciate going down a </w:t>
      </w:r>
      <w:r w:rsidR="00806863">
        <w:t xml:space="preserve">different route and making a dynamic data </w:t>
      </w:r>
      <w:proofErr w:type="spellStart"/>
      <w:r w:rsidR="00806863">
        <w:t>visualisation</w:t>
      </w:r>
      <w:proofErr w:type="spellEnd"/>
      <w:r w:rsidR="00806863">
        <w:t xml:space="preserve"> rather than going with an infographic. A lot of great touches were made here including the selection to show and display a variety of different charts and the scrolling text to show the difference in A.I </w:t>
      </w:r>
      <w:r w:rsidR="00A73639">
        <w:t>responses</w:t>
      </w:r>
      <w:r w:rsidR="00806863">
        <w:t xml:space="preserve"> and human</w:t>
      </w:r>
      <w:r w:rsidR="00A73639">
        <w:t xml:space="preserve"> corrected comments.</w:t>
      </w:r>
    </w:p>
    <w:p w14:paraId="26DC65FD" w14:textId="1AE01F61" w:rsidR="00A73639" w:rsidRDefault="00A73639">
      <w:r>
        <w:t xml:space="preserve">It would have been great to see a testing table here and some comments on your validation and </w:t>
      </w:r>
      <w:proofErr w:type="gramStart"/>
      <w:r>
        <w:t>verification</w:t>
      </w:r>
      <w:proofErr w:type="gramEnd"/>
      <w:r>
        <w:t xml:space="preserve"> however. Again, I could see that some testing would have been complete whilst developing, though I would suggest that next time you test-as-you-go. It would be beneficial to set up a testing table whilst you develop, knowing exactly what you need to test and conduct it </w:t>
      </w:r>
      <w:r w:rsidR="00605070">
        <w:t>as soon as you include a new feature in your development.</w:t>
      </w:r>
      <w:r w:rsidR="00605070">
        <w:br/>
        <w:t>If you need to test it whilst you develop, may as well note it down as well.</w:t>
      </w:r>
      <w:r w:rsidR="000F7DCE">
        <w:t xml:space="preserve"> This would have helped with some minor changes including image quality issues, font-size readability and </w:t>
      </w:r>
      <w:r w:rsidR="00A273B3">
        <w:t>automatic window resizing.</w:t>
      </w:r>
    </w:p>
    <w:p w14:paraId="01E2B699" w14:textId="2A95C361" w:rsidR="00605070" w:rsidRDefault="00605070">
      <w:r>
        <w:t xml:space="preserve">Overall, the website looks </w:t>
      </w:r>
      <w:proofErr w:type="gramStart"/>
      <w:r>
        <w:t>nice</w:t>
      </w:r>
      <w:proofErr w:type="gramEnd"/>
      <w:r>
        <w:t xml:space="preserve"> and</w:t>
      </w:r>
      <w:r w:rsidR="00A273B3">
        <w:t xml:space="preserve"> your dynamic </w:t>
      </w:r>
      <w:proofErr w:type="spellStart"/>
      <w:r w:rsidR="00A273B3">
        <w:t>visualisations</w:t>
      </w:r>
      <w:proofErr w:type="spellEnd"/>
      <w:r w:rsidR="00A273B3">
        <w:t xml:space="preserve"> work well through the interactive sections, though some testing and polish would go a long way </w:t>
      </w:r>
      <w:r w:rsidR="00A273B3">
        <w:sym w:font="Wingdings" w:char="F04A"/>
      </w:r>
    </w:p>
    <w:p w14:paraId="61A17377" w14:textId="233EA03F" w:rsidR="00A273B3" w:rsidRDefault="00A273B3">
      <w:r>
        <w:t xml:space="preserve">P.S I always appreciate a good </w:t>
      </w:r>
      <w:proofErr w:type="spellStart"/>
      <w:r w:rsidR="00D433BA">
        <w:t>github</w:t>
      </w:r>
      <w:proofErr w:type="spellEnd"/>
      <w:r w:rsidR="00D433BA">
        <w:t xml:space="preserve"> io page. They are great for hosting a lot of stuff, plus being able to fork, branch and edit with ease is a big plus!</w:t>
      </w:r>
    </w:p>
    <w:sectPr w:rsidR="00A273B3" w:rsidSect="003A13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15B4E"/>
    <w:multiLevelType w:val="hybridMultilevel"/>
    <w:tmpl w:val="D9402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1"/>
  </w:num>
  <w:num w:numId="2" w16cid:durableId="1293054871">
    <w:abstractNumId w:val="3"/>
  </w:num>
  <w:num w:numId="3" w16cid:durableId="306325795">
    <w:abstractNumId w:val="2"/>
  </w:num>
  <w:num w:numId="4" w16cid:durableId="146342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0F7DCE"/>
    <w:rsid w:val="0022236D"/>
    <w:rsid w:val="002434F3"/>
    <w:rsid w:val="00243CB3"/>
    <w:rsid w:val="002F7920"/>
    <w:rsid w:val="003A13E3"/>
    <w:rsid w:val="004B3ECC"/>
    <w:rsid w:val="005321D7"/>
    <w:rsid w:val="00605070"/>
    <w:rsid w:val="00652773"/>
    <w:rsid w:val="006E09FA"/>
    <w:rsid w:val="00711539"/>
    <w:rsid w:val="00715381"/>
    <w:rsid w:val="007C5508"/>
    <w:rsid w:val="00806863"/>
    <w:rsid w:val="00870B22"/>
    <w:rsid w:val="00A273B3"/>
    <w:rsid w:val="00A33023"/>
    <w:rsid w:val="00A73639"/>
    <w:rsid w:val="00B22BFE"/>
    <w:rsid w:val="00BD6986"/>
    <w:rsid w:val="00C9705D"/>
    <w:rsid w:val="00D005CA"/>
    <w:rsid w:val="00D433BA"/>
    <w:rsid w:val="00D9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16</cp:revision>
  <dcterms:created xsi:type="dcterms:W3CDTF">2024-06-06T04:46:00Z</dcterms:created>
  <dcterms:modified xsi:type="dcterms:W3CDTF">2024-08-22T08:39:00Z</dcterms:modified>
</cp:coreProperties>
</file>