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BB5E" w14:textId="6B2A60DE" w:rsidR="00650C99" w:rsidRPr="00650C99" w:rsidRDefault="00650C99" w:rsidP="00650C99">
      <w:pPr>
        <w:rPr>
          <w:b/>
          <w:bCs/>
          <w:sz w:val="28"/>
          <w:szCs w:val="28"/>
        </w:rPr>
      </w:pPr>
      <w:r w:rsidRPr="00650C99">
        <w:rPr>
          <w:b/>
          <w:bCs/>
          <w:sz w:val="28"/>
          <w:szCs w:val="28"/>
        </w:rPr>
        <w:t xml:space="preserve">Table headers - item </w:t>
      </w:r>
      <w:r w:rsidR="00636EB4">
        <w:rPr>
          <w:b/>
          <w:bCs/>
          <w:sz w:val="28"/>
          <w:szCs w:val="28"/>
        </w:rPr>
        <w:t>5</w:t>
      </w:r>
    </w:p>
    <w:p w14:paraId="39ACFC13" w14:textId="77777777" w:rsidR="00650C99" w:rsidRDefault="00650C99" w:rsidP="00650C99">
      <w:pPr>
        <w:spacing w:line="240" w:lineRule="auto"/>
        <w:jc w:val="both"/>
      </w:pPr>
      <w:r>
        <w:t xml:space="preserve">I forgot to mention that this is due to the absence of a built-in or automated mechanism to apply bold formatting and text color to an entire table row. </w:t>
      </w:r>
    </w:p>
    <w:p w14:paraId="4DB3C31D" w14:textId="15E97EAA" w:rsidR="00650C99" w:rsidRDefault="00650C99" w:rsidP="00650C99">
      <w:pPr>
        <w:spacing w:line="240" w:lineRule="auto"/>
        <w:jc w:val="both"/>
      </w:pPr>
      <w:r>
        <w:t>Within the constraints of the tabular environment, the most practical solution is to apply the highlighting on a per-cell basis, as implemented with the \highlight command in the previous version, which necessarily involves manual intervention.</w:t>
      </w:r>
    </w:p>
    <w:p w14:paraId="045111B3" w14:textId="77777777" w:rsidR="00650C99" w:rsidRPr="00650C99" w:rsidRDefault="00650C99" w:rsidP="00650C99">
      <w:pPr>
        <w:rPr>
          <w:b/>
          <w:bCs/>
          <w:sz w:val="28"/>
          <w:szCs w:val="28"/>
        </w:rPr>
      </w:pPr>
    </w:p>
    <w:p w14:paraId="3FFB2B69" w14:textId="5D56401E" w:rsidR="00650C99" w:rsidRPr="00650C99" w:rsidRDefault="00650C99" w:rsidP="00650C99">
      <w:pPr>
        <w:rPr>
          <w:b/>
          <w:bCs/>
          <w:sz w:val="28"/>
          <w:szCs w:val="28"/>
        </w:rPr>
      </w:pPr>
      <w:r w:rsidRPr="00650C99">
        <w:rPr>
          <w:b/>
          <w:bCs/>
          <w:sz w:val="28"/>
          <w:szCs w:val="28"/>
        </w:rPr>
        <w:t>Overfull/</w:t>
      </w:r>
      <w:proofErr w:type="spellStart"/>
      <w:r w:rsidRPr="00650C99">
        <w:rPr>
          <w:b/>
          <w:bCs/>
          <w:sz w:val="28"/>
          <w:szCs w:val="28"/>
        </w:rPr>
        <w:t>underfull</w:t>
      </w:r>
      <w:proofErr w:type="spellEnd"/>
      <w:r w:rsidRPr="00650C99">
        <w:rPr>
          <w:b/>
          <w:bCs/>
          <w:sz w:val="28"/>
          <w:szCs w:val="28"/>
        </w:rPr>
        <w:t xml:space="preserve"> warnings - item 8</w:t>
      </w:r>
    </w:p>
    <w:p w14:paraId="21BD2D6B" w14:textId="77777777" w:rsidR="00650C99" w:rsidRDefault="00650C99" w:rsidP="00650C99">
      <w:pPr>
        <w:spacing w:line="240" w:lineRule="auto"/>
        <w:jc w:val="both"/>
      </w:pPr>
      <w:r>
        <w:t>The “</w:t>
      </w:r>
      <w:proofErr w:type="spellStart"/>
      <w:r w:rsidRPr="00650C99">
        <w:rPr>
          <w:i/>
          <w:iCs/>
        </w:rPr>
        <w:t>underfull</w:t>
      </w:r>
      <w:proofErr w:type="spellEnd"/>
      <w:r w:rsidRPr="00650C99">
        <w:rPr>
          <w:i/>
          <w:iCs/>
        </w:rPr>
        <w:t xml:space="preserve"> \</w:t>
      </w:r>
      <w:proofErr w:type="spellStart"/>
      <w:r w:rsidRPr="00650C99">
        <w:rPr>
          <w:i/>
          <w:iCs/>
        </w:rPr>
        <w:t>hbox</w:t>
      </w:r>
      <w:proofErr w:type="spellEnd"/>
      <w:r w:rsidRPr="00650C99">
        <w:rPr>
          <w:i/>
          <w:iCs/>
        </w:rPr>
        <w:t xml:space="preserve"> (badness 10000)</w:t>
      </w:r>
      <w:r>
        <w:t>” messages are layout warnings, not errors.</w:t>
      </w:r>
    </w:p>
    <w:p w14:paraId="75BD6BC6" w14:textId="3C4F4735" w:rsidR="00650C99" w:rsidRDefault="00650C99" w:rsidP="00650C99">
      <w:pPr>
        <w:spacing w:line="240" w:lineRule="auto"/>
        <w:jc w:val="both"/>
      </w:pPr>
      <w:r>
        <w:t>They indicate that LaTeX could not fully justify some short lines (according to the configured settings), which is common in technical documents such as datasheets.</w:t>
      </w:r>
    </w:p>
    <w:p w14:paraId="6C28FC3C" w14:textId="486BA215" w:rsidR="00650C99" w:rsidRDefault="00650C99" w:rsidP="00650C99">
      <w:pPr>
        <w:spacing w:line="240" w:lineRule="auto"/>
        <w:jc w:val="both"/>
      </w:pPr>
      <w:r>
        <w:t xml:space="preserve">I added the </w:t>
      </w:r>
      <w:proofErr w:type="spellStart"/>
      <w:r>
        <w:t>microtype</w:t>
      </w:r>
      <w:proofErr w:type="spellEnd"/>
      <w:r>
        <w:t xml:space="preserve"> package, which helps minimize typographic issues and reduces overfull boxes. </w:t>
      </w:r>
      <w:proofErr w:type="spellStart"/>
      <w:r>
        <w:t>Underfull</w:t>
      </w:r>
      <w:proofErr w:type="spellEnd"/>
      <w:r>
        <w:t xml:space="preserve"> box warnings, however, may still occur in narrow columns or tabular layouts.</w:t>
      </w:r>
    </w:p>
    <w:p w14:paraId="7B618CB1" w14:textId="77777777" w:rsidR="00650C99" w:rsidRDefault="00650C99" w:rsidP="00650C99">
      <w:pPr>
        <w:spacing w:line="240" w:lineRule="auto"/>
        <w:jc w:val="both"/>
      </w:pPr>
      <w:r>
        <w:t xml:space="preserve">It is standard practice in professional LaTeX workflows to ignore </w:t>
      </w:r>
      <w:proofErr w:type="spellStart"/>
      <w:r>
        <w:t>underfull</w:t>
      </w:r>
      <w:proofErr w:type="spellEnd"/>
      <w:r>
        <w:t xml:space="preserve"> box warnings in technical layouts when the visual output is correct and not visually degraded.</w:t>
      </w:r>
    </w:p>
    <w:p w14:paraId="685F6F17" w14:textId="77777777" w:rsidR="00650C99" w:rsidRDefault="00650C99" w:rsidP="00650C99"/>
    <w:p w14:paraId="7C15CCB0" w14:textId="77777777" w:rsidR="00887F8A" w:rsidRDefault="00887F8A"/>
    <w:sectPr w:rsidR="00887F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99"/>
    <w:rsid w:val="00253E57"/>
    <w:rsid w:val="00636EB4"/>
    <w:rsid w:val="00650C99"/>
    <w:rsid w:val="00887F8A"/>
    <w:rsid w:val="0099632F"/>
    <w:rsid w:val="00BD1955"/>
    <w:rsid w:val="00DD057F"/>
    <w:rsid w:val="00E60E6E"/>
    <w:rsid w:val="00FB2D27"/>
    <w:rsid w:val="00FC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63F69"/>
  <w15:chartTrackingRefBased/>
  <w15:docId w15:val="{68D18642-38BF-4F70-B5F2-0E0212CE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65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0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0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0C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0C9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0C9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0C9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0C99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0C9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0C99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0C9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0C99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65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0C9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0C9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65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0C99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650C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0C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0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0C99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650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898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Rodrigues Oviedo</dc:creator>
  <cp:keywords/>
  <dc:description/>
  <cp:lastModifiedBy>Vinícius Rodrigues Oviedo</cp:lastModifiedBy>
  <cp:revision>2</cp:revision>
  <dcterms:created xsi:type="dcterms:W3CDTF">2025-12-17T14:49:00Z</dcterms:created>
  <dcterms:modified xsi:type="dcterms:W3CDTF">2025-12-17T14:56:00Z</dcterms:modified>
</cp:coreProperties>
</file>