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280"/>
        <w:jc w:val="center"/>
      </w:pPr>
      <w:r>
        <w:rPr>
          <w:rFonts w:ascii="Aptos" w:hAnsi="Aptos"/>
          <w:b/>
          <w:color w:val="008692"/>
          <w:sz w:val="20"/>
        </w:rPr>
        <w:t>iTANZ TECHNOLOGIES</w:t>
      </w:r>
    </w:p>
    <w:p>
      <w:pPr>
        <w:spacing w:after="200"/>
        <w:jc w:val="center"/>
      </w:pPr>
      <w:r>
        <w:rPr>
          <w:rFonts w:ascii="Aptos Display" w:hAnsi="Aptos Display"/>
          <w:b/>
          <w:color w:val="102A43"/>
          <w:sz w:val="62"/>
        </w:rPr>
        <w:t>Enterprise Insight</w:t>
        <w:br/>
        <w:t>Blog Editorial Pack</w:t>
      </w:r>
    </w:p>
    <w:p>
      <w:pPr>
        <w:spacing w:after="560"/>
        <w:jc w:val="center"/>
      </w:pPr>
      <w:r>
        <w:rPr>
          <w:rFonts w:ascii="Aptos" w:hAnsi="Aptos"/>
          <w:i/>
          <w:color w:val="5D6B78"/>
          <w:sz w:val="26"/>
        </w:rPr>
        <w:t>Two SEO-, GEO- and AEO-ready articles for the iTANZ website</w:t>
      </w:r>
    </w:p>
    <w:tbl>
      <w:tblPr>
        <w:tblW w:type="dxa" w:w="9360"/>
        <w:jc w:val="left"/>
        <w:tblLayout w:type="fixed"/>
        <w:tblLook w:firstColumn="1" w:firstRow="1" w:lastColumn="0" w:lastRow="0" w:noHBand="0" w:noVBand="1" w:val="04A0"/>
        <w:tblInd w:w="120" w:type="dxa"/>
        <w:tblBorders>
          <w:top w:val="single" w:sz="0" w:space="0" w:color="EAF6F7"/>
          <w:left w:val="single" w:sz="0" w:space="0" w:color="EAF6F7"/>
          <w:bottom w:val="single" w:sz="0" w:space="0" w:color="EAF6F7"/>
          <w:right w:val="single" w:sz="0" w:space="0" w:color="EAF6F7"/>
          <w:insideH w:val="single" w:sz="0" w:space="0" w:color="EAF6F7"/>
          <w:insideV w:val="single" w:sz="0" w:space="0" w:color="EAF6F7"/>
        </w:tblBorders>
      </w:tblPr>
      <w:tblGrid>
        <w:gridCol w:w="9360"/>
      </w:tblGrid>
      <w:tr>
        <w:tc>
          <w:tcPr>
            <w:tcW w:type="dxa" w:w="9360"/>
            <w:vAlign w:val="center"/>
            <w:tcMar>
              <w:top w:w="170" w:type="dxa"/>
              <w:start w:w="210" w:type="dxa"/>
              <w:bottom w:w="170" w:type="dxa"/>
              <w:end w:w="210" w:type="dxa"/>
            </w:tcMar>
            <w:shd w:fill="EAF6F7"/>
          </w:tcPr>
          <w:p>
            <w:pPr>
              <w:spacing w:after="0" w:line="283" w:lineRule="auto"/>
            </w:pPr>
            <w:r>
              <w:rPr>
                <w:rFonts w:ascii="Aptos" w:hAnsi="Aptos"/>
                <w:b/>
                <w:color w:val="005E68"/>
                <w:sz w:val="18"/>
              </w:rPr>
              <w:t>EDITORIAL PLATFORM</w:t>
              <w:br/>
            </w:r>
            <w:r>
              <w:rPr>
                <w:rFonts w:ascii="Aptos" w:hAnsi="Aptos"/>
                <w:b/>
                <w:color w:val="102A43"/>
                <w:sz w:val="24"/>
              </w:rPr>
              <w:t>Real enterprise pain. Clear technology decisions. Confidence at scale.</w:t>
            </w:r>
          </w:p>
        </w:tc>
      </w:tr>
    </w:tbl>
    <w:p>
      <w:pPr>
        <w:spacing w:after="40"/>
      </w:pPr>
    </w:p>
    <w:p>
      <w:pPr>
        <w:spacing w:after="1160"/>
      </w:pPr>
    </w:p>
    <w:p>
      <w:pPr>
        <w:spacing w:after="80"/>
        <w:jc w:val="center"/>
      </w:pPr>
      <w:r>
        <w:rPr>
          <w:rFonts w:ascii="Aptos" w:hAnsi="Aptos"/>
          <w:color w:val="5D6B78"/>
          <w:sz w:val="20"/>
        </w:rPr>
        <w:t>Prepared for website publication and developer handoff</w:t>
      </w:r>
    </w:p>
    <w:p>
      <w:pPr>
        <w:jc w:val="center"/>
      </w:pPr>
      <w:r>
        <w:rPr>
          <w:rFonts w:ascii="Aptos" w:hAnsi="Aptos"/>
          <w:b/>
          <w:color w:val="005E68"/>
          <w:sz w:val="20"/>
        </w:rPr>
        <w:t>August 2026</w:t>
      </w:r>
    </w:p>
    <w:p>
      <w:r>
        <w:br w:type="page"/>
      </w:r>
    </w:p>
    <w:p>
      <w:pPr>
        <w:pStyle w:val="Heading1"/>
        <w:keepNext/>
      </w:pPr>
      <w:r>
        <w:t>Editorial direction</w:t>
      </w:r>
    </w:p>
    <w:p>
      <w:pPr>
        <w:widowControl/>
        <w:spacing w:after="160" w:line="293" w:lineRule="auto"/>
      </w:pPr>
      <w:r>
        <w:rPr>
          <w:rFonts w:ascii="Aptos" w:hAnsi="Aptos"/>
          <w:i w:val="0"/>
          <w:color w:val="243342"/>
          <w:sz w:val="22"/>
        </w:rPr>
        <w:t>This pack contains two complementary enterprise technology articles. The first establishes a leadership position on scaling artificial intelligence beyond isolated pilots. The second translates modernisation risk into a practical, phased decision framework for leaders responsible for systems that cannot afford to stop.</w:t>
      </w:r>
    </w:p>
    <w:tbl>
      <w:tblPr>
        <w:tblW w:type="dxa" w:w="9360"/>
        <w:jc w:val="left"/>
        <w:tblLayout w:type="fixed"/>
        <w:tblLook w:firstColumn="1" w:firstRow="1" w:lastColumn="0" w:lastRow="0" w:noHBand="0" w:noVBand="1" w:val="04A0"/>
        <w:tblInd w:w="120" w:type="dxa"/>
        <w:tblBorders>
          <w:top w:val="single" w:sz="0" w:space="0" w:color="EAF6F7"/>
          <w:left w:val="single" w:sz="0" w:space="0" w:color="EAF6F7"/>
          <w:bottom w:val="single" w:sz="0" w:space="0" w:color="EAF6F7"/>
          <w:right w:val="single" w:sz="0" w:space="0" w:color="EAF6F7"/>
          <w:insideH w:val="single" w:sz="0" w:space="0" w:color="EAF6F7"/>
          <w:insideV w:val="single" w:sz="0" w:space="0" w:color="EAF6F7"/>
        </w:tblBorders>
      </w:tblPr>
      <w:tblGrid>
        <w:gridCol w:w="9360"/>
      </w:tblGrid>
      <w:tr>
        <w:tc>
          <w:tcPr>
            <w:tcW w:type="dxa" w:w="9360"/>
            <w:vAlign w:val="center"/>
            <w:tcMar>
              <w:top w:w="170" w:type="dxa"/>
              <w:start w:w="210" w:type="dxa"/>
              <w:bottom w:w="170" w:type="dxa"/>
              <w:end w:w="210" w:type="dxa"/>
            </w:tcMar>
            <w:shd w:fill="EAF6F7"/>
          </w:tcPr>
          <w:p>
            <w:pPr>
              <w:spacing w:after="0" w:line="283" w:lineRule="auto"/>
            </w:pPr>
            <w:r>
              <w:rPr>
                <w:rFonts w:ascii="Aptos" w:hAnsi="Aptos"/>
                <w:b/>
                <w:color w:val="005E68"/>
                <w:sz w:val="18"/>
              </w:rPr>
              <w:t>APPLIED SHORTHAND</w:t>
              <w:br/>
            </w:r>
            <w:r>
              <w:rPr>
                <w:rFonts w:ascii="Aptos" w:hAnsi="Aptos"/>
                <w:b/>
                <w:color w:val="102A43"/>
                <w:sz w:val="24"/>
              </w:rPr>
              <w:t>Pain -&gt; Point of view -&gt; Proof -&gt; Playbook -&gt; Progress</w:t>
            </w:r>
          </w:p>
        </w:tc>
      </w:tr>
    </w:tbl>
    <w:p>
      <w:pPr>
        <w:spacing w:after="40"/>
      </w:pPr>
    </w:p>
    <w:p>
      <w:pPr>
        <w:pStyle w:val="Heading2"/>
        <w:keepNext/>
      </w:pPr>
      <w:r>
        <w:t>How the two articles work together</w:t>
      </w:r>
    </w:p>
    <w:p>
      <w:pPr>
        <w:numPr>
          <w:ilvl w:val="0"/>
          <w:numId w:val="10"/>
        </w:numPr>
        <w:spacing w:after="140" w:line="288" w:lineRule="auto"/>
        <w:ind w:left="720" w:hanging="360"/>
      </w:pPr>
      <w:r>
        <w:rPr>
          <w:rFonts w:ascii="Aptos" w:hAnsi="Aptos"/>
          <w:b/>
          <w:color w:val="102A43"/>
          <w:sz w:val="22"/>
        </w:rPr>
        <w:t xml:space="preserve">Article 1 builds authority. </w:t>
      </w:r>
      <w:r>
        <w:rPr>
          <w:rFonts w:ascii="Aptos" w:hAnsi="Aptos"/>
          <w:color w:val="243342"/>
          <w:sz w:val="22"/>
        </w:rPr>
        <w:t>It challenges the assumption that a successful AI pilot is evidence of enterprise readiness and introduces an original SCALE readiness model.</w:t>
      </w:r>
    </w:p>
    <w:p>
      <w:pPr>
        <w:numPr>
          <w:ilvl w:val="0"/>
          <w:numId w:val="10"/>
        </w:numPr>
        <w:spacing w:after="140" w:line="288" w:lineRule="auto"/>
        <w:ind w:left="720" w:hanging="360"/>
      </w:pPr>
      <w:r>
        <w:rPr>
          <w:rFonts w:ascii="Aptos" w:hAnsi="Aptos"/>
          <w:b/>
          <w:color w:val="102A43"/>
          <w:sz w:val="22"/>
        </w:rPr>
        <w:t xml:space="preserve">Article 2 captures decision intent. </w:t>
      </w:r>
      <w:r>
        <w:rPr>
          <w:rFonts w:ascii="Aptos" w:hAnsi="Aptos"/>
          <w:color w:val="243342"/>
          <w:sz w:val="22"/>
        </w:rPr>
        <w:t>It answers how to modernise business-critical systems while controlling continuity, data and cutover risk through the PACE model.</w:t>
      </w:r>
    </w:p>
    <w:p>
      <w:pPr>
        <w:pStyle w:val="Heading2"/>
        <w:keepNext/>
      </w:pPr>
      <w:r>
        <w:t>Publication principles</w:t>
      </w:r>
    </w:p>
    <w:p>
      <w:pPr>
        <w:pStyle w:val="ListBullet"/>
        <w:spacing w:after="100" w:line="283" w:lineRule="auto"/>
        <w:ind w:left="720" w:hanging="360"/>
      </w:pPr>
      <w:r>
        <w:rPr>
          <w:rFonts w:ascii="Aptos" w:hAnsi="Aptos"/>
          <w:color w:val="243342"/>
          <w:sz w:val="21"/>
        </w:rPr>
        <w:t>People-first and answer-first: each article gives the executive answer before expanding the reasoning.</w:t>
      </w:r>
    </w:p>
    <w:p>
      <w:pPr>
        <w:pStyle w:val="ListBullet"/>
        <w:spacing w:after="100" w:line="283" w:lineRule="auto"/>
        <w:ind w:left="720" w:hanging="360"/>
      </w:pPr>
      <w:r>
        <w:rPr>
          <w:rFonts w:ascii="Aptos" w:hAnsi="Aptos"/>
          <w:color w:val="243342"/>
          <w:sz w:val="21"/>
        </w:rPr>
        <w:t>Pain-led, not product-led: iTANZ capabilities appear only where they are relevant to the decision.</w:t>
      </w:r>
    </w:p>
    <w:p>
      <w:pPr>
        <w:pStyle w:val="ListBullet"/>
        <w:spacing w:after="100" w:line="283" w:lineRule="auto"/>
        <w:ind w:left="720" w:hanging="360"/>
      </w:pPr>
      <w:r>
        <w:rPr>
          <w:rFonts w:ascii="Aptos" w:hAnsi="Aptos"/>
          <w:color w:val="243342"/>
          <w:sz w:val="21"/>
        </w:rPr>
        <w:t>Citation-ready: factual and technical claims are linked to recognised primary or institutional sources.</w:t>
      </w:r>
    </w:p>
    <w:p>
      <w:pPr>
        <w:pStyle w:val="ListBullet"/>
        <w:spacing w:after="100" w:line="283" w:lineRule="auto"/>
        <w:ind w:left="720" w:hanging="360"/>
      </w:pPr>
      <w:r>
        <w:rPr>
          <w:rFonts w:ascii="Aptos" w:hAnsi="Aptos"/>
          <w:color w:val="243342"/>
          <w:sz w:val="21"/>
        </w:rPr>
        <w:t>Entity-clear: technologies, operating concepts and decision criteria are defined in plain language for search and AI retrieval.</w:t>
      </w:r>
    </w:p>
    <w:p>
      <w:pPr>
        <w:pStyle w:val="ListBullet"/>
        <w:spacing w:after="100" w:line="283" w:lineRule="auto"/>
        <w:ind w:left="720" w:hanging="360"/>
      </w:pPr>
      <w:r>
        <w:rPr>
          <w:rFonts w:ascii="Aptos" w:hAnsi="Aptos"/>
          <w:color w:val="243342"/>
          <w:sz w:val="21"/>
        </w:rPr>
        <w:t>Commercially useful: each conclusion offers a next step without forcing a generic sales pitch.</w:t>
      </w:r>
    </w:p>
    <w:p>
      <w:pPr>
        <w:pStyle w:val="Heading2"/>
        <w:keepNext/>
      </w:pPr>
      <w:r>
        <w:t>Contents</w:t>
      </w:r>
    </w:p>
    <w:p>
      <w:pPr>
        <w:pStyle w:val="ListBullet"/>
        <w:spacing w:after="100" w:line="283" w:lineRule="auto"/>
        <w:ind w:left="720" w:hanging="360"/>
      </w:pPr>
      <w:r>
        <w:rPr>
          <w:rFonts w:ascii="Aptos" w:hAnsi="Aptos"/>
          <w:color w:val="243342"/>
          <w:sz w:val="21"/>
        </w:rPr>
        <w:t>Article 1 - Why Enterprise AI Stalls After the Pilot - and What Leaders Must Fix Before Scaling</w:t>
      </w:r>
    </w:p>
    <w:p>
      <w:pPr>
        <w:pStyle w:val="ListBullet"/>
        <w:spacing w:after="100" w:line="283" w:lineRule="auto"/>
        <w:ind w:left="720" w:hanging="360"/>
      </w:pPr>
      <w:r>
        <w:rPr>
          <w:rFonts w:ascii="Aptos" w:hAnsi="Aptos"/>
          <w:color w:val="243342"/>
          <w:sz w:val="21"/>
        </w:rPr>
        <w:t>Article 1 - Publishing and optimisation brief</w:t>
      </w:r>
    </w:p>
    <w:p>
      <w:pPr>
        <w:pStyle w:val="ListBullet"/>
        <w:spacing w:after="100" w:line="283" w:lineRule="auto"/>
        <w:ind w:left="720" w:hanging="360"/>
      </w:pPr>
      <w:r>
        <w:rPr>
          <w:rFonts w:ascii="Aptos" w:hAnsi="Aptos"/>
          <w:color w:val="243342"/>
          <w:sz w:val="21"/>
        </w:rPr>
        <w:t>Article 2 - How to Modernise Core Enterprise Systems Without Disrupting the Business</w:t>
      </w:r>
    </w:p>
    <w:p>
      <w:pPr>
        <w:pStyle w:val="ListBullet"/>
        <w:spacing w:after="100" w:line="283" w:lineRule="auto"/>
        <w:ind w:left="720" w:hanging="360"/>
      </w:pPr>
      <w:r>
        <w:rPr>
          <w:rFonts w:ascii="Aptos" w:hAnsi="Aptos"/>
          <w:color w:val="243342"/>
          <w:sz w:val="21"/>
        </w:rPr>
        <w:t>Article 2 - Publishing and optimisation brief</w:t>
      </w:r>
    </w:p>
    <w:p>
      <w:pPr>
        <w:pageBreakBefore/>
        <w:spacing w:before="160" w:after="100"/>
      </w:pPr>
      <w:r>
        <w:rPr>
          <w:rFonts w:ascii="Aptos" w:hAnsi="Aptos"/>
          <w:b/>
          <w:color w:val="008692"/>
          <w:sz w:val="19"/>
        </w:rPr>
        <w:t>ARTICLE 1  |  ARTIFICIAL INTELLIGENCE AND ENTERPRISE TRANSFORMATION</w:t>
      </w:r>
    </w:p>
    <w:p>
      <w:pPr>
        <w:pStyle w:val="ArticleTitle"/>
        <w:spacing w:after="200"/>
      </w:pPr>
      <w:r>
        <w:rPr>
          <w:rFonts w:ascii="Aptos" w:hAnsi="Aptos"/>
          <w:b/>
          <w:color w:val="102A43"/>
          <w:sz w:val="54"/>
        </w:rPr>
        <w:t>Why Enterprise AI Stalls After the Pilot - and What Leaders Must Fix Before Scaling</w:t>
      </w:r>
    </w:p>
    <w:p>
      <w:pPr>
        <w:spacing w:after="320" w:line="293" w:lineRule="auto"/>
      </w:pPr>
      <w:r>
        <w:rPr>
          <w:rFonts w:ascii="Aptos" w:hAnsi="Aptos"/>
          <w:i/>
          <w:color w:val="5D6B78"/>
          <w:sz w:val="25"/>
        </w:rPr>
        <w:t>A successful pilot proves that an AI use case can work under controlled conditions. It does not prove that the organisation can run it safely, reliably and economically across real workflows. The difference is enterprise readiness.</w:t>
      </w:r>
    </w:p>
    <w:tbl>
      <w:tblPr>
        <w:tblW w:type="dxa" w:w="9360"/>
        <w:jc w:val="left"/>
        <w:tblLayout w:type="fixed"/>
        <w:tblLook w:firstColumn="1" w:firstRow="1" w:lastColumn="0" w:lastRow="0" w:noHBand="0" w:noVBand="1" w:val="04A0"/>
        <w:tblInd w:w="120" w:type="dxa"/>
        <w:tblBorders>
          <w:top w:val="single" w:sz="0" w:space="0" w:color="EAF6F7"/>
          <w:left w:val="single" w:sz="0" w:space="0" w:color="EAF6F7"/>
          <w:bottom w:val="single" w:sz="0" w:space="0" w:color="EAF6F7"/>
          <w:right w:val="single" w:sz="0" w:space="0" w:color="EAF6F7"/>
          <w:insideH w:val="single" w:sz="0" w:space="0" w:color="EAF6F7"/>
          <w:insideV w:val="single" w:sz="0" w:space="0" w:color="EAF6F7"/>
        </w:tblBorders>
      </w:tblPr>
      <w:tblGrid>
        <w:gridCol w:w="9360"/>
      </w:tblGrid>
      <w:tr>
        <w:tc>
          <w:tcPr>
            <w:tcW w:type="dxa" w:w="9360"/>
            <w:vAlign w:val="center"/>
            <w:tcMar>
              <w:top w:w="170" w:type="dxa"/>
              <w:start w:w="210" w:type="dxa"/>
              <w:bottom w:w="170" w:type="dxa"/>
              <w:end w:w="210" w:type="dxa"/>
            </w:tcMar>
            <w:shd w:fill="EAF6F7"/>
          </w:tcPr>
          <w:p>
            <w:pPr>
              <w:spacing w:after="0" w:line="283" w:lineRule="auto"/>
            </w:pPr>
            <w:r>
              <w:rPr>
                <w:rFonts w:ascii="Aptos" w:hAnsi="Aptos"/>
                <w:b/>
                <w:color w:val="005E68"/>
                <w:sz w:val="18"/>
              </w:rPr>
              <w:t>EXECUTIVE ANSWER</w:t>
              <w:br/>
            </w:r>
            <w:r>
              <w:rPr>
                <w:rFonts w:ascii="Aptos" w:hAnsi="Aptos"/>
                <w:b/>
                <w:color w:val="102A43"/>
                <w:sz w:val="24"/>
              </w:rPr>
              <w:t>Enterprise AI stalls when organisations scale the model before scaling the conditions around it: trusted data, connected systems, accountable governance, production operations and workforce adoption.</w:t>
            </w:r>
          </w:p>
        </w:tc>
      </w:tr>
    </w:tbl>
    <w:p>
      <w:pPr>
        <w:spacing w:after="40"/>
      </w:pPr>
    </w:p>
    <w:p>
      <w:pPr>
        <w:pStyle w:val="Heading1"/>
        <w:keepNext/>
      </w:pPr>
      <w:r>
        <w:t>Key takeaways</w:t>
      </w:r>
    </w:p>
    <w:p>
      <w:pPr>
        <w:pStyle w:val="ListBullet"/>
        <w:spacing w:after="100" w:line="283" w:lineRule="auto"/>
        <w:ind w:left="720" w:hanging="360"/>
      </w:pPr>
      <w:r>
        <w:rPr>
          <w:rFonts w:ascii="Aptos" w:hAnsi="Aptos"/>
          <w:color w:val="243342"/>
          <w:sz w:val="21"/>
        </w:rPr>
        <w:t>A pilot validates possibility. Production validates repeatability, control and value under real operating conditions.</w:t>
      </w:r>
    </w:p>
    <w:p>
      <w:pPr>
        <w:pStyle w:val="ListBullet"/>
        <w:spacing w:after="100" w:line="283" w:lineRule="auto"/>
        <w:ind w:left="720" w:hanging="360"/>
      </w:pPr>
      <w:r>
        <w:rPr>
          <w:rFonts w:ascii="Aptos" w:hAnsi="Aptos"/>
          <w:color w:val="243342"/>
          <w:sz w:val="21"/>
        </w:rPr>
        <w:t>The hardest scaling constraints usually sit outside the model: data quality, integration, ownership, risk controls and workflow adoption.</w:t>
      </w:r>
    </w:p>
    <w:p>
      <w:pPr>
        <w:pStyle w:val="ListBullet"/>
        <w:spacing w:after="100" w:line="283" w:lineRule="auto"/>
        <w:ind w:left="720" w:hanging="360"/>
      </w:pPr>
      <w:r>
        <w:rPr>
          <w:rFonts w:ascii="Aptos" w:hAnsi="Aptos"/>
          <w:color w:val="243342"/>
          <w:sz w:val="21"/>
        </w:rPr>
        <w:t>Leaders should fund AI as an enterprise capability with a measurable operating model, not as a collection of disconnected experiments.</w:t>
      </w:r>
    </w:p>
    <w:p>
      <w:pPr>
        <w:pStyle w:val="Heading1"/>
        <w:keepNext/>
      </w:pPr>
      <w:r>
        <w:t>The pilot worked. Why did momentum stop?</w:t>
      </w:r>
    </w:p>
    <w:p>
      <w:pPr>
        <w:widowControl/>
        <w:spacing w:after="160" w:line="293" w:lineRule="auto"/>
      </w:pPr>
      <w:r>
        <w:rPr>
          <w:rFonts w:ascii="Aptos" w:hAnsi="Aptos"/>
          <w:i w:val="0"/>
          <w:color w:val="243342"/>
          <w:sz w:val="22"/>
        </w:rPr>
        <w:t>The demonstration was convincing. The model summarised documents, predicted demand or generated a useful response. Stakeholders could see the potential, and the organisation approved the next phase. Then progress slowed.</w:t>
      </w:r>
    </w:p>
    <w:p>
      <w:pPr>
        <w:widowControl/>
        <w:spacing w:after="160" w:line="293" w:lineRule="auto"/>
      </w:pPr>
      <w:r>
        <w:rPr>
          <w:rFonts w:ascii="Aptos" w:hAnsi="Aptos"/>
          <w:i w:val="0"/>
          <w:color w:val="243342"/>
          <w:sz w:val="22"/>
        </w:rPr>
        <w:t>Security teams raised questions that had not appeared in the sandbox. The data feeding the pilot was cleaner than the data available in production. Integration with operational systems proved harder than expected. No single leader owned the business outcome, and frontline teams had not been involved in redesigning the workflow. What looked like a model problem was, in reality, an enterprise systems problem.</w:t>
      </w:r>
    </w:p>
    <w:p>
      <w:pPr>
        <w:widowControl/>
        <w:spacing w:after="160" w:line="293" w:lineRule="auto"/>
      </w:pPr>
      <w:r>
        <w:rPr>
          <w:rFonts w:ascii="Aptos" w:hAnsi="Aptos"/>
          <w:i w:val="0"/>
          <w:color w:val="243342"/>
          <w:sz w:val="22"/>
        </w:rPr>
        <w:t>This is the critical distinction: a pilot is designed to reduce uncertainty about a use case. A production capability must perform repeatedly across variable data, real users, existing controls and changing business conditions. Scaling therefore requires more than a better model. It requires an operating environment that can support dependable decisions.</w:t>
      </w:r>
    </w:p>
    <w:p>
      <w:pPr>
        <w:pStyle w:val="Heading1"/>
        <w:keepNext/>
      </w:pPr>
      <w:r>
        <w:t>The wrong question keeps AI trapped in experimentation</w:t>
      </w:r>
    </w:p>
    <w:p>
      <w:pPr>
        <w:widowControl/>
        <w:spacing w:after="160" w:line="293" w:lineRule="auto"/>
      </w:pPr>
      <w:r>
        <w:rPr>
          <w:rFonts w:ascii="Aptos" w:hAnsi="Aptos"/>
          <w:i w:val="0"/>
          <w:color w:val="243342"/>
          <w:sz w:val="22"/>
        </w:rPr>
        <w:t>Many programmes begin by asking, "Where can we use AI?" That question produces ideas quickly, but it can also create a portfolio of loosely connected proofs of concept. Each experiment may be interesting while the organisation remains unclear about which business capability it is trying to improve.</w:t>
      </w:r>
    </w:p>
    <w:p>
      <w:pPr>
        <w:widowControl/>
        <w:spacing w:after="160" w:line="293" w:lineRule="auto"/>
      </w:pPr>
      <w:r>
        <w:rPr>
          <w:rFonts w:ascii="Aptos" w:hAnsi="Aptos"/>
          <w:i w:val="0"/>
          <w:color w:val="243342"/>
          <w:sz w:val="22"/>
        </w:rPr>
        <w:t>A stronger question is: "Which decision, workflow or customer outcome must become materially better, and what would have to be true for AI to improve it at scale?" This reframes AI from a technology installation into an operating-model decision.</w:t>
      </w:r>
    </w:p>
    <w:p>
      <w:pPr>
        <w:widowControl/>
        <w:spacing w:after="160" w:line="293" w:lineRule="auto"/>
      </w:pPr>
      <w:r>
        <w:rPr>
          <w:rFonts w:ascii="Aptos" w:hAnsi="Aptos"/>
          <w:i w:val="0"/>
          <w:color w:val="243342"/>
          <w:sz w:val="22"/>
        </w:rPr>
        <w:t>The shift matters because enterprise value rarely comes from model output alone. It comes from what happens next: whether the output reaches the correct workflow, whether a person or system can act on it, whether the action is governed, and whether the result can be measured. Without that chain, even technically strong pilots remain demonstrations.</w:t>
      </w:r>
    </w:p>
    <w:p>
      <w:pPr>
        <w:pStyle w:val="Heading1"/>
        <w:keepNext/>
      </w:pPr>
      <w:r>
        <w:t>Five conditions that separate pilots from enterprise capability</w:t>
      </w:r>
    </w:p>
    <w:p>
      <w:pPr>
        <w:pStyle w:val="Heading2"/>
        <w:keepNext/>
      </w:pPr>
      <w:r>
        <w:t>1. A business outcome with a named owner</w:t>
      </w:r>
    </w:p>
    <w:p>
      <w:pPr>
        <w:widowControl/>
        <w:spacing w:after="160" w:line="293" w:lineRule="auto"/>
      </w:pPr>
      <w:r>
        <w:rPr>
          <w:rFonts w:ascii="Aptos" w:hAnsi="Aptos"/>
          <w:i w:val="0"/>
          <w:color w:val="243342"/>
          <w:sz w:val="22"/>
        </w:rPr>
        <w:t>Every scaled initiative needs an accountable business owner, an operational baseline and a defined value mechanism. "Improve productivity" is not precise enough. A stronger objective identifies the workflow, the affected users, the current cost or delay, the expected improvement and the control boundaries that cannot be compromised.</w:t>
      </w:r>
    </w:p>
    <w:p>
      <w:pPr>
        <w:widowControl/>
        <w:spacing w:after="160" w:line="293" w:lineRule="auto"/>
      </w:pPr>
      <w:r>
        <w:rPr>
          <w:rFonts w:ascii="Aptos" w:hAnsi="Aptos"/>
          <w:i w:val="0"/>
          <w:color w:val="243342"/>
          <w:sz w:val="22"/>
        </w:rPr>
        <w:t>Ownership must also continue after deployment. When the business sees AI as an IT project, adoption and benefits often become someone else's problem. When technology teams are held responsible for a business metric they do not control, the same gap appears from the opposite direction. Joint ownership is not governance theatre; it is how value stays connected to execution.</w:t>
      </w:r>
    </w:p>
    <w:p>
      <w:pPr>
        <w:pStyle w:val="Heading2"/>
        <w:keepNext/>
      </w:pPr>
      <w:r>
        <w:t>2. Data that is trusted in context</w:t>
      </w:r>
    </w:p>
    <w:p>
      <w:pPr>
        <w:widowControl/>
        <w:spacing w:after="160" w:line="293" w:lineRule="auto"/>
      </w:pPr>
      <w:r>
        <w:rPr>
          <w:rFonts w:ascii="Aptos" w:hAnsi="Aptos"/>
          <w:i w:val="0"/>
          <w:color w:val="243342"/>
          <w:sz w:val="22"/>
        </w:rPr>
        <w:t>AI readiness is not a declaration that an organisation has a data platform. It is evidence that the data required for a specific decision is available, permitted, current, understandable and sufficiently reliable. A single enterprise may be ready for one use case and unready for another.</w:t>
      </w:r>
    </w:p>
    <w:p>
      <w:pPr>
        <w:widowControl/>
        <w:spacing w:after="160" w:line="293" w:lineRule="auto"/>
      </w:pPr>
      <w:r>
        <w:rPr>
          <w:rFonts w:ascii="Aptos" w:hAnsi="Aptos"/>
          <w:i w:val="0"/>
          <w:color w:val="243342"/>
          <w:sz w:val="22"/>
        </w:rPr>
        <w:t>Leaders should test lineage, quality, access rights, retention and semantic consistency before expanding a pilot. If customer, product or operational definitions change across systems, the model will inherit those contradictions. Retrieval, grounding and human review can reduce risk, but they do not remove the need to repair the information supply chain.</w:t>
      </w:r>
    </w:p>
    <w:p>
      <w:pPr>
        <w:pStyle w:val="Heading2"/>
        <w:keepNext/>
      </w:pPr>
      <w:r>
        <w:t>3. Architecture that connects intelligence to work</w:t>
      </w:r>
    </w:p>
    <w:p>
      <w:pPr>
        <w:widowControl/>
        <w:spacing w:after="160" w:line="293" w:lineRule="auto"/>
      </w:pPr>
      <w:r>
        <w:rPr>
          <w:rFonts w:ascii="Aptos" w:hAnsi="Aptos"/>
          <w:i w:val="0"/>
          <w:color w:val="243342"/>
          <w:sz w:val="22"/>
        </w:rPr>
        <w:t>A model that sits outside the workflow creates another screen, another hand-off and another place for information to be copied. Enterprise AI becomes useful when it can securely interact with the systems where work already happens: ERP, CRM, service management, analytics, collaboration and industry platforms.</w:t>
      </w:r>
    </w:p>
    <w:p>
      <w:pPr>
        <w:widowControl/>
        <w:spacing w:after="160" w:line="293" w:lineRule="auto"/>
      </w:pPr>
      <w:r>
        <w:rPr>
          <w:rFonts w:ascii="Aptos" w:hAnsi="Aptos"/>
          <w:i w:val="0"/>
          <w:color w:val="243342"/>
          <w:sz w:val="22"/>
        </w:rPr>
        <w:t>That does not mean every system must be replaced before AI can scale. It means the organisation needs deliberate integration patterns, APIs, identity controls, event flows and observability. The architecture must make model context and actions traceable across the full transaction, not only inside the AI service.</w:t>
      </w:r>
    </w:p>
    <w:p>
      <w:pPr>
        <w:pStyle w:val="Heading2"/>
        <w:keepNext/>
      </w:pPr>
      <w:r>
        <w:t>4. Governance designed into delivery</w:t>
      </w:r>
    </w:p>
    <w:p>
      <w:pPr>
        <w:widowControl/>
        <w:spacing w:after="160" w:line="293" w:lineRule="auto"/>
      </w:pPr>
      <w:r>
        <w:rPr>
          <w:rFonts w:ascii="Aptos" w:hAnsi="Aptos"/>
          <w:i w:val="0"/>
          <w:color w:val="243342"/>
          <w:sz w:val="22"/>
        </w:rPr>
        <w:t>Governance introduced only at final approval becomes a bottleneck. Governance designed into the lifecycle becomes an accelerator because teams know the standards before they build. The NIST AI Risk Management Framework organises this work around four functions: govern, map, measure and manage. The model is useful because it treats governance as an ongoing organisational discipline rather than a one-time technical review [1].</w:t>
      </w:r>
    </w:p>
    <w:p>
      <w:pPr>
        <w:widowControl/>
        <w:spacing w:after="160" w:line="293" w:lineRule="auto"/>
      </w:pPr>
      <w:r>
        <w:rPr>
          <w:rFonts w:ascii="Aptos" w:hAnsi="Aptos"/>
          <w:i w:val="0"/>
          <w:color w:val="243342"/>
          <w:sz w:val="22"/>
        </w:rPr>
        <w:t>In practice, each use case needs a risk classification, permitted data sources, accountable owners, evaluation criteria, human-oversight rules, incident paths and change controls. Higher-impact decisions require stronger evidence and more explicit human authority. The objective is not zero risk; it is risk that is visible, owned and managed within agreed tolerances.</w:t>
      </w:r>
    </w:p>
    <w:p>
      <w:pPr>
        <w:pStyle w:val="Heading2"/>
        <w:keepNext/>
      </w:pPr>
      <w:r>
        <w:t>5. A production operating model</w:t>
      </w:r>
    </w:p>
    <w:p>
      <w:pPr>
        <w:widowControl/>
        <w:spacing w:after="160" w:line="293" w:lineRule="auto"/>
      </w:pPr>
      <w:r>
        <w:rPr>
          <w:rFonts w:ascii="Aptos" w:hAnsi="Aptos"/>
          <w:i w:val="0"/>
          <w:color w:val="243342"/>
          <w:sz w:val="22"/>
        </w:rPr>
        <w:t>Once AI enters a live process, somebody must monitor quality, latency, cost, drift, security and user behaviour. Models, prompts, tools and source data change. The system must therefore be observed as a living service, not delivered as a finished asset.</w:t>
      </w:r>
    </w:p>
    <w:p>
      <w:pPr>
        <w:widowControl/>
        <w:spacing w:after="160" w:line="293" w:lineRule="auto"/>
      </w:pPr>
      <w:r>
        <w:rPr>
          <w:rFonts w:ascii="Aptos" w:hAnsi="Aptos"/>
          <w:i w:val="0"/>
          <w:color w:val="243342"/>
          <w:sz w:val="22"/>
        </w:rPr>
        <w:t>This is also where financial discipline becomes real. Unit economics should be understood at the workflow level: cost per completed task, cost per assisted decision or cost per resolved case. IBM research published in 2026 argues that orchestration and governance capabilities are central to scaling AI consistently across an enterprise [2]. The precise architecture will vary, but the operating principle is durable: scale requires coordination, visibility and control.</w:t>
      </w:r>
    </w:p>
    <w:p>
      <w:pPr>
        <w:pStyle w:val="Heading1"/>
        <w:keepNext/>
      </w:pPr>
      <w:r>
        <w:t>The iTANZ SCALE readiness model</w:t>
      </w:r>
    </w:p>
    <w:p>
      <w:pPr>
        <w:widowControl/>
        <w:spacing w:after="160" w:line="293" w:lineRule="auto"/>
      </w:pPr>
      <w:r>
        <w:rPr>
          <w:rFonts w:ascii="Aptos" w:hAnsi="Aptos"/>
          <w:i w:val="0"/>
          <w:color w:val="243342"/>
          <w:sz w:val="22"/>
        </w:rPr>
        <w:t>Before expanding an AI pilot, leaders can assess readiness through five connected lenses. A weak score in one area can constrain the entire initiative; the model is therefore a conversation tool, not a box-ticking exercise.</w:t>
      </w:r>
    </w:p>
    <w:tbl>
      <w:tblPr>
        <w:tblW w:type="dxa" w:w="9360"/>
        <w:jc w:val="left"/>
        <w:tblLayout w:type="fixed"/>
        <w:tblLook w:firstColumn="1" w:firstRow="1" w:lastColumn="0" w:lastRow="0" w:noHBand="0" w:noVBand="1" w:val="04A0"/>
        <w:tblInd w:w="120" w:type="dxa"/>
        <w:tblBorders>
          <w:top w:val="single" w:sz="4" w:space="0" w:color="D7DEE3"/>
          <w:left w:val="single" w:sz="4" w:space="0" w:color="D7DEE3"/>
          <w:bottom w:val="single" w:sz="4" w:space="0" w:color="D7DEE3"/>
          <w:right w:val="single" w:sz="4" w:space="0" w:color="D7DEE3"/>
          <w:insideH w:val="single" w:sz="4" w:space="0" w:color="D7DEE3"/>
          <w:insideV w:val="single" w:sz="4" w:space="0" w:color="D7DEE3"/>
        </w:tblBorders>
      </w:tblPr>
      <w:tblGrid>
        <w:gridCol w:w="1650"/>
        <w:gridCol w:w="3430"/>
        <w:gridCol w:w="4280"/>
      </w:tblGrid>
      <w:tr>
        <w:trPr>
          <w:tblHeader w:val="true"/>
        </w:trPr>
        <w:tc>
          <w:tcPr>
            <w:tcW w:type="dxa" w:w="1650"/>
            <w:vAlign w:val="center"/>
            <w:tcMar>
              <w:top w:w="100" w:type="dxa"/>
              <w:start w:w="120" w:type="dxa"/>
              <w:bottom w:w="100" w:type="dxa"/>
              <w:end w:w="120" w:type="dxa"/>
            </w:tcMar>
            <w:shd w:fill="DDEFF1"/>
          </w:tcPr>
          <w:p>
            <w:pPr>
              <w:spacing w:after="0" w:line="264" w:lineRule="auto"/>
            </w:pPr>
            <w:r>
              <w:rPr>
                <w:rFonts w:ascii="Aptos" w:hAnsi="Aptos"/>
                <w:b/>
                <w:color w:val="102A43"/>
                <w:sz w:val="18"/>
              </w:rPr>
              <w:t>Lens</w:t>
            </w:r>
          </w:p>
        </w:tc>
        <w:tc>
          <w:tcPr>
            <w:tcW w:type="dxa" w:w="3430"/>
            <w:vAlign w:val="center"/>
            <w:tcMar>
              <w:top w:w="100" w:type="dxa"/>
              <w:start w:w="120" w:type="dxa"/>
              <w:bottom w:w="100" w:type="dxa"/>
              <w:end w:w="120" w:type="dxa"/>
            </w:tcMar>
            <w:shd w:fill="DDEFF1"/>
          </w:tcPr>
          <w:p>
            <w:pPr>
              <w:spacing w:after="0" w:line="264" w:lineRule="auto"/>
            </w:pPr>
            <w:r>
              <w:rPr>
                <w:rFonts w:ascii="Aptos" w:hAnsi="Aptos"/>
                <w:b/>
                <w:color w:val="102A43"/>
                <w:sz w:val="18"/>
              </w:rPr>
              <w:t>Leadership question</w:t>
            </w:r>
          </w:p>
        </w:tc>
        <w:tc>
          <w:tcPr>
            <w:tcW w:type="dxa" w:w="4280"/>
            <w:vAlign w:val="center"/>
            <w:tcMar>
              <w:top w:w="100" w:type="dxa"/>
              <w:start w:w="120" w:type="dxa"/>
              <w:bottom w:w="100" w:type="dxa"/>
              <w:end w:w="120" w:type="dxa"/>
            </w:tcMar>
            <w:shd w:fill="DDEFF1"/>
          </w:tcPr>
          <w:p>
            <w:pPr>
              <w:spacing w:after="0" w:line="264" w:lineRule="auto"/>
            </w:pPr>
            <w:r>
              <w:rPr>
                <w:rFonts w:ascii="Aptos" w:hAnsi="Aptos"/>
                <w:b/>
                <w:color w:val="102A43"/>
                <w:sz w:val="18"/>
              </w:rPr>
              <w:t>Evidence of readiness</w:t>
            </w:r>
          </w:p>
        </w:tc>
      </w:tr>
      <w:tr>
        <w:tc>
          <w:tcPr>
            <w:tcW w:type="dxa" w:w="1650"/>
            <w:vAlign w:val="center"/>
            <w:tcMar>
              <w:top w:w="100" w:type="dxa"/>
              <w:start w:w="120" w:type="dxa"/>
              <w:bottom w:w="100" w:type="dxa"/>
              <w:end w:w="120" w:type="dxa"/>
            </w:tcMar>
          </w:tcPr>
          <w:p>
            <w:pPr>
              <w:spacing w:after="0" w:line="264" w:lineRule="auto"/>
            </w:pPr>
            <w:r>
              <w:rPr>
                <w:rFonts w:ascii="Aptos" w:hAnsi="Aptos"/>
                <w:b w:val="0"/>
                <w:color w:val="243342"/>
                <w:sz w:val="18"/>
              </w:rPr>
              <w:t>S - Strategic value</w:t>
            </w:r>
          </w:p>
        </w:tc>
        <w:tc>
          <w:tcPr>
            <w:tcW w:type="dxa" w:w="3430"/>
            <w:vAlign w:val="center"/>
            <w:tcMar>
              <w:top w:w="100" w:type="dxa"/>
              <w:start w:w="120" w:type="dxa"/>
              <w:bottom w:w="100" w:type="dxa"/>
              <w:end w:w="120" w:type="dxa"/>
            </w:tcMar>
          </w:tcPr>
          <w:p>
            <w:pPr>
              <w:spacing w:after="0" w:line="264" w:lineRule="auto"/>
            </w:pPr>
            <w:r>
              <w:rPr>
                <w:rFonts w:ascii="Aptos" w:hAnsi="Aptos"/>
                <w:b w:val="0"/>
                <w:color w:val="243342"/>
                <w:sz w:val="18"/>
              </w:rPr>
              <w:t>Which measurable business outcome will change?</w:t>
            </w:r>
          </w:p>
        </w:tc>
        <w:tc>
          <w:tcPr>
            <w:tcW w:type="dxa" w:w="4280"/>
            <w:vAlign w:val="center"/>
            <w:tcMar>
              <w:top w:w="100" w:type="dxa"/>
              <w:start w:w="120" w:type="dxa"/>
              <w:bottom w:w="100" w:type="dxa"/>
              <w:end w:w="120" w:type="dxa"/>
            </w:tcMar>
          </w:tcPr>
          <w:p>
            <w:pPr>
              <w:spacing w:after="0" w:line="264" w:lineRule="auto"/>
            </w:pPr>
            <w:r>
              <w:rPr>
                <w:rFonts w:ascii="Aptos" w:hAnsi="Aptos"/>
                <w:b w:val="0"/>
                <w:color w:val="243342"/>
                <w:sz w:val="18"/>
              </w:rPr>
              <w:t>Named owner, baseline, target and value hypothesis</w:t>
            </w:r>
          </w:p>
        </w:tc>
      </w:tr>
      <w:tr>
        <w:tc>
          <w:tcPr>
            <w:tcW w:type="dxa" w:w="1650"/>
            <w:vAlign w:val="center"/>
            <w:tcMar>
              <w:top w:w="100" w:type="dxa"/>
              <w:start w:w="120" w:type="dxa"/>
              <w:bottom w:w="100" w:type="dxa"/>
              <w:end w:w="120" w:type="dxa"/>
            </w:tcMar>
          </w:tcPr>
          <w:p>
            <w:pPr>
              <w:spacing w:after="0" w:line="264" w:lineRule="auto"/>
            </w:pPr>
            <w:r>
              <w:rPr>
                <w:rFonts w:ascii="Aptos" w:hAnsi="Aptos"/>
                <w:b w:val="0"/>
                <w:color w:val="243342"/>
                <w:sz w:val="18"/>
              </w:rPr>
              <w:t>C - Connected data</w:t>
            </w:r>
          </w:p>
        </w:tc>
        <w:tc>
          <w:tcPr>
            <w:tcW w:type="dxa" w:w="3430"/>
            <w:vAlign w:val="center"/>
            <w:tcMar>
              <w:top w:w="100" w:type="dxa"/>
              <w:start w:w="120" w:type="dxa"/>
              <w:bottom w:w="100" w:type="dxa"/>
              <w:end w:w="120" w:type="dxa"/>
            </w:tcMar>
          </w:tcPr>
          <w:p>
            <w:pPr>
              <w:spacing w:after="0" w:line="264" w:lineRule="auto"/>
            </w:pPr>
            <w:r>
              <w:rPr>
                <w:rFonts w:ascii="Aptos" w:hAnsi="Aptos"/>
                <w:b w:val="0"/>
                <w:color w:val="243342"/>
                <w:sz w:val="18"/>
              </w:rPr>
              <w:t>Can the system access trusted, permitted context?</w:t>
            </w:r>
          </w:p>
        </w:tc>
        <w:tc>
          <w:tcPr>
            <w:tcW w:type="dxa" w:w="4280"/>
            <w:vAlign w:val="center"/>
            <w:tcMar>
              <w:top w:w="100" w:type="dxa"/>
              <w:start w:w="120" w:type="dxa"/>
              <w:bottom w:w="100" w:type="dxa"/>
              <w:end w:w="120" w:type="dxa"/>
            </w:tcMar>
          </w:tcPr>
          <w:p>
            <w:pPr>
              <w:spacing w:after="0" w:line="264" w:lineRule="auto"/>
            </w:pPr>
            <w:r>
              <w:rPr>
                <w:rFonts w:ascii="Aptos" w:hAnsi="Aptos"/>
                <w:b w:val="0"/>
                <w:color w:val="243342"/>
                <w:sz w:val="18"/>
              </w:rPr>
              <w:t>Lineage, quality rules, access controls and shared definitions</w:t>
            </w:r>
          </w:p>
        </w:tc>
      </w:tr>
      <w:tr>
        <w:tc>
          <w:tcPr>
            <w:tcW w:type="dxa" w:w="1650"/>
            <w:vAlign w:val="center"/>
            <w:tcMar>
              <w:top w:w="100" w:type="dxa"/>
              <w:start w:w="120" w:type="dxa"/>
              <w:bottom w:w="100" w:type="dxa"/>
              <w:end w:w="120" w:type="dxa"/>
            </w:tcMar>
          </w:tcPr>
          <w:p>
            <w:pPr>
              <w:spacing w:after="0" w:line="264" w:lineRule="auto"/>
            </w:pPr>
            <w:r>
              <w:rPr>
                <w:rFonts w:ascii="Aptos" w:hAnsi="Aptos"/>
                <w:b w:val="0"/>
                <w:color w:val="243342"/>
                <w:sz w:val="18"/>
              </w:rPr>
              <w:t>A - Accountable AI</w:t>
            </w:r>
          </w:p>
        </w:tc>
        <w:tc>
          <w:tcPr>
            <w:tcW w:type="dxa" w:w="3430"/>
            <w:vAlign w:val="center"/>
            <w:tcMar>
              <w:top w:w="100" w:type="dxa"/>
              <w:start w:w="120" w:type="dxa"/>
              <w:bottom w:w="100" w:type="dxa"/>
              <w:end w:w="120" w:type="dxa"/>
            </w:tcMar>
          </w:tcPr>
          <w:p>
            <w:pPr>
              <w:spacing w:after="0" w:line="264" w:lineRule="auto"/>
            </w:pPr>
            <w:r>
              <w:rPr>
                <w:rFonts w:ascii="Aptos" w:hAnsi="Aptos"/>
                <w:b w:val="0"/>
                <w:color w:val="243342"/>
                <w:sz w:val="18"/>
              </w:rPr>
              <w:t>Who owns risk, approval and escalation?</w:t>
            </w:r>
          </w:p>
        </w:tc>
        <w:tc>
          <w:tcPr>
            <w:tcW w:type="dxa" w:w="4280"/>
            <w:vAlign w:val="center"/>
            <w:tcMar>
              <w:top w:w="100" w:type="dxa"/>
              <w:start w:w="120" w:type="dxa"/>
              <w:bottom w:w="100" w:type="dxa"/>
              <w:end w:w="120" w:type="dxa"/>
            </w:tcMar>
          </w:tcPr>
          <w:p>
            <w:pPr>
              <w:spacing w:after="0" w:line="264" w:lineRule="auto"/>
            </w:pPr>
            <w:r>
              <w:rPr>
                <w:rFonts w:ascii="Aptos" w:hAnsi="Aptos"/>
                <w:b w:val="0"/>
                <w:color w:val="243342"/>
                <w:sz w:val="18"/>
              </w:rPr>
              <w:t>Risk tier, evaluation plan, human authority and incident path</w:t>
            </w:r>
          </w:p>
        </w:tc>
      </w:tr>
      <w:tr>
        <w:tc>
          <w:tcPr>
            <w:tcW w:type="dxa" w:w="1650"/>
            <w:vAlign w:val="center"/>
            <w:tcMar>
              <w:top w:w="100" w:type="dxa"/>
              <w:start w:w="120" w:type="dxa"/>
              <w:bottom w:w="100" w:type="dxa"/>
              <w:end w:w="120" w:type="dxa"/>
            </w:tcMar>
          </w:tcPr>
          <w:p>
            <w:pPr>
              <w:spacing w:after="0" w:line="264" w:lineRule="auto"/>
            </w:pPr>
            <w:r>
              <w:rPr>
                <w:rFonts w:ascii="Aptos" w:hAnsi="Aptos"/>
                <w:b w:val="0"/>
                <w:color w:val="243342"/>
                <w:sz w:val="18"/>
              </w:rPr>
              <w:t>L - Live operations</w:t>
            </w:r>
          </w:p>
        </w:tc>
        <w:tc>
          <w:tcPr>
            <w:tcW w:type="dxa" w:w="3430"/>
            <w:vAlign w:val="center"/>
            <w:tcMar>
              <w:top w:w="100" w:type="dxa"/>
              <w:start w:w="120" w:type="dxa"/>
              <w:bottom w:w="100" w:type="dxa"/>
              <w:end w:w="120" w:type="dxa"/>
            </w:tcMar>
          </w:tcPr>
          <w:p>
            <w:pPr>
              <w:spacing w:after="0" w:line="264" w:lineRule="auto"/>
            </w:pPr>
            <w:r>
              <w:rPr>
                <w:rFonts w:ascii="Aptos" w:hAnsi="Aptos"/>
                <w:b w:val="0"/>
                <w:color w:val="243342"/>
                <w:sz w:val="18"/>
              </w:rPr>
              <w:t>Can we operate the capability reliably?</w:t>
            </w:r>
          </w:p>
        </w:tc>
        <w:tc>
          <w:tcPr>
            <w:tcW w:type="dxa" w:w="4280"/>
            <w:vAlign w:val="center"/>
            <w:tcMar>
              <w:top w:w="100" w:type="dxa"/>
              <w:start w:w="120" w:type="dxa"/>
              <w:bottom w:w="100" w:type="dxa"/>
              <w:end w:w="120" w:type="dxa"/>
            </w:tcMar>
          </w:tcPr>
          <w:p>
            <w:pPr>
              <w:spacing w:after="0" w:line="264" w:lineRule="auto"/>
            </w:pPr>
            <w:r>
              <w:rPr>
                <w:rFonts w:ascii="Aptos" w:hAnsi="Aptos"/>
                <w:b w:val="0"/>
                <w:color w:val="243342"/>
                <w:sz w:val="18"/>
              </w:rPr>
              <w:t>Monitoring, cost controls, security, fallback and change management</w:t>
            </w:r>
          </w:p>
        </w:tc>
      </w:tr>
      <w:tr>
        <w:tc>
          <w:tcPr>
            <w:tcW w:type="dxa" w:w="1650"/>
            <w:vAlign w:val="center"/>
            <w:tcMar>
              <w:top w:w="100" w:type="dxa"/>
              <w:start w:w="120" w:type="dxa"/>
              <w:bottom w:w="100" w:type="dxa"/>
              <w:end w:w="120" w:type="dxa"/>
            </w:tcMar>
          </w:tcPr>
          <w:p>
            <w:pPr>
              <w:spacing w:after="0" w:line="264" w:lineRule="auto"/>
            </w:pPr>
            <w:r>
              <w:rPr>
                <w:rFonts w:ascii="Aptos" w:hAnsi="Aptos"/>
                <w:b w:val="0"/>
                <w:color w:val="243342"/>
                <w:sz w:val="18"/>
              </w:rPr>
              <w:t>E - Embedded adoption</w:t>
            </w:r>
          </w:p>
        </w:tc>
        <w:tc>
          <w:tcPr>
            <w:tcW w:type="dxa" w:w="3430"/>
            <w:vAlign w:val="center"/>
            <w:tcMar>
              <w:top w:w="100" w:type="dxa"/>
              <w:start w:w="120" w:type="dxa"/>
              <w:bottom w:w="100" w:type="dxa"/>
              <w:end w:w="120" w:type="dxa"/>
            </w:tcMar>
          </w:tcPr>
          <w:p>
            <w:pPr>
              <w:spacing w:after="0" w:line="264" w:lineRule="auto"/>
            </w:pPr>
            <w:r>
              <w:rPr>
                <w:rFonts w:ascii="Aptos" w:hAnsi="Aptos"/>
                <w:b w:val="0"/>
                <w:color w:val="243342"/>
                <w:sz w:val="18"/>
              </w:rPr>
              <w:t>Will people use it inside the real workflow?</w:t>
            </w:r>
          </w:p>
        </w:tc>
        <w:tc>
          <w:tcPr>
            <w:tcW w:type="dxa" w:w="4280"/>
            <w:vAlign w:val="center"/>
            <w:tcMar>
              <w:top w:w="100" w:type="dxa"/>
              <w:start w:w="120" w:type="dxa"/>
              <w:bottom w:w="100" w:type="dxa"/>
              <w:end w:w="120" w:type="dxa"/>
            </w:tcMar>
          </w:tcPr>
          <w:p>
            <w:pPr>
              <w:spacing w:after="0" w:line="264" w:lineRule="auto"/>
            </w:pPr>
            <w:r>
              <w:rPr>
                <w:rFonts w:ascii="Aptos" w:hAnsi="Aptos"/>
                <w:b w:val="0"/>
                <w:color w:val="243342"/>
                <w:sz w:val="18"/>
              </w:rPr>
              <w:t>Co-designed workflow, role clarity, training and adoption measures</w:t>
            </w:r>
          </w:p>
        </w:tc>
      </w:tr>
    </w:tbl>
    <w:p>
      <w:pPr>
        <w:spacing w:after="40"/>
      </w:pPr>
    </w:p>
    <w:p>
      <w:pPr>
        <w:pStyle w:val="Heading1"/>
        <w:keepNext/>
      </w:pPr>
      <w:r>
        <w:t>What should leaders do in the next 90 days?</w:t>
      </w:r>
    </w:p>
    <w:p>
      <w:pPr>
        <w:numPr>
          <w:ilvl w:val="0"/>
          <w:numId w:val="11"/>
        </w:numPr>
        <w:spacing w:after="140" w:line="288" w:lineRule="auto"/>
        <w:ind w:left="720" w:hanging="360"/>
      </w:pPr>
      <w:r>
        <w:rPr>
          <w:rFonts w:ascii="Aptos" w:hAnsi="Aptos"/>
          <w:b/>
          <w:color w:val="102A43"/>
          <w:sz w:val="22"/>
        </w:rPr>
        <w:t xml:space="preserve">Choose one workflow that matters. </w:t>
      </w:r>
      <w:r>
        <w:rPr>
          <w:rFonts w:ascii="Aptos" w:hAnsi="Aptos"/>
          <w:color w:val="243342"/>
          <w:sz w:val="22"/>
        </w:rPr>
        <w:t>Prioritise a process with a clear owner, sufficient transaction volume, measurable friction and an acceptable path to human oversight. Avoid selecting a use case only because a demo is easy to build.</w:t>
      </w:r>
    </w:p>
    <w:p>
      <w:pPr>
        <w:numPr>
          <w:ilvl w:val="0"/>
          <w:numId w:val="11"/>
        </w:numPr>
        <w:spacing w:after="140" w:line="288" w:lineRule="auto"/>
        <w:ind w:left="720" w:hanging="360"/>
      </w:pPr>
      <w:r>
        <w:rPr>
          <w:rFonts w:ascii="Aptos" w:hAnsi="Aptos"/>
          <w:b/>
          <w:color w:val="102A43"/>
          <w:sz w:val="22"/>
        </w:rPr>
        <w:t xml:space="preserve">Baseline the current system. </w:t>
      </w:r>
      <w:r>
        <w:rPr>
          <w:rFonts w:ascii="Aptos" w:hAnsi="Aptos"/>
          <w:color w:val="243342"/>
          <w:sz w:val="22"/>
        </w:rPr>
        <w:t>Measure cycle time, effort, error or escalation rates, service quality and operating cost before changing the process. Without a baseline, a successful deployment can still fail to prove value.</w:t>
      </w:r>
    </w:p>
    <w:p>
      <w:pPr>
        <w:numPr>
          <w:ilvl w:val="0"/>
          <w:numId w:val="11"/>
        </w:numPr>
        <w:spacing w:after="140" w:line="288" w:lineRule="auto"/>
        <w:ind w:left="720" w:hanging="360"/>
      </w:pPr>
      <w:r>
        <w:rPr>
          <w:rFonts w:ascii="Aptos" w:hAnsi="Aptos"/>
          <w:b/>
          <w:color w:val="102A43"/>
          <w:sz w:val="22"/>
        </w:rPr>
        <w:t xml:space="preserve">Map the production dependency chain. </w:t>
      </w:r>
      <w:r>
        <w:rPr>
          <w:rFonts w:ascii="Aptos" w:hAnsi="Aptos"/>
          <w:color w:val="243342"/>
          <w:sz w:val="22"/>
        </w:rPr>
        <w:t>Document source data, integrations, identities, decision points, approvals, downstream actions and recovery paths. This exposes work that a prototype can hide.</w:t>
      </w:r>
    </w:p>
    <w:p>
      <w:pPr>
        <w:numPr>
          <w:ilvl w:val="0"/>
          <w:numId w:val="11"/>
        </w:numPr>
        <w:spacing w:after="140" w:line="288" w:lineRule="auto"/>
        <w:ind w:left="720" w:hanging="360"/>
      </w:pPr>
      <w:r>
        <w:rPr>
          <w:rFonts w:ascii="Aptos" w:hAnsi="Aptos"/>
          <w:b/>
          <w:color w:val="102A43"/>
          <w:sz w:val="22"/>
        </w:rPr>
        <w:t xml:space="preserve">Set the control model before expansion. </w:t>
      </w:r>
      <w:r>
        <w:rPr>
          <w:rFonts w:ascii="Aptos" w:hAnsi="Aptos"/>
          <w:color w:val="243342"/>
          <w:sz w:val="22"/>
        </w:rPr>
        <w:t>Define risk ownership, evaluation criteria, human review, monitoring, audit evidence and incident response. Align the depth of control to the consequence of the decision.</w:t>
      </w:r>
    </w:p>
    <w:p>
      <w:pPr>
        <w:numPr>
          <w:ilvl w:val="0"/>
          <w:numId w:val="11"/>
        </w:numPr>
        <w:spacing w:after="140" w:line="288" w:lineRule="auto"/>
        <w:ind w:left="720" w:hanging="360"/>
      </w:pPr>
      <w:r>
        <w:rPr>
          <w:rFonts w:ascii="Aptos" w:hAnsi="Aptos"/>
          <w:b/>
          <w:color w:val="102A43"/>
          <w:sz w:val="22"/>
        </w:rPr>
        <w:t xml:space="preserve">Run a production-shaped release. </w:t>
      </w:r>
      <w:r>
        <w:rPr>
          <w:rFonts w:ascii="Aptos" w:hAnsi="Aptos"/>
          <w:color w:val="243342"/>
          <w:sz w:val="22"/>
        </w:rPr>
        <w:t>Test with real workflow conditions, a limited user group, controlled data access and measurable service levels. Expand only when operational evidence supports the next wave.</w:t>
      </w:r>
    </w:p>
    <w:p>
      <w:pPr>
        <w:pStyle w:val="Heading1"/>
        <w:keepNext/>
      </w:pPr>
      <w:r>
        <w:t>The leadership shift: from AI projects to AI capability</w:t>
      </w:r>
    </w:p>
    <w:p>
      <w:pPr>
        <w:widowControl/>
        <w:spacing w:after="160" w:line="293" w:lineRule="auto"/>
      </w:pPr>
      <w:r>
        <w:rPr>
          <w:rFonts w:ascii="Aptos" w:hAnsi="Aptos"/>
          <w:i w:val="0"/>
          <w:color w:val="243342"/>
          <w:sz w:val="22"/>
        </w:rPr>
        <w:t>The organisations that progress beyond experimentation will not necessarily be those with the largest number of pilots. They will be those that can repeatedly convert a business problem into a governed, connected and measurable production capability.</w:t>
      </w:r>
    </w:p>
    <w:p>
      <w:pPr>
        <w:widowControl/>
        <w:spacing w:after="160" w:line="293" w:lineRule="auto"/>
      </w:pPr>
      <w:r>
        <w:rPr>
          <w:rFonts w:ascii="Aptos" w:hAnsi="Aptos"/>
          <w:i w:val="0"/>
          <w:color w:val="243342"/>
          <w:sz w:val="22"/>
        </w:rPr>
        <w:t>That requires portfolio discipline. Some pilots should stop. Some should remain local productivity tools. A smaller number should receive the architecture, governance and change investment required for enterprise scale. Treating every promising demonstration as a transformation programme creates cost without clarity.</w:t>
      </w:r>
    </w:p>
    <w:p>
      <w:pPr>
        <w:widowControl/>
        <w:spacing w:after="160" w:line="293" w:lineRule="auto"/>
      </w:pPr>
      <w:r>
        <w:rPr>
          <w:rFonts w:ascii="Aptos" w:hAnsi="Aptos"/>
          <w:i w:val="0"/>
          <w:color w:val="243342"/>
          <w:sz w:val="22"/>
        </w:rPr>
        <w:t>The question for leadership is therefore not, "How quickly can we deploy more AI?" It is, "How reliably can we turn intelligence into better decisions across the systems and workflows that matter?" That is where AI moves from novelty to operating advantage.</w:t>
      </w:r>
    </w:p>
    <w:p>
      <w:pPr>
        <w:pStyle w:val="Heading1"/>
        <w:keepNext/>
      </w:pPr>
      <w:r>
        <w:t>Frequently asked questions</w:t>
      </w:r>
    </w:p>
    <w:p>
      <w:pPr>
        <w:keepNext/>
        <w:spacing w:before="120" w:after="60"/>
      </w:pPr>
      <w:r>
        <w:rPr>
          <w:rFonts w:ascii="Aptos" w:hAnsi="Aptos"/>
          <w:b/>
          <w:color w:val="102A43"/>
          <w:sz w:val="23"/>
        </w:rPr>
        <w:t>What is the difference between an AI pilot and production AI?</w:t>
      </w:r>
    </w:p>
    <w:p>
      <w:pPr>
        <w:widowControl/>
        <w:spacing w:after="160" w:line="293" w:lineRule="auto"/>
      </w:pPr>
      <w:r>
        <w:rPr>
          <w:rFonts w:ascii="Aptos" w:hAnsi="Aptos"/>
          <w:i w:val="0"/>
          <w:color w:val="243342"/>
          <w:sz w:val="22"/>
        </w:rPr>
        <w:t>A pilot tests whether a use case is technically and commercially plausible under limited conditions. Production AI must perform reliably with real data, users, integrations, controls, monitoring and support. It is an operating service, not only a model demonstration.</w:t>
      </w:r>
    </w:p>
    <w:p>
      <w:pPr>
        <w:keepNext/>
        <w:spacing w:before="120" w:after="60"/>
      </w:pPr>
      <w:r>
        <w:rPr>
          <w:rFonts w:ascii="Aptos" w:hAnsi="Aptos"/>
          <w:b/>
          <w:color w:val="102A43"/>
          <w:sz w:val="23"/>
        </w:rPr>
        <w:t>Why do enterprise AI pilots fail to scale?</w:t>
      </w:r>
    </w:p>
    <w:p>
      <w:pPr>
        <w:widowControl/>
        <w:spacing w:after="160" w:line="293" w:lineRule="auto"/>
      </w:pPr>
      <w:r>
        <w:rPr>
          <w:rFonts w:ascii="Aptos" w:hAnsi="Aptos"/>
          <w:i w:val="0"/>
          <w:color w:val="243342"/>
          <w:sz w:val="22"/>
        </w:rPr>
        <w:t>Common constraints include unclear business ownership, inconsistent data, weak integration, late governance, unproven unit economics and poor workflow adoption. These conditions often remain hidden because a pilot is intentionally narrow.</w:t>
      </w:r>
    </w:p>
    <w:p>
      <w:pPr>
        <w:keepNext/>
        <w:spacing w:before="120" w:after="60"/>
      </w:pPr>
      <w:r>
        <w:rPr>
          <w:rFonts w:ascii="Aptos" w:hAnsi="Aptos"/>
          <w:b/>
          <w:color w:val="102A43"/>
          <w:sz w:val="23"/>
        </w:rPr>
        <w:t>Does an organisation need to modernise every legacy system before using AI?</w:t>
      </w:r>
    </w:p>
    <w:p>
      <w:pPr>
        <w:widowControl/>
        <w:spacing w:after="160" w:line="293" w:lineRule="auto"/>
      </w:pPr>
      <w:r>
        <w:rPr>
          <w:rFonts w:ascii="Aptos" w:hAnsi="Aptos"/>
          <w:i w:val="0"/>
          <w:color w:val="243342"/>
          <w:sz w:val="22"/>
        </w:rPr>
        <w:t>No. Leaders should modernise selectively around the targeted workflow. Secure APIs, integration layers, governed data products and staged replacement can connect AI to existing systems while reducing the risk of a large, simultaneous transformation.</w:t>
      </w:r>
    </w:p>
    <w:p>
      <w:pPr>
        <w:keepNext/>
        <w:spacing w:before="120" w:after="60"/>
      </w:pPr>
      <w:r>
        <w:rPr>
          <w:rFonts w:ascii="Aptos" w:hAnsi="Aptos"/>
          <w:b/>
          <w:color w:val="102A43"/>
          <w:sz w:val="23"/>
        </w:rPr>
        <w:t>How should AI readiness be measured?</w:t>
      </w:r>
    </w:p>
    <w:p>
      <w:pPr>
        <w:widowControl/>
        <w:spacing w:after="160" w:line="293" w:lineRule="auto"/>
      </w:pPr>
      <w:r>
        <w:rPr>
          <w:rFonts w:ascii="Aptos" w:hAnsi="Aptos"/>
          <w:i w:val="0"/>
          <w:color w:val="243342"/>
          <w:sz w:val="22"/>
        </w:rPr>
        <w:t>Measure readiness at the use-case level across value, data, architecture, governance, operations and adoption. Enterprise-wide maturity scores can guide investment, but they should not replace evidence about the actual workflow being changed.</w:t>
      </w:r>
    </w:p>
    <w:p>
      <w:pPr>
        <w:keepNext/>
        <w:spacing w:before="120" w:after="60"/>
      </w:pPr>
      <w:r>
        <w:rPr>
          <w:rFonts w:ascii="Aptos" w:hAnsi="Aptos"/>
          <w:b/>
          <w:color w:val="102A43"/>
          <w:sz w:val="23"/>
        </w:rPr>
        <w:t>What should be monitored after an AI system goes live?</w:t>
      </w:r>
    </w:p>
    <w:p>
      <w:pPr>
        <w:widowControl/>
        <w:spacing w:after="160" w:line="293" w:lineRule="auto"/>
      </w:pPr>
      <w:r>
        <w:rPr>
          <w:rFonts w:ascii="Aptos" w:hAnsi="Aptos"/>
          <w:i w:val="0"/>
          <w:color w:val="243342"/>
          <w:sz w:val="22"/>
        </w:rPr>
        <w:t>Monitor task outcomes, quality, exceptions, human overrides, latency, cost, security events, model or data drift and adoption. The exact measures should reflect the risk and value mechanism of the use case.</w:t>
      </w:r>
    </w:p>
    <w:tbl>
      <w:tblPr>
        <w:tblW w:type="dxa" w:w="9360"/>
        <w:jc w:val="left"/>
        <w:tblLayout w:type="fixed"/>
        <w:tblLook w:firstColumn="1" w:firstRow="1" w:lastColumn="0" w:lastRow="0" w:noHBand="0" w:noVBand="1" w:val="04A0"/>
        <w:tblInd w:w="120" w:type="dxa"/>
        <w:tblBorders>
          <w:top w:val="single" w:sz="0" w:space="0" w:color="EAF6F7"/>
          <w:left w:val="single" w:sz="0" w:space="0" w:color="EAF6F7"/>
          <w:bottom w:val="single" w:sz="0" w:space="0" w:color="EAF6F7"/>
          <w:right w:val="single" w:sz="0" w:space="0" w:color="EAF6F7"/>
          <w:insideH w:val="single" w:sz="0" w:space="0" w:color="EAF6F7"/>
          <w:insideV w:val="single" w:sz="0" w:space="0" w:color="EAF6F7"/>
        </w:tblBorders>
      </w:tblPr>
      <w:tblGrid>
        <w:gridCol w:w="9360"/>
      </w:tblGrid>
      <w:tr>
        <w:tc>
          <w:tcPr>
            <w:tcW w:type="dxa" w:w="9360"/>
            <w:vAlign w:val="center"/>
            <w:tcMar>
              <w:top w:w="170" w:type="dxa"/>
              <w:start w:w="210" w:type="dxa"/>
              <w:bottom w:w="170" w:type="dxa"/>
              <w:end w:w="210" w:type="dxa"/>
            </w:tcMar>
            <w:shd w:fill="EAF6F7"/>
          </w:tcPr>
          <w:p>
            <w:pPr>
              <w:spacing w:after="0" w:line="283" w:lineRule="auto"/>
            </w:pPr>
            <w:r>
              <w:rPr>
                <w:rFonts w:ascii="Aptos" w:hAnsi="Aptos"/>
                <w:b/>
                <w:color w:val="005E68"/>
                <w:sz w:val="18"/>
              </w:rPr>
              <w:t>PROGRESS WITH PRECISION</w:t>
              <w:br/>
            </w:r>
            <w:r>
              <w:rPr>
                <w:rFonts w:ascii="Aptos" w:hAnsi="Aptos"/>
                <w:b/>
                <w:color w:val="102A43"/>
                <w:sz w:val="24"/>
              </w:rPr>
              <w:t>Before funding the next wave of AI, test whether the systems around the model can support the value, control and continuity the business expects. iTANZ brings advisory, data, integration, cloud, security and managed capability together to help enterprises move from isolated possibility to dependable operation.</w:t>
            </w:r>
          </w:p>
        </w:tc>
      </w:tr>
    </w:tbl>
    <w:p>
      <w:pPr>
        <w:spacing w:after="40"/>
      </w:pPr>
    </w:p>
    <w:p>
      <w:pPr>
        <w:pStyle w:val="Heading2"/>
        <w:keepNext/>
      </w:pPr>
      <w:r>
        <w:t>Sources and editorial references</w:t>
      </w:r>
    </w:p>
    <w:p>
      <w:pPr>
        <w:spacing w:after="100" w:line="269" w:lineRule="auto"/>
        <w:ind w:left="317" w:hanging="317"/>
      </w:pPr>
      <w:r>
        <w:rPr>
          <w:rFonts w:ascii="Aptos" w:hAnsi="Aptos"/>
          <w:b/>
          <w:color w:val="005E68"/>
          <w:sz w:val="19"/>
        </w:rPr>
        <w:t xml:space="preserve">1. </w:t>
      </w:r>
      <w:hyperlink r:id="rId11">
        <w:r>
          <w:rPr>
            <w:rFonts w:ascii="Aptos" w:hAnsi="Aptos"/>
            <w:color w:val="008692"/>
            <w:u w:val="single"/>
          </w:rPr>
          <w:t>NIST AI Risk Management Framework</w:t>
        </w:r>
      </w:hyperlink>
      <w:r>
        <w:rPr>
          <w:rFonts w:ascii="Aptos" w:hAnsi="Aptos"/>
          <w:color w:val="5D6B78"/>
          <w:sz w:val="19"/>
        </w:rPr>
        <w:t xml:space="preserve"> - Voluntary framework for governing, mapping, measuring and managing AI risk.</w:t>
      </w:r>
    </w:p>
    <w:p>
      <w:pPr>
        <w:spacing w:after="100" w:line="269" w:lineRule="auto"/>
        <w:ind w:left="317" w:hanging="317"/>
      </w:pPr>
      <w:r>
        <w:rPr>
          <w:rFonts w:ascii="Aptos" w:hAnsi="Aptos"/>
          <w:b/>
          <w:color w:val="005E68"/>
          <w:sz w:val="19"/>
        </w:rPr>
        <w:t xml:space="preserve">2. </w:t>
      </w:r>
      <w:hyperlink r:id="rId12">
        <w:r>
          <w:rPr>
            <w:rFonts w:ascii="Aptos" w:hAnsi="Aptos"/>
            <w:color w:val="008692"/>
            <w:u w:val="single"/>
          </w:rPr>
          <w:t>IBM Institute for Business Value: Orchestrating AI at scale for sovereignty and resilience</w:t>
        </w:r>
      </w:hyperlink>
      <w:r>
        <w:rPr>
          <w:rFonts w:ascii="Aptos" w:hAnsi="Aptos"/>
          <w:color w:val="5D6B78"/>
          <w:sz w:val="19"/>
        </w:rPr>
        <w:t xml:space="preserve"> - 2026 research on the organisational capabilities required to coordinate AI at scale.</w:t>
      </w:r>
    </w:p>
    <w:p>
      <w:pPr>
        <w:spacing w:after="100" w:line="269" w:lineRule="auto"/>
        <w:ind w:left="317" w:hanging="317"/>
      </w:pPr>
      <w:r>
        <w:rPr>
          <w:rFonts w:ascii="Aptos" w:hAnsi="Aptos"/>
          <w:b/>
          <w:color w:val="005E68"/>
          <w:sz w:val="19"/>
        </w:rPr>
        <w:t xml:space="preserve">3. </w:t>
      </w:r>
      <w:hyperlink r:id="rId13">
        <w:r>
          <w:rPr>
            <w:rFonts w:ascii="Aptos" w:hAnsi="Aptos"/>
            <w:color w:val="008692"/>
            <w:u w:val="single"/>
          </w:rPr>
          <w:t>Google Search Central: Creating helpful, reliable, people-first content</w:t>
        </w:r>
      </w:hyperlink>
      <w:r>
        <w:rPr>
          <w:rFonts w:ascii="Aptos" w:hAnsi="Aptos"/>
          <w:color w:val="5D6B78"/>
          <w:sz w:val="19"/>
        </w:rPr>
        <w:t xml:space="preserve"> - Editorial quality benchmark used for original, expert-led publication.</w:t>
      </w:r>
    </w:p>
    <w:p>
      <w:pPr>
        <w:spacing w:after="100" w:line="269" w:lineRule="auto"/>
        <w:ind w:left="317" w:hanging="317"/>
      </w:pPr>
      <w:r>
        <w:rPr>
          <w:rFonts w:ascii="Aptos" w:hAnsi="Aptos"/>
          <w:b/>
          <w:color w:val="005E68"/>
          <w:sz w:val="19"/>
        </w:rPr>
        <w:t xml:space="preserve">4. </w:t>
      </w:r>
      <w:hyperlink r:id="rId14">
        <w:r>
          <w:rPr>
            <w:rFonts w:ascii="Aptos" w:hAnsi="Aptos"/>
            <w:color w:val="008692"/>
            <w:u w:val="single"/>
          </w:rPr>
          <w:t>Google Search Central: Optimising for generative AI features</w:t>
        </w:r>
      </w:hyperlink>
      <w:r>
        <w:rPr>
          <w:rFonts w:ascii="Aptos" w:hAnsi="Aptos"/>
          <w:color w:val="5D6B78"/>
          <w:sz w:val="19"/>
        </w:rPr>
        <w:t xml:space="preserve"> - Guidance supporting clear, useful and non-commodity content for AI search experiences.</w:t>
      </w:r>
    </w:p>
    <w:p>
      <w:pPr>
        <w:pStyle w:val="Heading1"/>
        <w:keepNext/>
        <w:pageBreakBefore/>
      </w:pPr>
      <w:r>
        <w:t>Article 1: publishing and optimisation brief</w:t>
      </w:r>
    </w:p>
    <w:tbl>
      <w:tblPr>
        <w:tblW w:type="dxa" w:w="9360"/>
        <w:jc w:val="left"/>
        <w:tblLayout w:type="fixed"/>
        <w:tblLook w:firstColumn="1" w:firstRow="1" w:lastColumn="0" w:lastRow="0" w:noHBand="0" w:noVBand="1" w:val="04A0"/>
        <w:tblInd w:w="120" w:type="dxa"/>
        <w:tblBorders>
          <w:top w:val="single" w:sz="3" w:space="0" w:color="E5EAEE"/>
          <w:left w:val="single" w:sz="3" w:space="0" w:color="E5EAEE"/>
          <w:bottom w:val="single" w:sz="3" w:space="0" w:color="E5EAEE"/>
          <w:right w:val="single" w:sz="3" w:space="0" w:color="E5EAEE"/>
          <w:insideH w:val="single" w:sz="3" w:space="0" w:color="E5EAEE"/>
          <w:insideV w:val="single" w:sz="3" w:space="0" w:color="E5EAEE"/>
        </w:tblBorders>
      </w:tblPr>
      <w:tblGrid>
        <w:gridCol w:w="2160"/>
        <w:gridCol w:w="7200"/>
      </w:tblGrid>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SEO title</w:t>
            </w:r>
          </w:p>
        </w:tc>
        <w:tc>
          <w:tcPr>
            <w:tcW w:type="dxa" w:w="7200"/>
            <w:vAlign w:val="center"/>
            <w:tcMar>
              <w:top w:w="100" w:type="dxa"/>
              <w:start w:w="120" w:type="dxa"/>
              <w:bottom w:w="100" w:type="dxa"/>
              <w:end w:w="120" w:type="dxa"/>
            </w:tcMar>
          </w:tcPr>
          <w:p>
            <w:pPr>
              <w:spacing w:after="0"/>
            </w:pPr>
            <w:r>
              <w:rPr>
                <w:rFonts w:ascii="Aptos" w:hAnsi="Aptos"/>
                <w:color w:val="243342"/>
                <w:sz w:val="19"/>
              </w:rPr>
              <w:t>Why Enterprise AI Pilots Fail to Scale | iTANZ</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Meta description</w:t>
            </w:r>
          </w:p>
        </w:tc>
        <w:tc>
          <w:tcPr>
            <w:tcW w:type="dxa" w:w="7200"/>
            <w:vAlign w:val="center"/>
            <w:tcMar>
              <w:top w:w="100" w:type="dxa"/>
              <w:start w:w="120" w:type="dxa"/>
              <w:bottom w:w="100" w:type="dxa"/>
              <w:end w:w="120" w:type="dxa"/>
            </w:tcMar>
          </w:tcPr>
          <w:p>
            <w:pPr>
              <w:spacing w:after="0"/>
            </w:pPr>
            <w:r>
              <w:rPr>
                <w:rFonts w:ascii="Aptos" w:hAnsi="Aptos"/>
                <w:color w:val="243342"/>
                <w:sz w:val="19"/>
              </w:rPr>
              <w:t>Discover why enterprise AI stalls after successful pilots and use the iTANZ SCALE model to fix data, governance, integration, operations and adoption.</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Recommended slug</w:t>
            </w:r>
          </w:p>
        </w:tc>
        <w:tc>
          <w:tcPr>
            <w:tcW w:type="dxa" w:w="7200"/>
            <w:vAlign w:val="center"/>
            <w:tcMar>
              <w:top w:w="100" w:type="dxa"/>
              <w:start w:w="120" w:type="dxa"/>
              <w:bottom w:w="100" w:type="dxa"/>
              <w:end w:w="120" w:type="dxa"/>
            </w:tcMar>
          </w:tcPr>
          <w:p>
            <w:pPr>
              <w:spacing w:after="0"/>
            </w:pPr>
            <w:r>
              <w:rPr>
                <w:rFonts w:ascii="Aptos" w:hAnsi="Aptos"/>
                <w:color w:val="243342"/>
                <w:sz w:val="19"/>
              </w:rPr>
              <w:t>/blog/why-enterprise-ai-pilots-fail-to-scale/</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Primary search intent</w:t>
            </w:r>
          </w:p>
        </w:tc>
        <w:tc>
          <w:tcPr>
            <w:tcW w:type="dxa" w:w="7200"/>
            <w:vAlign w:val="center"/>
            <w:tcMar>
              <w:top w:w="100" w:type="dxa"/>
              <w:start w:w="120" w:type="dxa"/>
              <w:bottom w:w="100" w:type="dxa"/>
              <w:end w:w="120" w:type="dxa"/>
            </w:tcMar>
          </w:tcPr>
          <w:p>
            <w:pPr>
              <w:spacing w:after="0"/>
            </w:pPr>
            <w:r>
              <w:rPr>
                <w:rFonts w:ascii="Aptos" w:hAnsi="Aptos"/>
                <w:color w:val="243342"/>
                <w:sz w:val="19"/>
              </w:rPr>
              <w:t>Informational and commercial investigation: why enterprise AI pilots fail to scale and how to move AI into production.</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Primary audience</w:t>
            </w:r>
          </w:p>
        </w:tc>
        <w:tc>
          <w:tcPr>
            <w:tcW w:type="dxa" w:w="7200"/>
            <w:vAlign w:val="center"/>
            <w:tcMar>
              <w:top w:w="100" w:type="dxa"/>
              <w:start w:w="120" w:type="dxa"/>
              <w:bottom w:w="100" w:type="dxa"/>
              <w:end w:w="120" w:type="dxa"/>
            </w:tcMar>
          </w:tcPr>
          <w:p>
            <w:pPr>
              <w:spacing w:after="0"/>
            </w:pPr>
            <w:r>
              <w:rPr>
                <w:rFonts w:ascii="Aptos" w:hAnsi="Aptos"/>
                <w:color w:val="243342"/>
                <w:sz w:val="19"/>
              </w:rPr>
              <w:t>CIOs, CTOs, CDOs, transformation leaders, enterprise architects, data and AI leaders.</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Recommended byline</w:t>
            </w:r>
          </w:p>
        </w:tc>
        <w:tc>
          <w:tcPr>
            <w:tcW w:type="dxa" w:w="7200"/>
            <w:vAlign w:val="center"/>
            <w:tcMar>
              <w:top w:w="100" w:type="dxa"/>
              <w:start w:w="120" w:type="dxa"/>
              <w:bottom w:w="100" w:type="dxa"/>
              <w:end w:w="120" w:type="dxa"/>
            </w:tcMar>
          </w:tcPr>
          <w:p>
            <w:pPr>
              <w:spacing w:after="0"/>
            </w:pPr>
            <w:r>
              <w:rPr>
                <w:rFonts w:ascii="Aptos" w:hAnsi="Aptos"/>
                <w:color w:val="243342"/>
                <w:sz w:val="19"/>
              </w:rPr>
              <w:t>Named iTANZ Data and AI or Technology Strategy leader; use iTANZ Editorial Team only if a named reviewer is unavailable.</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Approx. article length</w:t>
            </w:r>
          </w:p>
        </w:tc>
        <w:tc>
          <w:tcPr>
            <w:tcW w:type="dxa" w:w="7200"/>
            <w:vAlign w:val="center"/>
            <w:tcMar>
              <w:top w:w="100" w:type="dxa"/>
              <w:start w:w="120" w:type="dxa"/>
              <w:bottom w:w="100" w:type="dxa"/>
              <w:end w:w="120" w:type="dxa"/>
            </w:tcMar>
          </w:tcPr>
          <w:p>
            <w:pPr>
              <w:spacing w:after="0"/>
            </w:pPr>
            <w:r>
              <w:rPr>
                <w:rFonts w:ascii="Aptos" w:hAnsi="Aptos"/>
                <w:color w:val="243342"/>
                <w:sz w:val="19"/>
              </w:rPr>
              <w:t>Approximately 1,650 words including the visible FAQ, excluding metadata and sources.</w:t>
            </w:r>
          </w:p>
        </w:tc>
      </w:tr>
    </w:tbl>
    <w:p>
      <w:pPr>
        <w:spacing w:after="20"/>
      </w:pPr>
    </w:p>
    <w:p>
      <w:pPr>
        <w:pStyle w:val="Heading2"/>
        <w:keepNext/>
      </w:pPr>
      <w:r>
        <w:t>Entity and topic coverage</w:t>
      </w:r>
    </w:p>
    <w:p>
      <w:pPr>
        <w:pStyle w:val="ListBullet"/>
        <w:spacing w:after="100" w:line="283" w:lineRule="auto"/>
        <w:ind w:left="720" w:hanging="360"/>
      </w:pPr>
      <w:r>
        <w:rPr>
          <w:rFonts w:ascii="Aptos" w:hAnsi="Aptos"/>
          <w:color w:val="243342"/>
          <w:sz w:val="21"/>
        </w:rPr>
        <w:t>Enterprise AI, AI pilot, production AI, AI governance and AI operating model.</w:t>
      </w:r>
    </w:p>
    <w:p>
      <w:pPr>
        <w:pStyle w:val="ListBullet"/>
        <w:spacing w:after="100" w:line="283" w:lineRule="auto"/>
        <w:ind w:left="720" w:hanging="360"/>
      </w:pPr>
      <w:r>
        <w:rPr>
          <w:rFonts w:ascii="Aptos" w:hAnsi="Aptos"/>
          <w:color w:val="243342"/>
          <w:sz w:val="21"/>
        </w:rPr>
        <w:t>Data quality, data lineage, system integration, observability and human oversight.</w:t>
      </w:r>
    </w:p>
    <w:p>
      <w:pPr>
        <w:pStyle w:val="ListBullet"/>
        <w:spacing w:after="100" w:line="283" w:lineRule="auto"/>
        <w:ind w:left="720" w:hanging="360"/>
      </w:pPr>
      <w:r>
        <w:rPr>
          <w:rFonts w:ascii="Aptos" w:hAnsi="Aptos"/>
          <w:color w:val="243342"/>
          <w:sz w:val="21"/>
        </w:rPr>
        <w:t>NIST AI Risk Management Framework: govern, map, measure and manage.</w:t>
      </w:r>
    </w:p>
    <w:p>
      <w:pPr>
        <w:pStyle w:val="ListBullet"/>
        <w:spacing w:after="100" w:line="283" w:lineRule="auto"/>
        <w:ind w:left="720" w:hanging="360"/>
      </w:pPr>
      <w:r>
        <w:rPr>
          <w:rFonts w:ascii="Aptos" w:hAnsi="Aptos"/>
          <w:color w:val="243342"/>
          <w:sz w:val="21"/>
        </w:rPr>
        <w:t>iTANZ SCALE readiness model: Strategic value, Connected data, Accountable AI, Live operations, Embedded adoption.</w:t>
      </w:r>
    </w:p>
    <w:p>
      <w:pPr>
        <w:pStyle w:val="Heading2"/>
        <w:keepNext/>
      </w:pPr>
      <w:r>
        <w:t>Recommended internal links</w:t>
      </w:r>
    </w:p>
    <w:p>
      <w:pPr>
        <w:pStyle w:val="ListBullet"/>
        <w:spacing w:after="100" w:line="283" w:lineRule="auto"/>
        <w:ind w:left="720" w:hanging="360"/>
      </w:pPr>
      <w:r>
        <w:rPr>
          <w:rFonts w:ascii="Aptos" w:hAnsi="Aptos"/>
          <w:color w:val="243342"/>
          <w:sz w:val="21"/>
        </w:rPr>
        <w:t>Data, AI and Analytics service page - link from the discussion of trusted data and production AI.</w:t>
      </w:r>
    </w:p>
    <w:p>
      <w:pPr>
        <w:pStyle w:val="ListBullet"/>
        <w:spacing w:after="100" w:line="283" w:lineRule="auto"/>
        <w:ind w:left="720" w:hanging="360"/>
      </w:pPr>
      <w:r>
        <w:rPr>
          <w:rFonts w:ascii="Aptos" w:hAnsi="Aptos"/>
          <w:color w:val="243342"/>
          <w:sz w:val="21"/>
        </w:rPr>
        <w:t>Integration and Automation service page - link from the section on connecting intelligence to workflows.</w:t>
      </w:r>
    </w:p>
    <w:p>
      <w:pPr>
        <w:pStyle w:val="ListBullet"/>
        <w:spacing w:after="100" w:line="283" w:lineRule="auto"/>
        <w:ind w:left="720" w:hanging="360"/>
      </w:pPr>
      <w:r>
        <w:rPr>
          <w:rFonts w:ascii="Aptos" w:hAnsi="Aptos"/>
          <w:color w:val="243342"/>
          <w:sz w:val="21"/>
        </w:rPr>
        <w:t>Cloud, Infrastructure and Security page - link from governance, monitoring and operating controls.</w:t>
      </w:r>
    </w:p>
    <w:p>
      <w:pPr>
        <w:pStyle w:val="ListBullet"/>
        <w:spacing w:after="100" w:line="283" w:lineRule="auto"/>
        <w:ind w:left="720" w:hanging="360"/>
      </w:pPr>
      <w:r>
        <w:rPr>
          <w:rFonts w:ascii="Aptos" w:hAnsi="Aptos"/>
          <w:color w:val="243342"/>
          <w:sz w:val="21"/>
        </w:rPr>
        <w:t>Advisory and Transformation page - link from the 90-day readiness and prioritisation playbook.</w:t>
      </w:r>
    </w:p>
    <w:p>
      <w:pPr>
        <w:pStyle w:val="ListBullet"/>
        <w:spacing w:after="100" w:line="283" w:lineRule="auto"/>
        <w:ind w:left="720" w:hanging="360"/>
      </w:pPr>
      <w:r>
        <w:rPr>
          <w:rFonts w:ascii="Aptos" w:hAnsi="Aptos"/>
          <w:color w:val="243342"/>
          <w:sz w:val="21"/>
        </w:rPr>
        <w:t>One relevant AI, analytics or integration success story - use descriptive anchor text, not "learn more".</w:t>
      </w:r>
    </w:p>
    <w:p>
      <w:pPr>
        <w:pStyle w:val="Heading2"/>
        <w:keepNext/>
      </w:pPr>
      <w:r>
        <w:t>Hero image and alt text</w:t>
      </w:r>
    </w:p>
    <w:p>
      <w:pPr>
        <w:spacing w:after="80" w:line="276" w:lineRule="auto"/>
      </w:pPr>
      <w:r>
        <w:rPr>
          <w:rFonts w:ascii="Aptos" w:hAnsi="Aptos"/>
          <w:b/>
          <w:color w:val="005E68"/>
          <w:sz w:val="20"/>
        </w:rPr>
        <w:t xml:space="preserve">Image concept: </w:t>
      </w:r>
      <w:r>
        <w:rPr>
          <w:rFonts w:ascii="Aptos" w:hAnsi="Aptos"/>
          <w:color w:val="243342"/>
          <w:sz w:val="20"/>
        </w:rPr>
        <w:t>Single-frame premium enterprise photography: an operations team observing a live, connected control environment, with one human decision-maker in focus and systems activity implied through the physical setting. No text, logos, montage or UI overlay.</w:t>
      </w:r>
    </w:p>
    <w:p>
      <w:pPr>
        <w:spacing w:after="80" w:line="276" w:lineRule="auto"/>
      </w:pPr>
      <w:r>
        <w:rPr>
          <w:rFonts w:ascii="Aptos" w:hAnsi="Aptos"/>
          <w:b/>
          <w:color w:val="005E68"/>
          <w:sz w:val="20"/>
        </w:rPr>
        <w:t xml:space="preserve">Alt text: </w:t>
      </w:r>
      <w:r>
        <w:rPr>
          <w:rFonts w:ascii="Aptos" w:hAnsi="Aptos"/>
          <w:color w:val="243342"/>
          <w:sz w:val="20"/>
        </w:rPr>
        <w:t>Enterprise technology leaders reviewing a connected AI operations environment before scaling into production.</w:t>
      </w:r>
    </w:p>
    <w:p>
      <w:pPr>
        <w:pStyle w:val="Heading2"/>
        <w:keepNext/>
      </w:pPr>
      <w:r>
        <w:t>Structured-data handoff</w:t>
      </w:r>
    </w:p>
    <w:p>
      <w:pPr>
        <w:widowControl/>
        <w:spacing w:after="160" w:line="293" w:lineRule="auto"/>
      </w:pPr>
      <w:r>
        <w:rPr>
          <w:rFonts w:ascii="Aptos" w:hAnsi="Aptos"/>
          <w:i w:val="0"/>
          <w:color w:val="243342"/>
          <w:sz w:val="22"/>
        </w:rPr>
        <w:t>Use BlogPosting or Article JSON-LD with headline, description, image, datePublished, dateModified, mainEntityOfPage, author as Person with a profile URL, and publisher as Organisation. The visible byline, dates and image must match the markup. Do not use QAPage markup; the page is an authored article, not a user-submitted question forum.</w:t>
      </w:r>
    </w:p>
    <w:p>
      <w:pPr>
        <w:pageBreakBefore/>
        <w:spacing w:before="160" w:after="100"/>
      </w:pPr>
      <w:r>
        <w:rPr>
          <w:rFonts w:ascii="Aptos" w:hAnsi="Aptos"/>
          <w:b/>
          <w:color w:val="008692"/>
          <w:sz w:val="19"/>
        </w:rPr>
        <w:t>ARTICLE 2  |  CLOUD AND ENTERPRISE MODERNISATION</w:t>
      </w:r>
    </w:p>
    <w:p>
      <w:pPr>
        <w:pStyle w:val="ArticleTitle"/>
        <w:spacing w:after="200"/>
      </w:pPr>
      <w:r>
        <w:rPr>
          <w:rFonts w:ascii="Aptos" w:hAnsi="Aptos"/>
          <w:b/>
          <w:color w:val="102A43"/>
          <w:sz w:val="54"/>
        </w:rPr>
        <w:t>How to Modernise Core Enterprise Systems Without Disrupting the Business</w:t>
      </w:r>
    </w:p>
    <w:p>
      <w:pPr>
        <w:spacing w:after="320" w:line="293" w:lineRule="auto"/>
      </w:pPr>
      <w:r>
        <w:rPr>
          <w:rFonts w:ascii="Aptos" w:hAnsi="Aptos"/>
          <w:i/>
          <w:color w:val="5D6B78"/>
          <w:sz w:val="25"/>
        </w:rPr>
        <w:t>Modernisation does not require a big-bang replacement. The safer path is to prioritise business capabilities, expose hidden dependencies, choose the right treatment for each workload and move in controlled waves with measurable recovery options.</w:t>
      </w:r>
    </w:p>
    <w:tbl>
      <w:tblPr>
        <w:tblW w:type="dxa" w:w="9360"/>
        <w:jc w:val="left"/>
        <w:tblLayout w:type="fixed"/>
        <w:tblLook w:firstColumn="1" w:firstRow="1" w:lastColumn="0" w:lastRow="0" w:noHBand="0" w:noVBand="1" w:val="04A0"/>
        <w:tblInd w:w="120" w:type="dxa"/>
        <w:tblBorders>
          <w:top w:val="single" w:sz="0" w:space="0" w:color="EAF6F7"/>
          <w:left w:val="single" w:sz="0" w:space="0" w:color="EAF6F7"/>
          <w:bottom w:val="single" w:sz="0" w:space="0" w:color="EAF6F7"/>
          <w:right w:val="single" w:sz="0" w:space="0" w:color="EAF6F7"/>
          <w:insideH w:val="single" w:sz="0" w:space="0" w:color="EAF6F7"/>
          <w:insideV w:val="single" w:sz="0" w:space="0" w:color="EAF6F7"/>
        </w:tblBorders>
      </w:tblPr>
      <w:tblGrid>
        <w:gridCol w:w="9360"/>
      </w:tblGrid>
      <w:tr>
        <w:tc>
          <w:tcPr>
            <w:tcW w:type="dxa" w:w="9360"/>
            <w:vAlign w:val="center"/>
            <w:tcMar>
              <w:top w:w="170" w:type="dxa"/>
              <w:start w:w="210" w:type="dxa"/>
              <w:bottom w:w="170" w:type="dxa"/>
              <w:end w:w="210" w:type="dxa"/>
            </w:tcMar>
            <w:shd w:fill="EAF6F7"/>
          </w:tcPr>
          <w:p>
            <w:pPr>
              <w:spacing w:after="0" w:line="283" w:lineRule="auto"/>
            </w:pPr>
            <w:r>
              <w:rPr>
                <w:rFonts w:ascii="Aptos" w:hAnsi="Aptos"/>
                <w:b/>
                <w:color w:val="005E68"/>
                <w:sz w:val="18"/>
              </w:rPr>
              <w:t>EXECUTIVE ANSWER</w:t>
              <w:br/>
            </w:r>
            <w:r>
              <w:rPr>
                <w:rFonts w:ascii="Aptos" w:hAnsi="Aptos"/>
                <w:b/>
                <w:color w:val="102A43"/>
                <w:sz w:val="24"/>
              </w:rPr>
              <w:t>Modernise around business continuity: stabilise what must keep running, separate capabilities that can change, introduce a controlled transition architecture, migrate in waves and retire legacy components only after the new path has proved reliable.</w:t>
            </w:r>
          </w:p>
        </w:tc>
      </w:tr>
    </w:tbl>
    <w:p>
      <w:pPr>
        <w:spacing w:after="40"/>
      </w:pPr>
    </w:p>
    <w:p>
      <w:pPr>
        <w:pStyle w:val="Heading1"/>
        <w:keepNext/>
      </w:pPr>
      <w:r>
        <w:t>Key takeaways</w:t>
      </w:r>
    </w:p>
    <w:p>
      <w:pPr>
        <w:pStyle w:val="ListBullet"/>
        <w:spacing w:after="100" w:line="283" w:lineRule="auto"/>
        <w:ind w:left="720" w:hanging="360"/>
      </w:pPr>
      <w:r>
        <w:rPr>
          <w:rFonts w:ascii="Aptos" w:hAnsi="Aptos"/>
          <w:color w:val="243342"/>
          <w:sz w:val="21"/>
        </w:rPr>
        <w:t>Modernisation is a portfolio of decisions - retain, retire, rehost, replatform, refactor or replace - not a single migration method.</w:t>
      </w:r>
    </w:p>
    <w:p>
      <w:pPr>
        <w:pStyle w:val="ListBullet"/>
        <w:spacing w:after="100" w:line="283" w:lineRule="auto"/>
        <w:ind w:left="720" w:hanging="360"/>
      </w:pPr>
      <w:r>
        <w:rPr>
          <w:rFonts w:ascii="Aptos" w:hAnsi="Aptos"/>
          <w:color w:val="243342"/>
          <w:sz w:val="21"/>
        </w:rPr>
        <w:t>Dependency discovery, data reconciliation, parallel operations and rehearsed rollback plans protect continuity more effectively than optimism.</w:t>
      </w:r>
    </w:p>
    <w:p>
      <w:pPr>
        <w:pStyle w:val="ListBullet"/>
        <w:spacing w:after="100" w:line="283" w:lineRule="auto"/>
        <w:ind w:left="720" w:hanging="360"/>
      </w:pPr>
      <w:r>
        <w:rPr>
          <w:rFonts w:ascii="Aptos" w:hAnsi="Aptos"/>
          <w:color w:val="243342"/>
          <w:sz w:val="21"/>
        </w:rPr>
        <w:t>The programme should be measured through business outcomes and operational resilience, not only the number of workloads moved.</w:t>
      </w:r>
    </w:p>
    <w:p>
      <w:pPr>
        <w:pStyle w:val="Heading1"/>
        <w:keepNext/>
      </w:pPr>
      <w:r>
        <w:t>The systems most in need of change are often the hardest to touch</w:t>
      </w:r>
    </w:p>
    <w:p>
      <w:pPr>
        <w:widowControl/>
        <w:spacing w:after="160" w:line="293" w:lineRule="auto"/>
      </w:pPr>
      <w:r>
        <w:rPr>
          <w:rFonts w:ascii="Aptos" w:hAnsi="Aptos"/>
          <w:i w:val="0"/>
          <w:color w:val="243342"/>
          <w:sz w:val="22"/>
        </w:rPr>
        <w:t>Core platforms accumulate history. They contain years of business rules, exceptions, integrations, reports and workarounds that may not exist in current documentation. They also support the transactions the organisation cannot afford to interrupt: billing, fulfilment, customer service, finance, workforce operations or regulatory reporting.</w:t>
      </w:r>
    </w:p>
    <w:p>
      <w:pPr>
        <w:widowControl/>
        <w:spacing w:after="160" w:line="293" w:lineRule="auto"/>
      </w:pPr>
      <w:r>
        <w:rPr>
          <w:rFonts w:ascii="Aptos" w:hAnsi="Aptos"/>
          <w:i w:val="0"/>
          <w:color w:val="243342"/>
          <w:sz w:val="22"/>
        </w:rPr>
        <w:t>That creates a familiar leadership tension. The organisation needs greater agility, security, interoperability and data access, yet the perceived risk of change keeps investment focused on short-term patches. Over time, those patches make the estate more expensive to understand and harder to change.</w:t>
      </w:r>
    </w:p>
    <w:p>
      <w:pPr>
        <w:widowControl/>
        <w:spacing w:after="160" w:line="293" w:lineRule="auto"/>
      </w:pPr>
      <w:r>
        <w:rPr>
          <w:rFonts w:ascii="Aptos" w:hAnsi="Aptos"/>
          <w:i w:val="0"/>
          <w:color w:val="243342"/>
          <w:sz w:val="22"/>
        </w:rPr>
        <w:t>The answer is not to choose between permanent legacy and a high-risk replacement. It is to design modernisation as a controlled transition. Business continuity becomes a design requirement from the beginning, not a cutover task at the end.</w:t>
      </w:r>
    </w:p>
    <w:p>
      <w:pPr>
        <w:pStyle w:val="Heading1"/>
        <w:keepNext/>
      </w:pPr>
      <w:r>
        <w:t>Modernisation is not the same as moving everything to the cloud</w:t>
      </w:r>
    </w:p>
    <w:p>
      <w:pPr>
        <w:widowControl/>
        <w:spacing w:after="160" w:line="293" w:lineRule="auto"/>
      </w:pPr>
      <w:r>
        <w:rPr>
          <w:rFonts w:ascii="Aptos" w:hAnsi="Aptos"/>
          <w:i w:val="0"/>
          <w:color w:val="243342"/>
          <w:sz w:val="22"/>
        </w:rPr>
        <w:t>Cloud can provide powerful capabilities, but location alone does not remove architectural debt. Rehosting an application may improve infrastructure flexibility while leaving brittle code, duplicated data and manual workflows unchanged. Refactoring every system, on the other hand, may consume time and capital without producing proportional business value.</w:t>
      </w:r>
    </w:p>
    <w:p>
      <w:pPr>
        <w:widowControl/>
        <w:spacing w:after="160" w:line="293" w:lineRule="auto"/>
      </w:pPr>
      <w:r>
        <w:rPr>
          <w:rFonts w:ascii="Aptos" w:hAnsi="Aptos"/>
          <w:i w:val="0"/>
          <w:color w:val="243342"/>
          <w:sz w:val="22"/>
        </w:rPr>
        <w:t>Modernisation should therefore begin with the business capability and the constraints around it. Microsoft's Cloud Adoption Framework distinguishes several treatment paths and explicitly recognises that some workloads should be retained because of regulation, technical dependency or continuity requirements [1]. AWS guidance similarly describes multiple migration strategies rather than one universal route [2].</w:t>
      </w:r>
    </w:p>
    <w:p>
      <w:pPr>
        <w:widowControl/>
        <w:spacing w:after="160" w:line="293" w:lineRule="auto"/>
      </w:pPr>
      <w:r>
        <w:rPr>
          <w:rFonts w:ascii="Aptos" w:hAnsi="Aptos"/>
          <w:i w:val="0"/>
          <w:color w:val="243342"/>
          <w:sz w:val="22"/>
        </w:rPr>
        <w:t>The practical implication is important: the target state is not "everything migrated." It is a portfolio in which each workload has the most appropriate home, architecture and operating model for the outcome it supports.</w:t>
      </w:r>
    </w:p>
    <w:p>
      <w:pPr>
        <w:pStyle w:val="Heading1"/>
        <w:keepNext/>
      </w:pPr>
      <w:r>
        <w:t>Six decisions that reduce modernisation risk</w:t>
      </w:r>
    </w:p>
    <w:p>
      <w:pPr>
        <w:pStyle w:val="Heading2"/>
        <w:keepNext/>
      </w:pPr>
      <w:r>
        <w:t>1. Define the business capability before the application</w:t>
      </w:r>
    </w:p>
    <w:p>
      <w:pPr>
        <w:widowControl/>
        <w:spacing w:after="160" w:line="293" w:lineRule="auto"/>
      </w:pPr>
      <w:r>
        <w:rPr>
          <w:rFonts w:ascii="Aptos" w:hAnsi="Aptos"/>
          <w:i w:val="0"/>
          <w:color w:val="243342"/>
          <w:sz w:val="22"/>
        </w:rPr>
        <w:t>An application inventory tells leaders what technology exists. A capability map explains what the business must continue to do. The difference prevents teams from treating every component as equally important and helps identify where several applications support the same outcome.</w:t>
      </w:r>
    </w:p>
    <w:p>
      <w:pPr>
        <w:widowControl/>
        <w:spacing w:after="160" w:line="293" w:lineRule="auto"/>
      </w:pPr>
      <w:r>
        <w:rPr>
          <w:rFonts w:ascii="Aptos" w:hAnsi="Aptos"/>
          <w:i w:val="0"/>
          <w:color w:val="243342"/>
          <w:sz w:val="22"/>
        </w:rPr>
        <w:t>For each capability, define critical transactions, service windows, regulatory obligations, acceptable data loss, recovery expectations and user groups. This creates the criteria against which every technical option should be judged.</w:t>
      </w:r>
    </w:p>
    <w:p>
      <w:pPr>
        <w:pStyle w:val="Heading2"/>
        <w:keepNext/>
      </w:pPr>
      <w:r>
        <w:t>2. Discover dependencies before designing the target state</w:t>
      </w:r>
    </w:p>
    <w:p>
      <w:pPr>
        <w:widowControl/>
        <w:spacing w:after="160" w:line="293" w:lineRule="auto"/>
      </w:pPr>
      <w:r>
        <w:rPr>
          <w:rFonts w:ascii="Aptos" w:hAnsi="Aptos"/>
          <w:i w:val="0"/>
          <w:color w:val="243342"/>
          <w:sz w:val="22"/>
        </w:rPr>
        <w:t>Many transformation failures begin with an incomplete map. Interfaces may include formal APIs, scheduled file transfers, shared databases, spreadsheets, identity services, reports and manual reconciliations. A single overlooked dependency can interrupt an otherwise successful cutover.</w:t>
      </w:r>
    </w:p>
    <w:p>
      <w:pPr>
        <w:widowControl/>
        <w:spacing w:after="160" w:line="293" w:lineRule="auto"/>
      </w:pPr>
      <w:r>
        <w:rPr>
          <w:rFonts w:ascii="Aptos" w:hAnsi="Aptos"/>
          <w:i w:val="0"/>
          <w:color w:val="243342"/>
          <w:sz w:val="22"/>
        </w:rPr>
        <w:t>Dependency discovery should combine automated analysis with interviews and transaction tracing. The objective is not perfect documentation of the entire estate. It is sufficient evidence to understand the blast radius, sequence the work and define safe fallback paths.</w:t>
      </w:r>
    </w:p>
    <w:p>
      <w:pPr>
        <w:pStyle w:val="Heading2"/>
        <w:keepNext/>
      </w:pPr>
      <w:r>
        <w:t>3. Choose a treatment for each workload</w:t>
      </w:r>
    </w:p>
    <w:p>
      <w:pPr>
        <w:widowControl/>
        <w:spacing w:after="160" w:line="293" w:lineRule="auto"/>
      </w:pPr>
      <w:r>
        <w:rPr>
          <w:rFonts w:ascii="Aptos" w:hAnsi="Aptos"/>
          <w:i w:val="0"/>
          <w:color w:val="243342"/>
          <w:sz w:val="22"/>
        </w:rPr>
        <w:t>Not every workload deserves the same investment. A stable application with low strategic importance may be retained or rehosted. A differentiated customer or operational capability may justify refactoring. A commodity function may be better replaced with a modern platform. A redundant service may be retired.</w:t>
      </w:r>
    </w:p>
    <w:tbl>
      <w:tblPr>
        <w:tblW w:type="dxa" w:w="9360"/>
        <w:jc w:val="left"/>
        <w:tblLayout w:type="fixed"/>
        <w:tblLook w:firstColumn="1" w:firstRow="1" w:lastColumn="0" w:lastRow="0" w:noHBand="0" w:noVBand="1" w:val="04A0"/>
        <w:tblInd w:w="120" w:type="dxa"/>
        <w:tblBorders>
          <w:top w:val="single" w:sz="4" w:space="0" w:color="D7DEE3"/>
          <w:left w:val="single" w:sz="4" w:space="0" w:color="D7DEE3"/>
          <w:bottom w:val="single" w:sz="4" w:space="0" w:color="D7DEE3"/>
          <w:right w:val="single" w:sz="4" w:space="0" w:color="D7DEE3"/>
          <w:insideH w:val="single" w:sz="4" w:space="0" w:color="D7DEE3"/>
          <w:insideV w:val="single" w:sz="4" w:space="0" w:color="D7DEE3"/>
        </w:tblBorders>
      </w:tblPr>
      <w:tblGrid>
        <w:gridCol w:w="1350"/>
        <w:gridCol w:w="2760"/>
        <w:gridCol w:w="2350"/>
        <w:gridCol w:w="2900"/>
      </w:tblGrid>
      <w:tr>
        <w:trPr>
          <w:tblHeader w:val="true"/>
        </w:trPr>
        <w:tc>
          <w:tcPr>
            <w:tcW w:type="dxa" w:w="1350"/>
            <w:vAlign w:val="center"/>
            <w:tcMar>
              <w:top w:w="100" w:type="dxa"/>
              <w:start w:w="120" w:type="dxa"/>
              <w:bottom w:w="100" w:type="dxa"/>
              <w:end w:w="120" w:type="dxa"/>
            </w:tcMar>
            <w:shd w:fill="DDEFF1"/>
          </w:tcPr>
          <w:p>
            <w:pPr>
              <w:spacing w:after="0" w:line="254" w:lineRule="auto"/>
            </w:pPr>
            <w:r>
              <w:rPr>
                <w:rFonts w:ascii="Aptos" w:hAnsi="Aptos"/>
                <w:b/>
                <w:color w:val="102A43"/>
                <w:sz w:val="17"/>
              </w:rPr>
              <w:t>Treatment</w:t>
            </w:r>
          </w:p>
        </w:tc>
        <w:tc>
          <w:tcPr>
            <w:tcW w:type="dxa" w:w="2760"/>
            <w:vAlign w:val="center"/>
            <w:tcMar>
              <w:top w:w="100" w:type="dxa"/>
              <w:start w:w="120" w:type="dxa"/>
              <w:bottom w:w="100" w:type="dxa"/>
              <w:end w:w="120" w:type="dxa"/>
            </w:tcMar>
            <w:shd w:fill="DDEFF1"/>
          </w:tcPr>
          <w:p>
            <w:pPr>
              <w:spacing w:after="0" w:line="254" w:lineRule="auto"/>
            </w:pPr>
            <w:r>
              <w:rPr>
                <w:rFonts w:ascii="Aptos" w:hAnsi="Aptos"/>
                <w:b/>
                <w:color w:val="102A43"/>
                <w:sz w:val="17"/>
              </w:rPr>
              <w:t>Best fit</w:t>
            </w:r>
          </w:p>
        </w:tc>
        <w:tc>
          <w:tcPr>
            <w:tcW w:type="dxa" w:w="2350"/>
            <w:vAlign w:val="center"/>
            <w:tcMar>
              <w:top w:w="100" w:type="dxa"/>
              <w:start w:w="120" w:type="dxa"/>
              <w:bottom w:w="100" w:type="dxa"/>
              <w:end w:w="120" w:type="dxa"/>
            </w:tcMar>
            <w:shd w:fill="DDEFF1"/>
          </w:tcPr>
          <w:p>
            <w:pPr>
              <w:spacing w:after="0" w:line="254" w:lineRule="auto"/>
            </w:pPr>
            <w:r>
              <w:rPr>
                <w:rFonts w:ascii="Aptos" w:hAnsi="Aptos"/>
                <w:b/>
                <w:color w:val="102A43"/>
                <w:sz w:val="17"/>
              </w:rPr>
              <w:t>Primary advantage</w:t>
            </w:r>
          </w:p>
        </w:tc>
        <w:tc>
          <w:tcPr>
            <w:tcW w:type="dxa" w:w="2900"/>
            <w:vAlign w:val="center"/>
            <w:tcMar>
              <w:top w:w="100" w:type="dxa"/>
              <w:start w:w="120" w:type="dxa"/>
              <w:bottom w:w="100" w:type="dxa"/>
              <w:end w:w="120" w:type="dxa"/>
            </w:tcMar>
            <w:shd w:fill="DDEFF1"/>
          </w:tcPr>
          <w:p>
            <w:pPr>
              <w:spacing w:after="0" w:line="254" w:lineRule="auto"/>
            </w:pPr>
            <w:r>
              <w:rPr>
                <w:rFonts w:ascii="Aptos" w:hAnsi="Aptos"/>
                <w:b/>
                <w:color w:val="102A43"/>
                <w:sz w:val="17"/>
              </w:rPr>
              <w:t>Key caution</w:t>
            </w:r>
          </w:p>
        </w:tc>
      </w:tr>
      <w:tr>
        <w:tc>
          <w:tcPr>
            <w:tcW w:type="dxa" w:w="1350"/>
            <w:vAlign w:val="center"/>
            <w:tcMar>
              <w:top w:w="100" w:type="dxa"/>
              <w:start w:w="120" w:type="dxa"/>
              <w:bottom w:w="100" w:type="dxa"/>
              <w:end w:w="120" w:type="dxa"/>
            </w:tcMar>
          </w:tcPr>
          <w:p>
            <w:pPr>
              <w:spacing w:after="0" w:line="254" w:lineRule="auto"/>
            </w:pPr>
            <w:r>
              <w:rPr>
                <w:rFonts w:ascii="Aptos" w:hAnsi="Aptos"/>
                <w:b w:val="0"/>
                <w:color w:val="243342"/>
                <w:sz w:val="17"/>
              </w:rPr>
              <w:t>Retain</w:t>
            </w:r>
          </w:p>
        </w:tc>
        <w:tc>
          <w:tcPr>
            <w:tcW w:type="dxa" w:w="2760"/>
            <w:vAlign w:val="center"/>
            <w:tcMar>
              <w:top w:w="100" w:type="dxa"/>
              <w:start w:w="120" w:type="dxa"/>
              <w:bottom w:w="100" w:type="dxa"/>
              <w:end w:w="120" w:type="dxa"/>
            </w:tcMar>
          </w:tcPr>
          <w:p>
            <w:pPr>
              <w:spacing w:after="0" w:line="254" w:lineRule="auto"/>
            </w:pPr>
            <w:r>
              <w:rPr>
                <w:rFonts w:ascii="Aptos" w:hAnsi="Aptos"/>
                <w:b w:val="0"/>
                <w:color w:val="243342"/>
                <w:sz w:val="17"/>
              </w:rPr>
              <w:t>Stable, compliant workload with no near-term value case</w:t>
            </w:r>
          </w:p>
        </w:tc>
        <w:tc>
          <w:tcPr>
            <w:tcW w:type="dxa" w:w="2350"/>
            <w:vAlign w:val="center"/>
            <w:tcMar>
              <w:top w:w="100" w:type="dxa"/>
              <w:start w:w="120" w:type="dxa"/>
              <w:bottom w:w="100" w:type="dxa"/>
              <w:end w:w="120" w:type="dxa"/>
            </w:tcMar>
          </w:tcPr>
          <w:p>
            <w:pPr>
              <w:spacing w:after="0" w:line="254" w:lineRule="auto"/>
            </w:pPr>
            <w:r>
              <w:rPr>
                <w:rFonts w:ascii="Aptos" w:hAnsi="Aptos"/>
                <w:b w:val="0"/>
                <w:color w:val="243342"/>
                <w:sz w:val="17"/>
              </w:rPr>
              <w:t>Avoids unnecessary change</w:t>
            </w:r>
          </w:p>
        </w:tc>
        <w:tc>
          <w:tcPr>
            <w:tcW w:type="dxa" w:w="2900"/>
            <w:vAlign w:val="center"/>
            <w:tcMar>
              <w:top w:w="100" w:type="dxa"/>
              <w:start w:w="120" w:type="dxa"/>
              <w:bottom w:w="100" w:type="dxa"/>
              <w:end w:w="120" w:type="dxa"/>
            </w:tcMar>
          </w:tcPr>
          <w:p>
            <w:pPr>
              <w:spacing w:after="0" w:line="254" w:lineRule="auto"/>
            </w:pPr>
            <w:r>
              <w:rPr>
                <w:rFonts w:ascii="Aptos" w:hAnsi="Aptos"/>
                <w:b w:val="0"/>
                <w:color w:val="243342"/>
                <w:sz w:val="17"/>
              </w:rPr>
              <w:t>Must still be supported, secured and reviewed</w:t>
            </w:r>
          </w:p>
        </w:tc>
      </w:tr>
      <w:tr>
        <w:tc>
          <w:tcPr>
            <w:tcW w:type="dxa" w:w="1350"/>
            <w:vAlign w:val="center"/>
            <w:tcMar>
              <w:top w:w="100" w:type="dxa"/>
              <w:start w:w="120" w:type="dxa"/>
              <w:bottom w:w="100" w:type="dxa"/>
              <w:end w:w="120" w:type="dxa"/>
            </w:tcMar>
          </w:tcPr>
          <w:p>
            <w:pPr>
              <w:spacing w:after="0" w:line="254" w:lineRule="auto"/>
            </w:pPr>
            <w:r>
              <w:rPr>
                <w:rFonts w:ascii="Aptos" w:hAnsi="Aptos"/>
                <w:b w:val="0"/>
                <w:color w:val="243342"/>
                <w:sz w:val="17"/>
              </w:rPr>
              <w:t>Rehost</w:t>
            </w:r>
          </w:p>
        </w:tc>
        <w:tc>
          <w:tcPr>
            <w:tcW w:type="dxa" w:w="2760"/>
            <w:vAlign w:val="center"/>
            <w:tcMar>
              <w:top w:w="100" w:type="dxa"/>
              <w:start w:w="120" w:type="dxa"/>
              <w:bottom w:w="100" w:type="dxa"/>
              <w:end w:w="120" w:type="dxa"/>
            </w:tcMar>
          </w:tcPr>
          <w:p>
            <w:pPr>
              <w:spacing w:after="0" w:line="254" w:lineRule="auto"/>
            </w:pPr>
            <w:r>
              <w:rPr>
                <w:rFonts w:ascii="Aptos" w:hAnsi="Aptos"/>
                <w:b w:val="0"/>
                <w:color w:val="243342"/>
                <w:sz w:val="17"/>
              </w:rPr>
              <w:t>Infrastructure constraint with limited time for code change</w:t>
            </w:r>
          </w:p>
        </w:tc>
        <w:tc>
          <w:tcPr>
            <w:tcW w:type="dxa" w:w="2350"/>
            <w:vAlign w:val="center"/>
            <w:tcMar>
              <w:top w:w="100" w:type="dxa"/>
              <w:start w:w="120" w:type="dxa"/>
              <w:bottom w:w="100" w:type="dxa"/>
              <w:end w:w="120" w:type="dxa"/>
            </w:tcMar>
          </w:tcPr>
          <w:p>
            <w:pPr>
              <w:spacing w:after="0" w:line="254" w:lineRule="auto"/>
            </w:pPr>
            <w:r>
              <w:rPr>
                <w:rFonts w:ascii="Aptos" w:hAnsi="Aptos"/>
                <w:b w:val="0"/>
                <w:color w:val="243342"/>
                <w:sz w:val="17"/>
              </w:rPr>
              <w:t>Faster movement</w:t>
            </w:r>
          </w:p>
        </w:tc>
        <w:tc>
          <w:tcPr>
            <w:tcW w:type="dxa" w:w="2900"/>
            <w:vAlign w:val="center"/>
            <w:tcMar>
              <w:top w:w="100" w:type="dxa"/>
              <w:start w:w="120" w:type="dxa"/>
              <w:bottom w:w="100" w:type="dxa"/>
              <w:end w:w="120" w:type="dxa"/>
            </w:tcMar>
          </w:tcPr>
          <w:p>
            <w:pPr>
              <w:spacing w:after="0" w:line="254" w:lineRule="auto"/>
            </w:pPr>
            <w:r>
              <w:rPr>
                <w:rFonts w:ascii="Aptos" w:hAnsi="Aptos"/>
                <w:b w:val="0"/>
                <w:color w:val="243342"/>
                <w:sz w:val="17"/>
              </w:rPr>
              <w:t>May preserve architectural debt</w:t>
            </w:r>
          </w:p>
        </w:tc>
      </w:tr>
      <w:tr>
        <w:tc>
          <w:tcPr>
            <w:tcW w:type="dxa" w:w="1350"/>
            <w:vAlign w:val="center"/>
            <w:tcMar>
              <w:top w:w="100" w:type="dxa"/>
              <w:start w:w="120" w:type="dxa"/>
              <w:bottom w:w="100" w:type="dxa"/>
              <w:end w:w="120" w:type="dxa"/>
            </w:tcMar>
          </w:tcPr>
          <w:p>
            <w:pPr>
              <w:spacing w:after="0" w:line="254" w:lineRule="auto"/>
            </w:pPr>
            <w:r>
              <w:rPr>
                <w:rFonts w:ascii="Aptos" w:hAnsi="Aptos"/>
                <w:b w:val="0"/>
                <w:color w:val="243342"/>
                <w:sz w:val="17"/>
              </w:rPr>
              <w:t>Replatform</w:t>
            </w:r>
          </w:p>
        </w:tc>
        <w:tc>
          <w:tcPr>
            <w:tcW w:type="dxa" w:w="2760"/>
            <w:vAlign w:val="center"/>
            <w:tcMar>
              <w:top w:w="100" w:type="dxa"/>
              <w:start w:w="120" w:type="dxa"/>
              <w:bottom w:w="100" w:type="dxa"/>
              <w:end w:w="120" w:type="dxa"/>
            </w:tcMar>
          </w:tcPr>
          <w:p>
            <w:pPr>
              <w:spacing w:after="0" w:line="254" w:lineRule="auto"/>
            </w:pPr>
            <w:r>
              <w:rPr>
                <w:rFonts w:ascii="Aptos" w:hAnsi="Aptos"/>
                <w:b w:val="0"/>
                <w:color w:val="243342"/>
                <w:sz w:val="17"/>
              </w:rPr>
              <w:t>Workload can gain managed services with modest change</w:t>
            </w:r>
          </w:p>
        </w:tc>
        <w:tc>
          <w:tcPr>
            <w:tcW w:type="dxa" w:w="2350"/>
            <w:vAlign w:val="center"/>
            <w:tcMar>
              <w:top w:w="100" w:type="dxa"/>
              <w:start w:w="120" w:type="dxa"/>
              <w:bottom w:w="100" w:type="dxa"/>
              <w:end w:w="120" w:type="dxa"/>
            </w:tcMar>
          </w:tcPr>
          <w:p>
            <w:pPr>
              <w:spacing w:after="0" w:line="254" w:lineRule="auto"/>
            </w:pPr>
            <w:r>
              <w:rPr>
                <w:rFonts w:ascii="Aptos" w:hAnsi="Aptos"/>
                <w:b w:val="0"/>
                <w:color w:val="243342"/>
                <w:sz w:val="17"/>
              </w:rPr>
              <w:t>Improves operations without full rewrite</w:t>
            </w:r>
          </w:p>
        </w:tc>
        <w:tc>
          <w:tcPr>
            <w:tcW w:type="dxa" w:w="2900"/>
            <w:vAlign w:val="center"/>
            <w:tcMar>
              <w:top w:w="100" w:type="dxa"/>
              <w:start w:w="120" w:type="dxa"/>
              <w:bottom w:w="100" w:type="dxa"/>
              <w:end w:w="120" w:type="dxa"/>
            </w:tcMar>
          </w:tcPr>
          <w:p>
            <w:pPr>
              <w:spacing w:after="0" w:line="254" w:lineRule="auto"/>
            </w:pPr>
            <w:r>
              <w:rPr>
                <w:rFonts w:ascii="Aptos" w:hAnsi="Aptos"/>
                <w:b w:val="0"/>
                <w:color w:val="243342"/>
                <w:sz w:val="17"/>
              </w:rPr>
              <w:t>Compatibility and performance require testing</w:t>
            </w:r>
          </w:p>
        </w:tc>
      </w:tr>
      <w:tr>
        <w:tc>
          <w:tcPr>
            <w:tcW w:type="dxa" w:w="1350"/>
            <w:vAlign w:val="center"/>
            <w:tcMar>
              <w:top w:w="100" w:type="dxa"/>
              <w:start w:w="120" w:type="dxa"/>
              <w:bottom w:w="100" w:type="dxa"/>
              <w:end w:w="120" w:type="dxa"/>
            </w:tcMar>
          </w:tcPr>
          <w:p>
            <w:pPr>
              <w:spacing w:after="0" w:line="254" w:lineRule="auto"/>
            </w:pPr>
            <w:r>
              <w:rPr>
                <w:rFonts w:ascii="Aptos" w:hAnsi="Aptos"/>
                <w:b w:val="0"/>
                <w:color w:val="243342"/>
                <w:sz w:val="17"/>
              </w:rPr>
              <w:t>Refactor</w:t>
            </w:r>
          </w:p>
        </w:tc>
        <w:tc>
          <w:tcPr>
            <w:tcW w:type="dxa" w:w="2760"/>
            <w:vAlign w:val="center"/>
            <w:tcMar>
              <w:top w:w="100" w:type="dxa"/>
              <w:start w:w="120" w:type="dxa"/>
              <w:bottom w:w="100" w:type="dxa"/>
              <w:end w:w="120" w:type="dxa"/>
            </w:tcMar>
          </w:tcPr>
          <w:p>
            <w:pPr>
              <w:spacing w:after="0" w:line="254" w:lineRule="auto"/>
            </w:pPr>
            <w:r>
              <w:rPr>
                <w:rFonts w:ascii="Aptos" w:hAnsi="Aptos"/>
                <w:b w:val="0"/>
                <w:color w:val="243342"/>
                <w:sz w:val="17"/>
              </w:rPr>
              <w:t>Strategic capability constrained by current architecture</w:t>
            </w:r>
          </w:p>
        </w:tc>
        <w:tc>
          <w:tcPr>
            <w:tcW w:type="dxa" w:w="2350"/>
            <w:vAlign w:val="center"/>
            <w:tcMar>
              <w:top w:w="100" w:type="dxa"/>
              <w:start w:w="120" w:type="dxa"/>
              <w:bottom w:w="100" w:type="dxa"/>
              <w:end w:w="120" w:type="dxa"/>
            </w:tcMar>
          </w:tcPr>
          <w:p>
            <w:pPr>
              <w:spacing w:after="0" w:line="254" w:lineRule="auto"/>
            </w:pPr>
            <w:r>
              <w:rPr>
                <w:rFonts w:ascii="Aptos" w:hAnsi="Aptos"/>
                <w:b w:val="0"/>
                <w:color w:val="243342"/>
                <w:sz w:val="17"/>
              </w:rPr>
              <w:t>Greater agility and maintainability</w:t>
            </w:r>
          </w:p>
        </w:tc>
        <w:tc>
          <w:tcPr>
            <w:tcW w:type="dxa" w:w="2900"/>
            <w:vAlign w:val="center"/>
            <w:tcMar>
              <w:top w:w="100" w:type="dxa"/>
              <w:start w:w="120" w:type="dxa"/>
              <w:bottom w:w="100" w:type="dxa"/>
              <w:end w:w="120" w:type="dxa"/>
            </w:tcMar>
          </w:tcPr>
          <w:p>
            <w:pPr>
              <w:spacing w:after="0" w:line="254" w:lineRule="auto"/>
            </w:pPr>
            <w:r>
              <w:rPr>
                <w:rFonts w:ascii="Aptos" w:hAnsi="Aptos"/>
                <w:b w:val="0"/>
                <w:color w:val="243342"/>
                <w:sz w:val="17"/>
              </w:rPr>
              <w:t>Higher engineering and change effort</w:t>
            </w:r>
          </w:p>
        </w:tc>
      </w:tr>
      <w:tr>
        <w:tc>
          <w:tcPr>
            <w:tcW w:type="dxa" w:w="1350"/>
            <w:vAlign w:val="center"/>
            <w:tcMar>
              <w:top w:w="100" w:type="dxa"/>
              <w:start w:w="120" w:type="dxa"/>
              <w:bottom w:w="100" w:type="dxa"/>
              <w:end w:w="120" w:type="dxa"/>
            </w:tcMar>
          </w:tcPr>
          <w:p>
            <w:pPr>
              <w:spacing w:after="0" w:line="254" w:lineRule="auto"/>
            </w:pPr>
            <w:r>
              <w:rPr>
                <w:rFonts w:ascii="Aptos" w:hAnsi="Aptos"/>
                <w:b w:val="0"/>
                <w:color w:val="243342"/>
                <w:sz w:val="17"/>
              </w:rPr>
              <w:t>Replace</w:t>
            </w:r>
          </w:p>
        </w:tc>
        <w:tc>
          <w:tcPr>
            <w:tcW w:type="dxa" w:w="2760"/>
            <w:vAlign w:val="center"/>
            <w:tcMar>
              <w:top w:w="100" w:type="dxa"/>
              <w:start w:w="120" w:type="dxa"/>
              <w:bottom w:w="100" w:type="dxa"/>
              <w:end w:w="120" w:type="dxa"/>
            </w:tcMar>
          </w:tcPr>
          <w:p>
            <w:pPr>
              <w:spacing w:after="0" w:line="254" w:lineRule="auto"/>
            </w:pPr>
            <w:r>
              <w:rPr>
                <w:rFonts w:ascii="Aptos" w:hAnsi="Aptos"/>
                <w:b w:val="0"/>
                <w:color w:val="243342"/>
                <w:sz w:val="17"/>
              </w:rPr>
              <w:t>Commodity capability better served by a modern platform</w:t>
            </w:r>
          </w:p>
        </w:tc>
        <w:tc>
          <w:tcPr>
            <w:tcW w:type="dxa" w:w="2350"/>
            <w:vAlign w:val="center"/>
            <w:tcMar>
              <w:top w:w="100" w:type="dxa"/>
              <w:start w:w="120" w:type="dxa"/>
              <w:bottom w:w="100" w:type="dxa"/>
              <w:end w:w="120" w:type="dxa"/>
            </w:tcMar>
          </w:tcPr>
          <w:p>
            <w:pPr>
              <w:spacing w:after="0" w:line="254" w:lineRule="auto"/>
            </w:pPr>
            <w:r>
              <w:rPr>
                <w:rFonts w:ascii="Aptos" w:hAnsi="Aptos"/>
                <w:b w:val="0"/>
                <w:color w:val="243342"/>
                <w:sz w:val="17"/>
              </w:rPr>
              <w:t>Access to current features and support</w:t>
            </w:r>
          </w:p>
        </w:tc>
        <w:tc>
          <w:tcPr>
            <w:tcW w:type="dxa" w:w="2900"/>
            <w:vAlign w:val="center"/>
            <w:tcMar>
              <w:top w:w="100" w:type="dxa"/>
              <w:start w:w="120" w:type="dxa"/>
              <w:bottom w:w="100" w:type="dxa"/>
              <w:end w:w="120" w:type="dxa"/>
            </w:tcMar>
          </w:tcPr>
          <w:p>
            <w:pPr>
              <w:spacing w:after="0" w:line="254" w:lineRule="auto"/>
            </w:pPr>
            <w:r>
              <w:rPr>
                <w:rFonts w:ascii="Aptos" w:hAnsi="Aptos"/>
                <w:b w:val="0"/>
                <w:color w:val="243342"/>
                <w:sz w:val="17"/>
              </w:rPr>
              <w:t>Process fit, data migration and adoption risk</w:t>
            </w:r>
          </w:p>
        </w:tc>
      </w:tr>
      <w:tr>
        <w:tc>
          <w:tcPr>
            <w:tcW w:type="dxa" w:w="1350"/>
            <w:vAlign w:val="center"/>
            <w:tcMar>
              <w:top w:w="100" w:type="dxa"/>
              <w:start w:w="120" w:type="dxa"/>
              <w:bottom w:w="100" w:type="dxa"/>
              <w:end w:w="120" w:type="dxa"/>
            </w:tcMar>
          </w:tcPr>
          <w:p>
            <w:pPr>
              <w:spacing w:after="0" w:line="254" w:lineRule="auto"/>
            </w:pPr>
            <w:r>
              <w:rPr>
                <w:rFonts w:ascii="Aptos" w:hAnsi="Aptos"/>
                <w:b w:val="0"/>
                <w:color w:val="243342"/>
                <w:sz w:val="17"/>
              </w:rPr>
              <w:t>Retire</w:t>
            </w:r>
          </w:p>
        </w:tc>
        <w:tc>
          <w:tcPr>
            <w:tcW w:type="dxa" w:w="2760"/>
            <w:vAlign w:val="center"/>
            <w:tcMar>
              <w:top w:w="100" w:type="dxa"/>
              <w:start w:w="120" w:type="dxa"/>
              <w:bottom w:w="100" w:type="dxa"/>
              <w:end w:w="120" w:type="dxa"/>
            </w:tcMar>
          </w:tcPr>
          <w:p>
            <w:pPr>
              <w:spacing w:after="0" w:line="254" w:lineRule="auto"/>
            </w:pPr>
            <w:r>
              <w:rPr>
                <w:rFonts w:ascii="Aptos" w:hAnsi="Aptos"/>
                <w:b w:val="0"/>
                <w:color w:val="243342"/>
                <w:sz w:val="17"/>
              </w:rPr>
              <w:t>Duplicate or low-value service</w:t>
            </w:r>
          </w:p>
        </w:tc>
        <w:tc>
          <w:tcPr>
            <w:tcW w:type="dxa" w:w="2350"/>
            <w:vAlign w:val="center"/>
            <w:tcMar>
              <w:top w:w="100" w:type="dxa"/>
              <w:start w:w="120" w:type="dxa"/>
              <w:bottom w:w="100" w:type="dxa"/>
              <w:end w:w="120" w:type="dxa"/>
            </w:tcMar>
          </w:tcPr>
          <w:p>
            <w:pPr>
              <w:spacing w:after="0" w:line="254" w:lineRule="auto"/>
            </w:pPr>
            <w:r>
              <w:rPr>
                <w:rFonts w:ascii="Aptos" w:hAnsi="Aptos"/>
                <w:b w:val="0"/>
                <w:color w:val="243342"/>
                <w:sz w:val="17"/>
              </w:rPr>
              <w:t>Reduces cost and complexity</w:t>
            </w:r>
          </w:p>
        </w:tc>
        <w:tc>
          <w:tcPr>
            <w:tcW w:type="dxa" w:w="2900"/>
            <w:vAlign w:val="center"/>
            <w:tcMar>
              <w:top w:w="100" w:type="dxa"/>
              <w:start w:w="120" w:type="dxa"/>
              <w:bottom w:w="100" w:type="dxa"/>
              <w:end w:w="120" w:type="dxa"/>
            </w:tcMar>
          </w:tcPr>
          <w:p>
            <w:pPr>
              <w:spacing w:after="0" w:line="254" w:lineRule="auto"/>
            </w:pPr>
            <w:r>
              <w:rPr>
                <w:rFonts w:ascii="Aptos" w:hAnsi="Aptos"/>
                <w:b w:val="0"/>
                <w:color w:val="243342"/>
                <w:sz w:val="17"/>
              </w:rPr>
              <w:t>Confirm hidden users and dependencies first</w:t>
            </w:r>
          </w:p>
        </w:tc>
      </w:tr>
    </w:tbl>
    <w:p>
      <w:pPr>
        <w:spacing w:after="20"/>
      </w:pPr>
    </w:p>
    <w:p>
      <w:pPr>
        <w:pStyle w:val="Heading2"/>
        <w:keepNext/>
      </w:pPr>
      <w:r>
        <w:t>4. Build a transition architecture, not only a destination</w:t>
      </w:r>
    </w:p>
    <w:p>
      <w:pPr>
        <w:widowControl/>
        <w:spacing w:after="160" w:line="293" w:lineRule="auto"/>
      </w:pPr>
      <w:r>
        <w:rPr>
          <w:rFonts w:ascii="Aptos" w:hAnsi="Aptos"/>
          <w:i w:val="0"/>
          <w:color w:val="243342"/>
          <w:sz w:val="22"/>
        </w:rPr>
        <w:t>A target architecture shows where the organisation wants to arrive. A transition architecture explains how old and new components will coexist while the organisation keeps operating. It defines routing, synchronisation, identity, monitoring, exception handling and ownership during the period of change.</w:t>
      </w:r>
    </w:p>
    <w:p>
      <w:pPr>
        <w:widowControl/>
        <w:spacing w:after="160" w:line="293" w:lineRule="auto"/>
      </w:pPr>
      <w:r>
        <w:rPr>
          <w:rFonts w:ascii="Aptos" w:hAnsi="Aptos"/>
          <w:i w:val="0"/>
          <w:color w:val="243342"/>
          <w:sz w:val="22"/>
        </w:rPr>
        <w:t>Incremental patterns can reduce transformation risk. The strangler fig pattern, for example, moves capabilities away from a monolith in stages while existing functionality continues to operate [3]. It is not suitable for every system, but it illustrates the wider principle: isolate change behind controlled interfaces and prove each slice before expanding it.</w:t>
      </w:r>
    </w:p>
    <w:p>
      <w:pPr>
        <w:pStyle w:val="Heading2"/>
        <w:keepNext/>
      </w:pPr>
      <w:r>
        <w:t>5. Treat data continuity as a separate workstream</w:t>
      </w:r>
    </w:p>
    <w:p>
      <w:pPr>
        <w:widowControl/>
        <w:spacing w:after="160" w:line="293" w:lineRule="auto"/>
      </w:pPr>
      <w:r>
        <w:rPr>
          <w:rFonts w:ascii="Aptos" w:hAnsi="Aptos"/>
          <w:i w:val="0"/>
          <w:color w:val="243342"/>
          <w:sz w:val="22"/>
        </w:rPr>
        <w:t>Application cutover and data cutover are related but different problems. Records must be profiled, cleansed, mapped, reconciled and governed. Historical retention, audit evidence and downstream reporting must be considered before the migration window.</w:t>
      </w:r>
    </w:p>
    <w:p>
      <w:pPr>
        <w:widowControl/>
        <w:spacing w:after="160" w:line="293" w:lineRule="auto"/>
      </w:pPr>
      <w:r>
        <w:rPr>
          <w:rFonts w:ascii="Aptos" w:hAnsi="Aptos"/>
          <w:i w:val="0"/>
          <w:color w:val="243342"/>
          <w:sz w:val="22"/>
        </w:rPr>
        <w:t>Where old and new systems operate in parallel, teams need explicit rules for the system of record, conflict resolution and synchronisation. Reconciliation thresholds should be defined in advance, along with the authority to stop or reverse a release when those thresholds are breached.</w:t>
      </w:r>
    </w:p>
    <w:p>
      <w:pPr>
        <w:pStyle w:val="Heading2"/>
        <w:keepNext/>
      </w:pPr>
      <w:r>
        <w:t>6. Engineer cutover and recovery with the same seriousness</w:t>
      </w:r>
    </w:p>
    <w:p>
      <w:pPr>
        <w:widowControl/>
        <w:spacing w:after="160" w:line="293" w:lineRule="auto"/>
      </w:pPr>
      <w:r>
        <w:rPr>
          <w:rFonts w:ascii="Aptos" w:hAnsi="Aptos"/>
          <w:i w:val="0"/>
          <w:color w:val="243342"/>
          <w:sz w:val="22"/>
        </w:rPr>
        <w:t>A cutover plan should identify entry criteria, decision rights, timed activities, monitoring, communications and rollback triggers. It should be rehearsed with realistic data and failure scenarios. The rollback path must be technically possible and operationally understood; a sentence in a project plan is not a recovery capability.</w:t>
      </w:r>
    </w:p>
    <w:p>
      <w:pPr>
        <w:widowControl/>
        <w:spacing w:after="160" w:line="293" w:lineRule="auto"/>
      </w:pPr>
      <w:r>
        <w:rPr>
          <w:rFonts w:ascii="Aptos" w:hAnsi="Aptos"/>
          <w:i w:val="0"/>
          <w:color w:val="243342"/>
          <w:sz w:val="22"/>
        </w:rPr>
        <w:t>AWS guidance on mainframe transformation emphasises migration scheduling and contingency planning to minimise disruption [4]. The principle applies beyond mainframes: operational resilience depends on evidence that teams can detect a problem, contain it and restore service within agreed tolerances.</w:t>
      </w:r>
    </w:p>
    <w:p>
      <w:pPr>
        <w:pStyle w:val="Heading1"/>
        <w:keepNext/>
      </w:pPr>
      <w:r>
        <w:t>The iTANZ PACE modernisation model</w:t>
      </w:r>
    </w:p>
    <w:p>
      <w:pPr>
        <w:widowControl/>
        <w:spacing w:after="160" w:line="293" w:lineRule="auto"/>
      </w:pPr>
      <w:r>
        <w:rPr>
          <w:rFonts w:ascii="Aptos" w:hAnsi="Aptos"/>
          <w:i w:val="0"/>
          <w:color w:val="243342"/>
          <w:sz w:val="22"/>
        </w:rPr>
        <w:t>PACE provides a simple leadership sequence for turning modernisation into controlled progress rather than a one-time leap.</w:t>
      </w:r>
    </w:p>
    <w:p>
      <w:pPr>
        <w:numPr>
          <w:ilvl w:val="0"/>
          <w:numId w:val="12"/>
        </w:numPr>
        <w:spacing w:after="140" w:line="288" w:lineRule="auto"/>
        <w:ind w:left="720" w:hanging="360"/>
      </w:pPr>
      <w:r>
        <w:rPr>
          <w:rFonts w:ascii="Aptos" w:hAnsi="Aptos"/>
          <w:b/>
          <w:color w:val="102A43"/>
          <w:sz w:val="22"/>
        </w:rPr>
        <w:t xml:space="preserve">P - Prioritise business capabilities. </w:t>
      </w:r>
      <w:r>
        <w:rPr>
          <w:rFonts w:ascii="Aptos" w:hAnsi="Aptos"/>
          <w:color w:val="243342"/>
          <w:sz w:val="22"/>
        </w:rPr>
        <w:t>Rank change by strategic value, operational pain, risk exposure and dependency readiness. Start where measurable value and controllable scope intersect.</w:t>
      </w:r>
    </w:p>
    <w:p>
      <w:pPr>
        <w:numPr>
          <w:ilvl w:val="0"/>
          <w:numId w:val="12"/>
        </w:numPr>
        <w:spacing w:after="140" w:line="288" w:lineRule="auto"/>
        <w:ind w:left="720" w:hanging="360"/>
      </w:pPr>
      <w:r>
        <w:rPr>
          <w:rFonts w:ascii="Aptos" w:hAnsi="Aptos"/>
          <w:b/>
          <w:color w:val="102A43"/>
          <w:sz w:val="22"/>
        </w:rPr>
        <w:t xml:space="preserve">A - Architect the transition. </w:t>
      </w:r>
      <w:r>
        <w:rPr>
          <w:rFonts w:ascii="Aptos" w:hAnsi="Aptos"/>
          <w:color w:val="243342"/>
          <w:sz w:val="22"/>
        </w:rPr>
        <w:t>Define current, transitional and target states. Design interfaces, security, data movement, observability, coexistence and recovery before committing to the migration sequence.</w:t>
      </w:r>
    </w:p>
    <w:p>
      <w:pPr>
        <w:numPr>
          <w:ilvl w:val="0"/>
          <w:numId w:val="12"/>
        </w:numPr>
        <w:spacing w:after="140" w:line="288" w:lineRule="auto"/>
        <w:ind w:left="720" w:hanging="360"/>
      </w:pPr>
      <w:r>
        <w:rPr>
          <w:rFonts w:ascii="Aptos" w:hAnsi="Aptos"/>
          <w:b/>
          <w:color w:val="102A43"/>
          <w:sz w:val="22"/>
        </w:rPr>
        <w:t xml:space="preserve">C - Control continuity and change. </w:t>
      </w:r>
      <w:r>
        <w:rPr>
          <w:rFonts w:ascii="Aptos" w:hAnsi="Aptos"/>
          <w:color w:val="243342"/>
          <w:sz w:val="22"/>
        </w:rPr>
        <w:t>Set service thresholds, testing evidence, reconciliation rules, human decision rights, cutover gates, communications and rollback triggers.</w:t>
      </w:r>
    </w:p>
    <w:p>
      <w:pPr>
        <w:numPr>
          <w:ilvl w:val="0"/>
          <w:numId w:val="12"/>
        </w:numPr>
        <w:spacing w:after="140" w:line="288" w:lineRule="auto"/>
        <w:ind w:left="720" w:hanging="360"/>
      </w:pPr>
      <w:r>
        <w:rPr>
          <w:rFonts w:ascii="Aptos" w:hAnsi="Aptos"/>
          <w:b/>
          <w:color w:val="102A43"/>
          <w:sz w:val="22"/>
        </w:rPr>
        <w:t xml:space="preserve">E - Execute in evidence-led waves. </w:t>
      </w:r>
      <w:r>
        <w:rPr>
          <w:rFonts w:ascii="Aptos" w:hAnsi="Aptos"/>
          <w:color w:val="243342"/>
          <w:sz w:val="22"/>
        </w:rPr>
        <w:t>Release a bounded capability, measure technical and business outcomes, stabilise operations and use the evidence to approve the next wave.</w:t>
      </w:r>
    </w:p>
    <w:p>
      <w:pPr>
        <w:pStyle w:val="Heading1"/>
        <w:keepNext/>
      </w:pPr>
      <w:r>
        <w:t>A five-phase roadmap for modernising without a big bang</w:t>
      </w:r>
    </w:p>
    <w:tbl>
      <w:tblPr>
        <w:tblW w:type="dxa" w:w="9360"/>
        <w:tblLayout w:type="fixed"/>
        <w:tblLook w:firstColumn="1" w:firstRow="1" w:lastColumn="0" w:lastRow="0" w:noHBand="0" w:noVBand="1" w:val="04A0"/>
        <w:tblInd w:w="120" w:type="dxa"/>
        <w:tblBorders>
          <w:top w:val="single" w:sz="4" w:space="0" w:color="D7DEE3"/>
          <w:left w:val="single" w:sz="4" w:space="0" w:color="D7DEE3"/>
          <w:bottom w:val="single" w:sz="4" w:space="0" w:color="D7DEE3"/>
          <w:right w:val="single" w:sz="4" w:space="0" w:color="D7DEE3"/>
          <w:insideH w:val="single" w:sz="4" w:space="0" w:color="D7DEE3"/>
          <w:insideV w:val="single" w:sz="4" w:space="0" w:color="D7DEE3"/>
        </w:tblBorders>
      </w:tblPr>
      <w:tblGrid>
        <w:gridCol w:w="1300"/>
        <w:gridCol w:w="2300"/>
        <w:gridCol w:w="3160"/>
        <w:gridCol w:w="2600"/>
      </w:tblGrid>
      <w:tr>
        <w:trPr>
          <w:tblHeader w:val="true"/>
        </w:trPr>
        <w:tc>
          <w:tcPr>
            <w:tcW w:type="dxa" w:w="1300"/>
            <w:vAlign w:val="center"/>
            <w:tcMar>
              <w:top w:w="100" w:type="dxa"/>
              <w:start w:w="120" w:type="dxa"/>
              <w:bottom w:w="100" w:type="dxa"/>
              <w:end w:w="120" w:type="dxa"/>
            </w:tcMar>
            <w:shd w:fill="DDEFF1"/>
          </w:tcPr>
          <w:p>
            <w:pPr>
              <w:spacing w:after="0" w:line="254" w:lineRule="auto"/>
            </w:pPr>
            <w:r>
              <w:rPr>
                <w:rFonts w:ascii="Aptos" w:hAnsi="Aptos"/>
                <w:b/>
                <w:color w:val="102A43"/>
                <w:sz w:val="16"/>
              </w:rPr>
              <w:t>Phase</w:t>
            </w:r>
          </w:p>
        </w:tc>
        <w:tc>
          <w:tcPr>
            <w:tcW w:type="dxa" w:w="2300"/>
            <w:vAlign w:val="center"/>
            <w:tcMar>
              <w:top w:w="100" w:type="dxa"/>
              <w:start w:w="120" w:type="dxa"/>
              <w:bottom w:w="100" w:type="dxa"/>
              <w:end w:w="120" w:type="dxa"/>
            </w:tcMar>
            <w:shd w:fill="DDEFF1"/>
          </w:tcPr>
          <w:p>
            <w:pPr>
              <w:spacing w:after="0" w:line="254" w:lineRule="auto"/>
            </w:pPr>
            <w:r>
              <w:rPr>
                <w:rFonts w:ascii="Aptos" w:hAnsi="Aptos"/>
                <w:b/>
                <w:color w:val="102A43"/>
                <w:sz w:val="16"/>
              </w:rPr>
              <w:t>Purpose</w:t>
            </w:r>
          </w:p>
        </w:tc>
        <w:tc>
          <w:tcPr>
            <w:tcW w:type="dxa" w:w="3160"/>
            <w:vAlign w:val="center"/>
            <w:tcMar>
              <w:top w:w="100" w:type="dxa"/>
              <w:start w:w="120" w:type="dxa"/>
              <w:bottom w:w="100" w:type="dxa"/>
              <w:end w:w="120" w:type="dxa"/>
            </w:tcMar>
            <w:shd w:fill="DDEFF1"/>
          </w:tcPr>
          <w:p>
            <w:pPr>
              <w:spacing w:after="0" w:line="254" w:lineRule="auto"/>
            </w:pPr>
            <w:r>
              <w:rPr>
                <w:rFonts w:ascii="Aptos" w:hAnsi="Aptos"/>
                <w:b/>
                <w:color w:val="102A43"/>
                <w:sz w:val="16"/>
              </w:rPr>
              <w:t>Key outputs</w:t>
            </w:r>
          </w:p>
        </w:tc>
        <w:tc>
          <w:tcPr>
            <w:tcW w:type="dxa" w:w="2600"/>
            <w:vAlign w:val="center"/>
            <w:tcMar>
              <w:top w:w="100" w:type="dxa"/>
              <w:start w:w="120" w:type="dxa"/>
              <w:bottom w:w="100" w:type="dxa"/>
              <w:end w:w="120" w:type="dxa"/>
            </w:tcMar>
            <w:shd w:fill="DDEFF1"/>
          </w:tcPr>
          <w:p>
            <w:pPr>
              <w:spacing w:after="0" w:line="254" w:lineRule="auto"/>
            </w:pPr>
            <w:r>
              <w:rPr>
                <w:rFonts w:ascii="Aptos" w:hAnsi="Aptos"/>
                <w:b/>
                <w:color w:val="102A43"/>
                <w:sz w:val="16"/>
              </w:rPr>
              <w:t>Go/no-go evidence</w:t>
            </w:r>
          </w:p>
        </w:tc>
      </w:tr>
      <w:tr>
        <w:tc>
          <w:tcPr>
            <w:tcW w:type="dxa" w:w="1300"/>
            <w:vAlign w:val="center"/>
            <w:tcMar>
              <w:top w:w="100" w:type="dxa"/>
              <w:start w:w="120" w:type="dxa"/>
              <w:bottom w:w="100" w:type="dxa"/>
              <w:end w:w="120" w:type="dxa"/>
            </w:tcMar>
          </w:tcPr>
          <w:p>
            <w:pPr>
              <w:spacing w:after="0" w:line="254" w:lineRule="auto"/>
            </w:pPr>
            <w:r>
              <w:rPr>
                <w:rFonts w:ascii="Aptos" w:hAnsi="Aptos"/>
                <w:b w:val="0"/>
                <w:color w:val="243342"/>
                <w:sz w:val="16"/>
              </w:rPr>
              <w:t>1. Discover</w:t>
            </w:r>
          </w:p>
        </w:tc>
        <w:tc>
          <w:tcPr>
            <w:tcW w:type="dxa" w:w="2300"/>
            <w:vAlign w:val="center"/>
            <w:tcMar>
              <w:top w:w="100" w:type="dxa"/>
              <w:start w:w="120" w:type="dxa"/>
              <w:bottom w:w="100" w:type="dxa"/>
              <w:end w:w="120" w:type="dxa"/>
            </w:tcMar>
          </w:tcPr>
          <w:p>
            <w:pPr>
              <w:spacing w:after="0" w:line="254" w:lineRule="auto"/>
            </w:pPr>
            <w:r>
              <w:rPr>
                <w:rFonts w:ascii="Aptos" w:hAnsi="Aptos"/>
                <w:b w:val="0"/>
                <w:color w:val="243342"/>
                <w:sz w:val="16"/>
              </w:rPr>
              <w:t>Understand capabilities, applications and dependencies</w:t>
            </w:r>
          </w:p>
        </w:tc>
        <w:tc>
          <w:tcPr>
            <w:tcW w:type="dxa" w:w="3160"/>
            <w:vAlign w:val="center"/>
            <w:tcMar>
              <w:top w:w="100" w:type="dxa"/>
              <w:start w:w="120" w:type="dxa"/>
              <w:bottom w:w="100" w:type="dxa"/>
              <w:end w:w="120" w:type="dxa"/>
            </w:tcMar>
          </w:tcPr>
          <w:p>
            <w:pPr>
              <w:spacing w:after="0" w:line="254" w:lineRule="auto"/>
            </w:pPr>
            <w:r>
              <w:rPr>
                <w:rFonts w:ascii="Aptos" w:hAnsi="Aptos"/>
                <w:b w:val="0"/>
                <w:color w:val="243342"/>
                <w:sz w:val="16"/>
              </w:rPr>
              <w:t>Capability map, workload inventory, risk and data profile</w:t>
            </w:r>
          </w:p>
        </w:tc>
        <w:tc>
          <w:tcPr>
            <w:tcW w:type="dxa" w:w="2600"/>
            <w:vAlign w:val="center"/>
            <w:tcMar>
              <w:top w:w="100" w:type="dxa"/>
              <w:start w:w="120" w:type="dxa"/>
              <w:bottom w:w="100" w:type="dxa"/>
              <w:end w:w="120" w:type="dxa"/>
            </w:tcMar>
          </w:tcPr>
          <w:p>
            <w:pPr>
              <w:spacing w:after="0" w:line="254" w:lineRule="auto"/>
            </w:pPr>
            <w:r>
              <w:rPr>
                <w:rFonts w:ascii="Aptos" w:hAnsi="Aptos"/>
                <w:b w:val="0"/>
                <w:color w:val="243342"/>
                <w:sz w:val="16"/>
              </w:rPr>
              <w:t>Critical transactions and hidden dependencies are visible</w:t>
            </w:r>
          </w:p>
        </w:tc>
      </w:tr>
      <w:tr>
        <w:tc>
          <w:tcPr>
            <w:tcW w:type="dxa" w:w="1300"/>
            <w:vAlign w:val="center"/>
            <w:tcMar>
              <w:top w:w="100" w:type="dxa"/>
              <w:start w:w="120" w:type="dxa"/>
              <w:bottom w:w="100" w:type="dxa"/>
              <w:end w:w="120" w:type="dxa"/>
            </w:tcMar>
          </w:tcPr>
          <w:p>
            <w:pPr>
              <w:spacing w:after="0" w:line="254" w:lineRule="auto"/>
            </w:pPr>
            <w:r>
              <w:rPr>
                <w:rFonts w:ascii="Aptos" w:hAnsi="Aptos"/>
                <w:b w:val="0"/>
                <w:color w:val="243342"/>
                <w:sz w:val="16"/>
              </w:rPr>
              <w:t>2. Segment</w:t>
            </w:r>
          </w:p>
        </w:tc>
        <w:tc>
          <w:tcPr>
            <w:tcW w:type="dxa" w:w="2300"/>
            <w:vAlign w:val="center"/>
            <w:tcMar>
              <w:top w:w="100" w:type="dxa"/>
              <w:start w:w="120" w:type="dxa"/>
              <w:bottom w:w="100" w:type="dxa"/>
              <w:end w:w="120" w:type="dxa"/>
            </w:tcMar>
          </w:tcPr>
          <w:p>
            <w:pPr>
              <w:spacing w:after="0" w:line="254" w:lineRule="auto"/>
            </w:pPr>
            <w:r>
              <w:rPr>
                <w:rFonts w:ascii="Aptos" w:hAnsi="Aptos"/>
                <w:b w:val="0"/>
                <w:color w:val="243342"/>
                <w:sz w:val="16"/>
              </w:rPr>
              <w:t>Choose the right treatment and sequence</w:t>
            </w:r>
          </w:p>
        </w:tc>
        <w:tc>
          <w:tcPr>
            <w:tcW w:type="dxa" w:w="3160"/>
            <w:vAlign w:val="center"/>
            <w:tcMar>
              <w:top w:w="100" w:type="dxa"/>
              <w:start w:w="120" w:type="dxa"/>
              <w:bottom w:w="100" w:type="dxa"/>
              <w:end w:w="120" w:type="dxa"/>
            </w:tcMar>
          </w:tcPr>
          <w:p>
            <w:pPr>
              <w:spacing w:after="0" w:line="254" w:lineRule="auto"/>
            </w:pPr>
            <w:r>
              <w:rPr>
                <w:rFonts w:ascii="Aptos" w:hAnsi="Aptos"/>
                <w:b w:val="0"/>
                <w:color w:val="243342"/>
                <w:sz w:val="16"/>
              </w:rPr>
              <w:t>Retain/retire/rehost/replatform/refactor/replace decisions</w:t>
            </w:r>
          </w:p>
        </w:tc>
        <w:tc>
          <w:tcPr>
            <w:tcW w:type="dxa" w:w="2600"/>
            <w:vAlign w:val="center"/>
            <w:tcMar>
              <w:top w:w="100" w:type="dxa"/>
              <w:start w:w="120" w:type="dxa"/>
              <w:bottom w:w="100" w:type="dxa"/>
              <w:end w:w="120" w:type="dxa"/>
            </w:tcMar>
          </w:tcPr>
          <w:p>
            <w:pPr>
              <w:spacing w:after="0" w:line="254" w:lineRule="auto"/>
            </w:pPr>
            <w:r>
              <w:rPr>
                <w:rFonts w:ascii="Aptos" w:hAnsi="Aptos"/>
                <w:b w:val="0"/>
                <w:color w:val="243342"/>
                <w:sz w:val="16"/>
              </w:rPr>
              <w:t>Value, risk and effort support the portfolio choices</w:t>
            </w:r>
          </w:p>
        </w:tc>
      </w:tr>
      <w:tr>
        <w:tc>
          <w:tcPr>
            <w:tcW w:type="dxa" w:w="1300"/>
            <w:vAlign w:val="center"/>
            <w:tcMar>
              <w:top w:w="100" w:type="dxa"/>
              <w:start w:w="120" w:type="dxa"/>
              <w:bottom w:w="100" w:type="dxa"/>
              <w:end w:w="120" w:type="dxa"/>
            </w:tcMar>
          </w:tcPr>
          <w:p>
            <w:pPr>
              <w:spacing w:after="0" w:line="254" w:lineRule="auto"/>
            </w:pPr>
            <w:r>
              <w:rPr>
                <w:rFonts w:ascii="Aptos" w:hAnsi="Aptos"/>
                <w:b w:val="0"/>
                <w:color w:val="243342"/>
                <w:sz w:val="16"/>
              </w:rPr>
              <w:t>3. Stabilise</w:t>
            </w:r>
          </w:p>
        </w:tc>
        <w:tc>
          <w:tcPr>
            <w:tcW w:type="dxa" w:w="2300"/>
            <w:vAlign w:val="center"/>
            <w:tcMar>
              <w:top w:w="100" w:type="dxa"/>
              <w:start w:w="120" w:type="dxa"/>
              <w:bottom w:w="100" w:type="dxa"/>
              <w:end w:w="120" w:type="dxa"/>
            </w:tcMar>
          </w:tcPr>
          <w:p>
            <w:pPr>
              <w:spacing w:after="0" w:line="254" w:lineRule="auto"/>
            </w:pPr>
            <w:r>
              <w:rPr>
                <w:rFonts w:ascii="Aptos" w:hAnsi="Aptos"/>
                <w:b w:val="0"/>
                <w:color w:val="243342"/>
                <w:sz w:val="16"/>
              </w:rPr>
              <w:t>Reduce avoidable risk before migration</w:t>
            </w:r>
          </w:p>
        </w:tc>
        <w:tc>
          <w:tcPr>
            <w:tcW w:type="dxa" w:w="3160"/>
            <w:vAlign w:val="center"/>
            <w:tcMar>
              <w:top w:w="100" w:type="dxa"/>
              <w:start w:w="120" w:type="dxa"/>
              <w:bottom w:w="100" w:type="dxa"/>
              <w:end w:w="120" w:type="dxa"/>
            </w:tcMar>
          </w:tcPr>
          <w:p>
            <w:pPr>
              <w:spacing w:after="0" w:line="254" w:lineRule="auto"/>
            </w:pPr>
            <w:r>
              <w:rPr>
                <w:rFonts w:ascii="Aptos" w:hAnsi="Aptos"/>
                <w:b w:val="0"/>
                <w:color w:val="243342"/>
                <w:sz w:val="16"/>
              </w:rPr>
              <w:t>Monitoring, backup, security, test data and recovery readiness</w:t>
            </w:r>
          </w:p>
        </w:tc>
        <w:tc>
          <w:tcPr>
            <w:tcW w:type="dxa" w:w="2600"/>
            <w:vAlign w:val="center"/>
            <w:tcMar>
              <w:top w:w="100" w:type="dxa"/>
              <w:start w:w="120" w:type="dxa"/>
              <w:bottom w:w="100" w:type="dxa"/>
              <w:end w:w="120" w:type="dxa"/>
            </w:tcMar>
          </w:tcPr>
          <w:p>
            <w:pPr>
              <w:spacing w:after="0" w:line="254" w:lineRule="auto"/>
            </w:pPr>
            <w:r>
              <w:rPr>
                <w:rFonts w:ascii="Aptos" w:hAnsi="Aptos"/>
                <w:b w:val="0"/>
                <w:color w:val="243342"/>
                <w:sz w:val="16"/>
              </w:rPr>
              <w:t>Current service can be observed and restored</w:t>
            </w:r>
          </w:p>
        </w:tc>
      </w:tr>
      <w:tr>
        <w:tc>
          <w:tcPr>
            <w:tcW w:type="dxa" w:w="1300"/>
            <w:vAlign w:val="center"/>
            <w:tcMar>
              <w:top w:w="100" w:type="dxa"/>
              <w:start w:w="120" w:type="dxa"/>
              <w:bottom w:w="100" w:type="dxa"/>
              <w:end w:w="120" w:type="dxa"/>
            </w:tcMar>
          </w:tcPr>
          <w:p>
            <w:pPr>
              <w:spacing w:after="0" w:line="254" w:lineRule="auto"/>
            </w:pPr>
            <w:r>
              <w:rPr>
                <w:rFonts w:ascii="Aptos" w:hAnsi="Aptos"/>
                <w:b w:val="0"/>
                <w:color w:val="243342"/>
                <w:sz w:val="16"/>
              </w:rPr>
              <w:t>4. Modernise</w:t>
            </w:r>
          </w:p>
        </w:tc>
        <w:tc>
          <w:tcPr>
            <w:tcW w:type="dxa" w:w="2300"/>
            <w:vAlign w:val="center"/>
            <w:tcMar>
              <w:top w:w="100" w:type="dxa"/>
              <w:start w:w="120" w:type="dxa"/>
              <w:bottom w:w="100" w:type="dxa"/>
              <w:end w:w="120" w:type="dxa"/>
            </w:tcMar>
          </w:tcPr>
          <w:p>
            <w:pPr>
              <w:spacing w:after="0" w:line="254" w:lineRule="auto"/>
            </w:pPr>
            <w:r>
              <w:rPr>
                <w:rFonts w:ascii="Aptos" w:hAnsi="Aptos"/>
                <w:b w:val="0"/>
                <w:color w:val="243342"/>
                <w:sz w:val="16"/>
              </w:rPr>
              <w:t>Move bounded capabilities in controlled waves</w:t>
            </w:r>
          </w:p>
        </w:tc>
        <w:tc>
          <w:tcPr>
            <w:tcW w:type="dxa" w:w="3160"/>
            <w:vAlign w:val="center"/>
            <w:tcMar>
              <w:top w:w="100" w:type="dxa"/>
              <w:start w:w="120" w:type="dxa"/>
              <w:bottom w:w="100" w:type="dxa"/>
              <w:end w:w="120" w:type="dxa"/>
            </w:tcMar>
          </w:tcPr>
          <w:p>
            <w:pPr>
              <w:spacing w:after="0" w:line="254" w:lineRule="auto"/>
            </w:pPr>
            <w:r>
              <w:rPr>
                <w:rFonts w:ascii="Aptos" w:hAnsi="Aptos"/>
                <w:b w:val="0"/>
                <w:color w:val="243342"/>
                <w:sz w:val="16"/>
              </w:rPr>
              <w:t>Transition services, migrated data, tested integrations and trained users</w:t>
            </w:r>
          </w:p>
        </w:tc>
        <w:tc>
          <w:tcPr>
            <w:tcW w:type="dxa" w:w="2600"/>
            <w:vAlign w:val="center"/>
            <w:tcMar>
              <w:top w:w="100" w:type="dxa"/>
              <w:start w:w="120" w:type="dxa"/>
              <w:bottom w:w="100" w:type="dxa"/>
              <w:end w:w="120" w:type="dxa"/>
            </w:tcMar>
          </w:tcPr>
          <w:p>
            <w:pPr>
              <w:spacing w:after="0" w:line="254" w:lineRule="auto"/>
            </w:pPr>
            <w:r>
              <w:rPr>
                <w:rFonts w:ascii="Aptos" w:hAnsi="Aptos"/>
                <w:b w:val="0"/>
                <w:color w:val="243342"/>
                <w:sz w:val="16"/>
              </w:rPr>
              <w:t>Service, reconciliation and adoption thresholds are met</w:t>
            </w:r>
          </w:p>
        </w:tc>
      </w:tr>
      <w:tr>
        <w:tc>
          <w:tcPr>
            <w:tcW w:type="dxa" w:w="1300"/>
            <w:vAlign w:val="center"/>
            <w:tcMar>
              <w:top w:w="100" w:type="dxa"/>
              <w:start w:w="120" w:type="dxa"/>
              <w:bottom w:w="100" w:type="dxa"/>
              <w:end w:w="120" w:type="dxa"/>
            </w:tcMar>
          </w:tcPr>
          <w:p>
            <w:pPr>
              <w:spacing w:after="0" w:line="254" w:lineRule="auto"/>
            </w:pPr>
            <w:r>
              <w:rPr>
                <w:rFonts w:ascii="Aptos" w:hAnsi="Aptos"/>
                <w:b w:val="0"/>
                <w:color w:val="243342"/>
                <w:sz w:val="16"/>
              </w:rPr>
              <w:t>5. Optimise</w:t>
            </w:r>
          </w:p>
        </w:tc>
        <w:tc>
          <w:tcPr>
            <w:tcW w:type="dxa" w:w="2300"/>
            <w:vAlign w:val="center"/>
            <w:tcMar>
              <w:top w:w="100" w:type="dxa"/>
              <w:start w:w="120" w:type="dxa"/>
              <w:bottom w:w="100" w:type="dxa"/>
              <w:end w:w="120" w:type="dxa"/>
            </w:tcMar>
          </w:tcPr>
          <w:p>
            <w:pPr>
              <w:spacing w:after="0" w:line="254" w:lineRule="auto"/>
            </w:pPr>
            <w:r>
              <w:rPr>
                <w:rFonts w:ascii="Aptos" w:hAnsi="Aptos"/>
                <w:b w:val="0"/>
                <w:color w:val="243342"/>
                <w:sz w:val="16"/>
              </w:rPr>
              <w:t>Prove value and simplify the estate</w:t>
            </w:r>
          </w:p>
        </w:tc>
        <w:tc>
          <w:tcPr>
            <w:tcW w:type="dxa" w:w="3160"/>
            <w:vAlign w:val="center"/>
            <w:tcMar>
              <w:top w:w="100" w:type="dxa"/>
              <w:start w:w="120" w:type="dxa"/>
              <w:bottom w:w="100" w:type="dxa"/>
              <w:end w:w="120" w:type="dxa"/>
            </w:tcMar>
          </w:tcPr>
          <w:p>
            <w:pPr>
              <w:spacing w:after="0" w:line="254" w:lineRule="auto"/>
            </w:pPr>
            <w:r>
              <w:rPr>
                <w:rFonts w:ascii="Aptos" w:hAnsi="Aptos"/>
                <w:b w:val="0"/>
                <w:color w:val="243342"/>
                <w:sz w:val="16"/>
              </w:rPr>
              <w:t>Performance tuning, cost controls, legacy retirement and benefit tracking</w:t>
            </w:r>
          </w:p>
        </w:tc>
        <w:tc>
          <w:tcPr>
            <w:tcW w:type="dxa" w:w="2600"/>
            <w:vAlign w:val="center"/>
            <w:tcMar>
              <w:top w:w="100" w:type="dxa"/>
              <w:start w:w="120" w:type="dxa"/>
              <w:bottom w:w="100" w:type="dxa"/>
              <w:end w:w="120" w:type="dxa"/>
            </w:tcMar>
          </w:tcPr>
          <w:p>
            <w:pPr>
              <w:spacing w:after="0" w:line="254" w:lineRule="auto"/>
            </w:pPr>
            <w:r>
              <w:rPr>
                <w:rFonts w:ascii="Aptos" w:hAnsi="Aptos"/>
                <w:b w:val="0"/>
                <w:color w:val="243342"/>
                <w:sz w:val="16"/>
              </w:rPr>
              <w:t>Business outcomes improve and old components can be safely removed</w:t>
            </w:r>
          </w:p>
        </w:tc>
      </w:tr>
    </w:tbl>
    <w:p>
      <w:pPr>
        <w:spacing w:after="20"/>
      </w:pPr>
    </w:p>
    <w:p>
      <w:pPr>
        <w:pStyle w:val="Heading1"/>
        <w:keepNext/>
      </w:pPr>
      <w:r>
        <w:t>Measure the business, not only the migration</w:t>
      </w:r>
    </w:p>
    <w:p>
      <w:pPr>
        <w:widowControl/>
        <w:spacing w:after="160" w:line="293" w:lineRule="auto"/>
      </w:pPr>
      <w:r>
        <w:rPr>
          <w:rFonts w:ascii="Aptos" w:hAnsi="Aptos"/>
          <w:i w:val="0"/>
          <w:color w:val="243342"/>
          <w:sz w:val="22"/>
        </w:rPr>
        <w:t>Workloads moved, servers decommissioned and releases completed are useful delivery measures. They do not prove that the organisation is better. A balanced scorecard should connect technology improvement to service and business performance.</w:t>
      </w:r>
    </w:p>
    <w:p>
      <w:pPr>
        <w:pStyle w:val="ListBullet"/>
        <w:spacing w:after="100" w:line="283" w:lineRule="auto"/>
        <w:ind w:left="720" w:hanging="360"/>
      </w:pPr>
      <w:r>
        <w:rPr>
          <w:rFonts w:ascii="Aptos" w:hAnsi="Aptos"/>
          <w:color w:val="243342"/>
          <w:sz w:val="21"/>
        </w:rPr>
        <w:t>Continuity: availability, recovery performance, transaction completion and cutover exceptions.</w:t>
      </w:r>
    </w:p>
    <w:p>
      <w:pPr>
        <w:pStyle w:val="ListBullet"/>
        <w:spacing w:after="100" w:line="283" w:lineRule="auto"/>
        <w:ind w:left="720" w:hanging="360"/>
      </w:pPr>
      <w:r>
        <w:rPr>
          <w:rFonts w:ascii="Aptos" w:hAnsi="Aptos"/>
          <w:color w:val="243342"/>
          <w:sz w:val="21"/>
        </w:rPr>
        <w:t>Flow: deployment frequency, lead time for change, failure recovery and time required to introduce a product or policy change.</w:t>
      </w:r>
    </w:p>
    <w:p>
      <w:pPr>
        <w:pStyle w:val="ListBullet"/>
        <w:spacing w:after="100" w:line="283" w:lineRule="auto"/>
        <w:ind w:left="720" w:hanging="360"/>
      </w:pPr>
      <w:r>
        <w:rPr>
          <w:rFonts w:ascii="Aptos" w:hAnsi="Aptos"/>
          <w:color w:val="243342"/>
          <w:sz w:val="21"/>
        </w:rPr>
        <w:t>Experience: task completion, user effort, service responsiveness and adoption of the new workflow.</w:t>
      </w:r>
    </w:p>
    <w:p>
      <w:pPr>
        <w:pStyle w:val="ListBullet"/>
        <w:spacing w:after="100" w:line="283" w:lineRule="auto"/>
        <w:ind w:left="720" w:hanging="360"/>
      </w:pPr>
      <w:r>
        <w:rPr>
          <w:rFonts w:ascii="Aptos" w:hAnsi="Aptos"/>
          <w:color w:val="243342"/>
          <w:sz w:val="21"/>
        </w:rPr>
        <w:t>Economics: total run cost, cost per transaction, licence and infrastructure utilisation, and legacy cost retired.</w:t>
      </w:r>
    </w:p>
    <w:p>
      <w:pPr>
        <w:pStyle w:val="ListBullet"/>
        <w:spacing w:after="100" w:line="283" w:lineRule="auto"/>
        <w:ind w:left="720" w:hanging="360"/>
      </w:pPr>
      <w:r>
        <w:rPr>
          <w:rFonts w:ascii="Aptos" w:hAnsi="Aptos"/>
          <w:color w:val="243342"/>
          <w:sz w:val="21"/>
        </w:rPr>
        <w:t>Risk: unresolved vulnerabilities, unsupported components, audit findings, data exceptions and concentration risk.</w:t>
      </w:r>
    </w:p>
    <w:p>
      <w:pPr>
        <w:widowControl/>
        <w:spacing w:after="160" w:line="293" w:lineRule="auto"/>
      </w:pPr>
      <w:r>
        <w:rPr>
          <w:rFonts w:ascii="Aptos" w:hAnsi="Aptos"/>
          <w:i w:val="0"/>
          <w:color w:val="243342"/>
          <w:sz w:val="22"/>
        </w:rPr>
        <w:t>The most important measure is the one tied to the original business case. If customer onboarding was the priority, measure onboarding speed, completion and quality. If operational resilience was the priority, measure recovery evidence and service stability. Modernisation is successful when the business can do something materially better or safer.</w:t>
      </w:r>
    </w:p>
    <w:p>
      <w:pPr>
        <w:pStyle w:val="Heading1"/>
        <w:keepNext/>
      </w:pPr>
      <w:r>
        <w:t>What leaders should refuse to approve</w:t>
      </w:r>
    </w:p>
    <w:p>
      <w:pPr>
        <w:pStyle w:val="ListBullet"/>
        <w:spacing w:after="100" w:line="283" w:lineRule="auto"/>
        <w:ind w:left="720" w:hanging="360"/>
      </w:pPr>
      <w:r>
        <w:rPr>
          <w:rFonts w:ascii="Aptos" w:hAnsi="Aptos"/>
          <w:color w:val="243342"/>
          <w:sz w:val="21"/>
        </w:rPr>
        <w:t>A target platform decision without a mapped business capability and measurable outcome.</w:t>
      </w:r>
    </w:p>
    <w:p>
      <w:pPr>
        <w:pStyle w:val="ListBullet"/>
        <w:spacing w:after="100" w:line="283" w:lineRule="auto"/>
        <w:ind w:left="720" w:hanging="360"/>
      </w:pPr>
      <w:r>
        <w:rPr>
          <w:rFonts w:ascii="Aptos" w:hAnsi="Aptos"/>
          <w:color w:val="243342"/>
          <w:sz w:val="21"/>
        </w:rPr>
        <w:t>A migration schedule based on application count but not dependency complexity.</w:t>
      </w:r>
    </w:p>
    <w:p>
      <w:pPr>
        <w:pStyle w:val="ListBullet"/>
        <w:spacing w:after="100" w:line="283" w:lineRule="auto"/>
        <w:ind w:left="720" w:hanging="360"/>
      </w:pPr>
      <w:r>
        <w:rPr>
          <w:rFonts w:ascii="Aptos" w:hAnsi="Aptos"/>
          <w:color w:val="243342"/>
          <w:sz w:val="21"/>
        </w:rPr>
        <w:t>A data plan that begins with extraction and ends without reconciliation ownership.</w:t>
      </w:r>
    </w:p>
    <w:p>
      <w:pPr>
        <w:pStyle w:val="ListBullet"/>
        <w:spacing w:after="100" w:line="283" w:lineRule="auto"/>
        <w:ind w:left="720" w:hanging="360"/>
      </w:pPr>
      <w:r>
        <w:rPr>
          <w:rFonts w:ascii="Aptos" w:hAnsi="Aptos"/>
          <w:color w:val="243342"/>
          <w:sz w:val="21"/>
        </w:rPr>
        <w:t>A cutover with no rehearsed rollback path or authority to stop the release.</w:t>
      </w:r>
    </w:p>
    <w:p>
      <w:pPr>
        <w:pStyle w:val="ListBullet"/>
        <w:spacing w:after="100" w:line="283" w:lineRule="auto"/>
        <w:ind w:left="720" w:hanging="360"/>
      </w:pPr>
      <w:r>
        <w:rPr>
          <w:rFonts w:ascii="Aptos" w:hAnsi="Aptos"/>
          <w:color w:val="243342"/>
          <w:sz w:val="21"/>
        </w:rPr>
        <w:t>A programme that moves workloads but leaves legacy cost and complexity permanently in place.</w:t>
      </w:r>
    </w:p>
    <w:p>
      <w:pPr>
        <w:pStyle w:val="Heading1"/>
        <w:keepNext/>
      </w:pPr>
      <w:r>
        <w:t>Modernise for confidence, not motion</w:t>
      </w:r>
    </w:p>
    <w:p>
      <w:pPr>
        <w:widowControl/>
        <w:spacing w:after="160" w:line="293" w:lineRule="auto"/>
      </w:pPr>
      <w:r>
        <w:rPr>
          <w:rFonts w:ascii="Aptos" w:hAnsi="Aptos"/>
          <w:i w:val="0"/>
          <w:color w:val="243342"/>
          <w:sz w:val="22"/>
        </w:rPr>
        <w:t>The pressure to modernise is real, but urgency should improve sequencing rather than weaken it. Big-bang programmes can create the appearance of speed while concentrating risk. Endless assessment can create the opposite problem: clarity without movement.</w:t>
      </w:r>
    </w:p>
    <w:p>
      <w:pPr>
        <w:widowControl/>
        <w:spacing w:after="160" w:line="293" w:lineRule="auto"/>
      </w:pPr>
      <w:r>
        <w:rPr>
          <w:rFonts w:ascii="Aptos" w:hAnsi="Aptos"/>
          <w:i w:val="0"/>
          <w:color w:val="243342"/>
          <w:sz w:val="22"/>
        </w:rPr>
        <w:t>A controlled, capability-led approach creates a practical middle path. It lets the organisation protect what must continue, change what creates value and retire what no longer earns its place. Each wave produces evidence for the next decision.</w:t>
      </w:r>
    </w:p>
    <w:p>
      <w:pPr>
        <w:widowControl/>
        <w:spacing w:after="160" w:line="293" w:lineRule="auto"/>
      </w:pPr>
      <w:r>
        <w:rPr>
          <w:rFonts w:ascii="Aptos" w:hAnsi="Aptos"/>
          <w:i w:val="0"/>
          <w:color w:val="243342"/>
          <w:sz w:val="22"/>
        </w:rPr>
        <w:t>That is the real objective of modernisation: not to make the technology estate look newer, but to make the organisation easier to change without making it easier to break.</w:t>
      </w:r>
    </w:p>
    <w:p>
      <w:pPr>
        <w:pStyle w:val="Heading1"/>
        <w:keepNext/>
      </w:pPr>
      <w:r>
        <w:t>Frequently asked questions</w:t>
      </w:r>
    </w:p>
    <w:p>
      <w:pPr>
        <w:keepNext/>
        <w:spacing w:before="120" w:after="60"/>
      </w:pPr>
      <w:r>
        <w:rPr>
          <w:rFonts w:ascii="Aptos" w:hAnsi="Aptos"/>
          <w:b/>
          <w:color w:val="102A43"/>
          <w:sz w:val="23"/>
        </w:rPr>
        <w:t>What is enterprise application modernisation?</w:t>
      </w:r>
    </w:p>
    <w:p>
      <w:pPr>
        <w:widowControl/>
        <w:spacing w:after="160" w:line="293" w:lineRule="auto"/>
      </w:pPr>
      <w:r>
        <w:rPr>
          <w:rFonts w:ascii="Aptos" w:hAnsi="Aptos"/>
          <w:i w:val="0"/>
          <w:color w:val="243342"/>
          <w:sz w:val="22"/>
        </w:rPr>
        <w:t>Enterprise application modernisation improves existing systems, architectures and operating practices so they better support current business needs. It may include retaining, rehosting, replatforming, refactoring, replacing or retiring workloads; it does not always require a complete rewrite.</w:t>
      </w:r>
    </w:p>
    <w:p>
      <w:pPr>
        <w:keepNext/>
        <w:spacing w:before="120" w:after="60"/>
      </w:pPr>
      <w:r>
        <w:rPr>
          <w:rFonts w:ascii="Aptos" w:hAnsi="Aptos"/>
          <w:b/>
          <w:color w:val="102A43"/>
          <w:sz w:val="23"/>
        </w:rPr>
        <w:t>Is a big-bang replacement ever appropriate?</w:t>
      </w:r>
    </w:p>
    <w:p>
      <w:pPr>
        <w:widowControl/>
        <w:spacing w:after="160" w:line="293" w:lineRule="auto"/>
      </w:pPr>
      <w:r>
        <w:rPr>
          <w:rFonts w:ascii="Aptos" w:hAnsi="Aptos"/>
          <w:i w:val="0"/>
          <w:color w:val="243342"/>
          <w:sz w:val="22"/>
        </w:rPr>
        <w:t>It can be appropriate when coexistence is impossible, the current platform is no longer supportable or a hard regulatory or commercial deadline requires a single transition. Even then, dependency discovery, data rehearsal, recovery engineering and staged readiness gates remain essential.</w:t>
      </w:r>
    </w:p>
    <w:p>
      <w:pPr>
        <w:keepNext/>
        <w:spacing w:before="120" w:after="60"/>
      </w:pPr>
      <w:r>
        <w:rPr>
          <w:rFonts w:ascii="Aptos" w:hAnsi="Aptos"/>
          <w:b/>
          <w:color w:val="102A43"/>
          <w:sz w:val="23"/>
        </w:rPr>
        <w:t>How do we decide which applications to modernise first?</w:t>
      </w:r>
    </w:p>
    <w:p>
      <w:pPr>
        <w:widowControl/>
        <w:spacing w:after="160" w:line="293" w:lineRule="auto"/>
      </w:pPr>
      <w:r>
        <w:rPr>
          <w:rFonts w:ascii="Aptos" w:hAnsi="Aptos"/>
          <w:i w:val="0"/>
          <w:color w:val="243342"/>
          <w:sz w:val="22"/>
        </w:rPr>
        <w:t>Prioritise the intersection of business value, operational pain, risk exposure and readiness. A high-value capability with a bounded dependency set is often a stronger starting point than the oldest or most visible application.</w:t>
      </w:r>
    </w:p>
    <w:p>
      <w:pPr>
        <w:keepNext/>
        <w:spacing w:before="120" w:after="60"/>
      </w:pPr>
      <w:r>
        <w:rPr>
          <w:rFonts w:ascii="Aptos" w:hAnsi="Aptos"/>
          <w:b/>
          <w:color w:val="102A43"/>
          <w:sz w:val="23"/>
        </w:rPr>
        <w:t>How can legacy and modern systems operate together?</w:t>
      </w:r>
    </w:p>
    <w:p>
      <w:pPr>
        <w:widowControl/>
        <w:spacing w:after="160" w:line="293" w:lineRule="auto"/>
      </w:pPr>
      <w:r>
        <w:rPr>
          <w:rFonts w:ascii="Aptos" w:hAnsi="Aptos"/>
          <w:i w:val="0"/>
          <w:color w:val="243342"/>
          <w:sz w:val="22"/>
        </w:rPr>
        <w:t>Use a transition architecture with APIs, event flows, integration services, synchronisation rules, identity controls and observability. Clearly define the system of record and exception ownership while both environments are active.</w:t>
      </w:r>
    </w:p>
    <w:p>
      <w:pPr>
        <w:keepNext/>
        <w:spacing w:before="120" w:after="60"/>
      </w:pPr>
      <w:r>
        <w:rPr>
          <w:rFonts w:ascii="Aptos" w:hAnsi="Aptos"/>
          <w:b/>
          <w:color w:val="102A43"/>
          <w:sz w:val="23"/>
        </w:rPr>
        <w:t>What should be included in a modernisation business case?</w:t>
      </w:r>
    </w:p>
    <w:p>
      <w:pPr>
        <w:widowControl/>
        <w:spacing w:after="160" w:line="293" w:lineRule="auto"/>
      </w:pPr>
      <w:r>
        <w:rPr>
          <w:rFonts w:ascii="Aptos" w:hAnsi="Aptos"/>
          <w:i w:val="0"/>
          <w:color w:val="243342"/>
          <w:sz w:val="22"/>
        </w:rPr>
        <w:t>Include the business capability, service baseline, risk reduction, expected operational or customer improvement, implementation and change cost, ongoing run cost, legacy cost to be retired, dependencies and the measures that will prove value.</w:t>
      </w:r>
    </w:p>
    <w:tbl>
      <w:tblPr>
        <w:tblW w:type="dxa" w:w="9360"/>
        <w:jc w:val="left"/>
        <w:tblLayout w:type="fixed"/>
        <w:tblLook w:firstColumn="1" w:firstRow="1" w:lastColumn="0" w:lastRow="0" w:noHBand="0" w:noVBand="1" w:val="04A0"/>
        <w:tblInd w:w="120" w:type="dxa"/>
        <w:tblBorders>
          <w:top w:val="single" w:sz="0" w:space="0" w:color="EAF6F7"/>
          <w:left w:val="single" w:sz="0" w:space="0" w:color="EAF6F7"/>
          <w:bottom w:val="single" w:sz="0" w:space="0" w:color="EAF6F7"/>
          <w:right w:val="single" w:sz="0" w:space="0" w:color="EAF6F7"/>
          <w:insideH w:val="single" w:sz="0" w:space="0" w:color="EAF6F7"/>
          <w:insideV w:val="single" w:sz="0" w:space="0" w:color="EAF6F7"/>
        </w:tblBorders>
      </w:tblPr>
      <w:tblGrid>
        <w:gridCol w:w="9360"/>
      </w:tblGrid>
      <w:tr>
        <w:tc>
          <w:tcPr>
            <w:tcW w:type="dxa" w:w="9360"/>
            <w:vAlign w:val="center"/>
            <w:tcMar>
              <w:top w:w="170" w:type="dxa"/>
              <w:start w:w="210" w:type="dxa"/>
              <w:bottom w:w="170" w:type="dxa"/>
              <w:end w:w="210" w:type="dxa"/>
            </w:tcMar>
            <w:shd w:fill="EAF6F7"/>
          </w:tcPr>
          <w:p>
            <w:pPr>
              <w:spacing w:after="0" w:line="283" w:lineRule="auto"/>
            </w:pPr>
            <w:r>
              <w:rPr>
                <w:rFonts w:ascii="Aptos" w:hAnsi="Aptos"/>
                <w:b/>
                <w:color w:val="005E68"/>
                <w:sz w:val="18"/>
              </w:rPr>
              <w:t>MOVE FORWARD WITH PRECISION</w:t>
              <w:br/>
            </w:r>
            <w:r>
              <w:rPr>
                <w:rFonts w:ascii="Aptos" w:hAnsi="Aptos"/>
                <w:b/>
                <w:color w:val="102A43"/>
                <w:sz w:val="24"/>
              </w:rPr>
              <w:t>iTANZ helps organisations assess, architect, integrate, migrate and operate enterprise platforms across cloud, data, security, automation and managed services - with continuity designed into every stage of change.</w:t>
            </w:r>
          </w:p>
        </w:tc>
      </w:tr>
    </w:tbl>
    <w:p>
      <w:pPr>
        <w:spacing w:after="40"/>
      </w:pPr>
    </w:p>
    <w:p>
      <w:pPr>
        <w:pStyle w:val="Heading2"/>
        <w:keepNext/>
      </w:pPr>
      <w:r>
        <w:t>Sources and editorial references</w:t>
      </w:r>
    </w:p>
    <w:p>
      <w:pPr>
        <w:spacing w:after="100" w:line="269" w:lineRule="auto"/>
        <w:ind w:left="317" w:hanging="317"/>
      </w:pPr>
      <w:r>
        <w:rPr>
          <w:rFonts w:ascii="Aptos" w:hAnsi="Aptos"/>
          <w:b/>
          <w:color w:val="005E68"/>
          <w:sz w:val="19"/>
        </w:rPr>
        <w:t xml:space="preserve">1. </w:t>
      </w:r>
      <w:hyperlink r:id="rId15">
        <w:r>
          <w:rPr>
            <w:rFonts w:ascii="Aptos" w:hAnsi="Aptos"/>
            <w:color w:val="008692"/>
            <w:u w:val="single"/>
          </w:rPr>
          <w:t>Microsoft Cloud Adoption Framework: Select cloud migration strategies</w:t>
        </w:r>
      </w:hyperlink>
      <w:r>
        <w:rPr>
          <w:rFonts w:ascii="Aptos" w:hAnsi="Aptos"/>
          <w:color w:val="5D6B78"/>
          <w:sz w:val="19"/>
        </w:rPr>
        <w:t xml:space="preserve"> - Guidance on treatment choices, including retain decisions driven by regulation, dependencies and continuity.</w:t>
      </w:r>
    </w:p>
    <w:p>
      <w:pPr>
        <w:spacing w:after="100" w:line="269" w:lineRule="auto"/>
        <w:ind w:left="317" w:hanging="317"/>
      </w:pPr>
      <w:r>
        <w:rPr>
          <w:rFonts w:ascii="Aptos" w:hAnsi="Aptos"/>
          <w:b/>
          <w:color w:val="005E68"/>
          <w:sz w:val="19"/>
        </w:rPr>
        <w:t xml:space="preserve">2. </w:t>
      </w:r>
      <w:hyperlink r:id="rId16">
        <w:r>
          <w:rPr>
            <w:rFonts w:ascii="Aptos" w:hAnsi="Aptos"/>
            <w:color w:val="008692"/>
            <w:u w:val="single"/>
          </w:rPr>
          <w:t>AWS Prescriptive Guidance: About the migration strategies</w:t>
        </w:r>
      </w:hyperlink>
      <w:r>
        <w:rPr>
          <w:rFonts w:ascii="Aptos" w:hAnsi="Aptos"/>
          <w:color w:val="5D6B78"/>
          <w:sz w:val="19"/>
        </w:rPr>
        <w:t xml:space="preserve"> - Overview of multiple migration and modernisation treatments.</w:t>
      </w:r>
    </w:p>
    <w:p>
      <w:pPr>
        <w:spacing w:after="100" w:line="269" w:lineRule="auto"/>
        <w:ind w:left="317" w:hanging="317"/>
      </w:pPr>
      <w:r>
        <w:rPr>
          <w:rFonts w:ascii="Aptos" w:hAnsi="Aptos"/>
          <w:b/>
          <w:color w:val="005E68"/>
          <w:sz w:val="19"/>
        </w:rPr>
        <w:t xml:space="preserve">3. </w:t>
      </w:r>
      <w:hyperlink r:id="rId17">
        <w:r>
          <w:rPr>
            <w:rFonts w:ascii="Aptos" w:hAnsi="Aptos"/>
            <w:color w:val="008692"/>
            <w:u w:val="single"/>
          </w:rPr>
          <w:t>AWS Prescriptive Guidance: Strangler fig pattern</w:t>
        </w:r>
      </w:hyperlink>
      <w:r>
        <w:rPr>
          <w:rFonts w:ascii="Aptos" w:hAnsi="Aptos"/>
          <w:color w:val="5D6B78"/>
          <w:sz w:val="19"/>
        </w:rPr>
        <w:t xml:space="preserve"> - Incremental monolith modernisation pattern intended to reduce transformation risk and disruption.</w:t>
      </w:r>
    </w:p>
    <w:p>
      <w:pPr>
        <w:spacing w:after="100" w:line="269" w:lineRule="auto"/>
        <w:ind w:left="317" w:hanging="317"/>
      </w:pPr>
      <w:r>
        <w:rPr>
          <w:rFonts w:ascii="Aptos" w:hAnsi="Aptos"/>
          <w:b/>
          <w:color w:val="005E68"/>
          <w:sz w:val="19"/>
        </w:rPr>
        <w:t xml:space="preserve">4. </w:t>
      </w:r>
      <w:hyperlink r:id="rId18">
        <w:r>
          <w:rPr>
            <w:rFonts w:ascii="Aptos" w:hAnsi="Aptos"/>
            <w:color w:val="008692"/>
            <w:u w:val="single"/>
          </w:rPr>
          <w:t>AWS Prescriptive Guidance: The transformation process</w:t>
        </w:r>
      </w:hyperlink>
      <w:r>
        <w:rPr>
          <w:rFonts w:ascii="Aptos" w:hAnsi="Aptos"/>
          <w:color w:val="5D6B78"/>
          <w:sz w:val="19"/>
        </w:rPr>
        <w:t xml:space="preserve"> - Guidance highlighting planning, migration sequencing and contingency measures for continuity.</w:t>
      </w:r>
    </w:p>
    <w:p>
      <w:pPr>
        <w:spacing w:after="100" w:line="269" w:lineRule="auto"/>
        <w:ind w:left="317" w:hanging="317"/>
      </w:pPr>
      <w:r>
        <w:rPr>
          <w:rFonts w:ascii="Aptos" w:hAnsi="Aptos"/>
          <w:b/>
          <w:color w:val="005E68"/>
          <w:sz w:val="19"/>
        </w:rPr>
        <w:t xml:space="preserve">5. </w:t>
      </w:r>
      <w:hyperlink r:id="rId19">
        <w:r>
          <w:rPr>
            <w:rFonts w:ascii="Aptos" w:hAnsi="Aptos"/>
            <w:color w:val="008692"/>
            <w:u w:val="single"/>
          </w:rPr>
          <w:t>Microsoft Cloud Adoption Framework: Plan your cloud modernisation</w:t>
        </w:r>
      </w:hyperlink>
      <w:r>
        <w:rPr>
          <w:rFonts w:ascii="Aptos" w:hAnsi="Aptos"/>
          <w:color w:val="5D6B78"/>
          <w:sz w:val="19"/>
        </w:rPr>
        <w:t xml:space="preserve"> - Current guidance on modernisation options, trade-offs and organisational planning.</w:t>
      </w:r>
    </w:p>
    <w:p>
      <w:pPr>
        <w:pStyle w:val="Heading1"/>
        <w:keepNext/>
        <w:pageBreakBefore/>
      </w:pPr>
      <w:r>
        <w:t>Article 2: publishing and optimisation brief</w:t>
      </w:r>
    </w:p>
    <w:tbl>
      <w:tblPr>
        <w:tblW w:type="dxa" w:w="9360"/>
        <w:jc w:val="left"/>
        <w:tblLayout w:type="fixed"/>
        <w:tblLook w:firstColumn="1" w:firstRow="1" w:lastColumn="0" w:lastRow="0" w:noHBand="0" w:noVBand="1" w:val="04A0"/>
        <w:tblInd w:w="120" w:type="dxa"/>
        <w:tblBorders>
          <w:top w:val="single" w:sz="3" w:space="0" w:color="E5EAEE"/>
          <w:left w:val="single" w:sz="3" w:space="0" w:color="E5EAEE"/>
          <w:bottom w:val="single" w:sz="3" w:space="0" w:color="E5EAEE"/>
          <w:right w:val="single" w:sz="3" w:space="0" w:color="E5EAEE"/>
          <w:insideH w:val="single" w:sz="3" w:space="0" w:color="E5EAEE"/>
          <w:insideV w:val="single" w:sz="3" w:space="0" w:color="E5EAEE"/>
        </w:tblBorders>
      </w:tblPr>
      <w:tblGrid>
        <w:gridCol w:w="2160"/>
        <w:gridCol w:w="7200"/>
      </w:tblGrid>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SEO title</w:t>
            </w:r>
          </w:p>
        </w:tc>
        <w:tc>
          <w:tcPr>
            <w:tcW w:type="dxa" w:w="7200"/>
            <w:vAlign w:val="center"/>
            <w:tcMar>
              <w:top w:w="100" w:type="dxa"/>
              <w:start w:w="120" w:type="dxa"/>
              <w:bottom w:w="100" w:type="dxa"/>
              <w:end w:w="120" w:type="dxa"/>
            </w:tcMar>
          </w:tcPr>
          <w:p>
            <w:pPr>
              <w:spacing w:after="0"/>
            </w:pPr>
            <w:r>
              <w:rPr>
                <w:rFonts w:ascii="Aptos" w:hAnsi="Aptos"/>
                <w:color w:val="243342"/>
                <w:sz w:val="19"/>
              </w:rPr>
              <w:t>Modernise Core Systems Without Disruption | iTANZ</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Meta description</w:t>
            </w:r>
          </w:p>
        </w:tc>
        <w:tc>
          <w:tcPr>
            <w:tcW w:type="dxa" w:w="7200"/>
            <w:vAlign w:val="center"/>
            <w:tcMar>
              <w:top w:w="100" w:type="dxa"/>
              <w:start w:w="120" w:type="dxa"/>
              <w:bottom w:w="100" w:type="dxa"/>
              <w:end w:w="120" w:type="dxa"/>
            </w:tcMar>
          </w:tcPr>
          <w:p>
            <w:pPr>
              <w:spacing w:after="0"/>
            </w:pPr>
            <w:r>
              <w:rPr>
                <w:rFonts w:ascii="Aptos" w:hAnsi="Aptos"/>
                <w:color w:val="243342"/>
                <w:sz w:val="19"/>
              </w:rPr>
              <w:t>Learn how to modernise core enterprise systems without a big-bang disruption using the iTANZ PACE model, phased migration and continuity controls.</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Recommended slug</w:t>
            </w:r>
          </w:p>
        </w:tc>
        <w:tc>
          <w:tcPr>
            <w:tcW w:type="dxa" w:w="7200"/>
            <w:vAlign w:val="center"/>
            <w:tcMar>
              <w:top w:w="100" w:type="dxa"/>
              <w:start w:w="120" w:type="dxa"/>
              <w:bottom w:w="100" w:type="dxa"/>
              <w:end w:w="120" w:type="dxa"/>
            </w:tcMar>
          </w:tcPr>
          <w:p>
            <w:pPr>
              <w:spacing w:after="0"/>
            </w:pPr>
            <w:r>
              <w:rPr>
                <w:rFonts w:ascii="Aptos" w:hAnsi="Aptos"/>
                <w:color w:val="243342"/>
                <w:sz w:val="19"/>
              </w:rPr>
              <w:t>/blog/modernise-core-enterprise-systems-without-disruption/</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Primary search intent</w:t>
            </w:r>
          </w:p>
        </w:tc>
        <w:tc>
          <w:tcPr>
            <w:tcW w:type="dxa" w:w="7200"/>
            <w:vAlign w:val="center"/>
            <w:tcMar>
              <w:top w:w="100" w:type="dxa"/>
              <w:start w:w="120" w:type="dxa"/>
              <w:bottom w:w="100" w:type="dxa"/>
              <w:end w:w="120" w:type="dxa"/>
            </w:tcMar>
          </w:tcPr>
          <w:p>
            <w:pPr>
              <w:spacing w:after="0"/>
            </w:pPr>
            <w:r>
              <w:rPr>
                <w:rFonts w:ascii="Aptos" w:hAnsi="Aptos"/>
                <w:color w:val="243342"/>
                <w:sz w:val="19"/>
              </w:rPr>
              <w:t>Informational and commercial investigation: how to modernise legacy or core enterprise systems while minimising downtime and business risk.</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Primary audience</w:t>
            </w:r>
          </w:p>
        </w:tc>
        <w:tc>
          <w:tcPr>
            <w:tcW w:type="dxa" w:w="7200"/>
            <w:vAlign w:val="center"/>
            <w:tcMar>
              <w:top w:w="100" w:type="dxa"/>
              <w:start w:w="120" w:type="dxa"/>
              <w:bottom w:w="100" w:type="dxa"/>
              <w:end w:w="120" w:type="dxa"/>
            </w:tcMar>
          </w:tcPr>
          <w:p>
            <w:pPr>
              <w:spacing w:after="0"/>
            </w:pPr>
            <w:r>
              <w:rPr>
                <w:rFonts w:ascii="Aptos" w:hAnsi="Aptos"/>
                <w:color w:val="243342"/>
                <w:sz w:val="19"/>
              </w:rPr>
              <w:t>CIOs, CTOs, enterprise architects, transformation directors, platform owners, risk and operations leaders.</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Recommended byline</w:t>
            </w:r>
          </w:p>
        </w:tc>
        <w:tc>
          <w:tcPr>
            <w:tcW w:type="dxa" w:w="7200"/>
            <w:vAlign w:val="center"/>
            <w:tcMar>
              <w:top w:w="100" w:type="dxa"/>
              <w:start w:w="120" w:type="dxa"/>
              <w:bottom w:w="100" w:type="dxa"/>
              <w:end w:w="120" w:type="dxa"/>
            </w:tcMar>
          </w:tcPr>
          <w:p>
            <w:pPr>
              <w:spacing w:after="0"/>
            </w:pPr>
            <w:r>
              <w:rPr>
                <w:rFonts w:ascii="Aptos" w:hAnsi="Aptos"/>
                <w:color w:val="243342"/>
                <w:sz w:val="19"/>
              </w:rPr>
              <w:t>Named iTANZ Cloud, Enterprise Platforms or Technology Strategy leader; use iTANZ Editorial Team only if a named reviewer is unavailable.</w:t>
            </w:r>
          </w:p>
        </w:tc>
      </w:tr>
      <w:tr>
        <w:tc>
          <w:tcPr>
            <w:tcW w:type="dxa" w:w="2160"/>
            <w:vAlign w:val="center"/>
            <w:tcMar>
              <w:top w:w="100" w:type="dxa"/>
              <w:start w:w="120" w:type="dxa"/>
              <w:bottom w:w="100" w:type="dxa"/>
              <w:end w:w="120" w:type="dxa"/>
            </w:tcMar>
            <w:shd w:fill="EAF6F7"/>
          </w:tcPr>
          <w:p>
            <w:pPr>
              <w:spacing w:after="0"/>
            </w:pPr>
            <w:r>
              <w:rPr>
                <w:rFonts w:ascii="Aptos" w:hAnsi="Aptos"/>
                <w:b/>
                <w:color w:val="005E68"/>
                <w:sz w:val="19"/>
              </w:rPr>
              <w:t>Approx. article length</w:t>
            </w:r>
          </w:p>
        </w:tc>
        <w:tc>
          <w:tcPr>
            <w:tcW w:type="dxa" w:w="7200"/>
            <w:vAlign w:val="center"/>
            <w:tcMar>
              <w:top w:w="100" w:type="dxa"/>
              <w:start w:w="120" w:type="dxa"/>
              <w:bottom w:w="100" w:type="dxa"/>
              <w:end w:w="120" w:type="dxa"/>
            </w:tcMar>
          </w:tcPr>
          <w:p>
            <w:pPr>
              <w:spacing w:after="0"/>
            </w:pPr>
            <w:r>
              <w:rPr>
                <w:rFonts w:ascii="Aptos" w:hAnsi="Aptos"/>
                <w:color w:val="243342"/>
                <w:sz w:val="19"/>
              </w:rPr>
              <w:t>Approximately 1,750 words including the visible FAQ, excluding metadata and sources.</w:t>
            </w:r>
          </w:p>
        </w:tc>
      </w:tr>
    </w:tbl>
    <w:p>
      <w:pPr>
        <w:spacing w:after="20"/>
      </w:pPr>
    </w:p>
    <w:p>
      <w:pPr>
        <w:pStyle w:val="Heading2"/>
        <w:keepNext/>
      </w:pPr>
      <w:r>
        <w:t>Entity and topic coverage</w:t>
      </w:r>
    </w:p>
    <w:p>
      <w:pPr>
        <w:pStyle w:val="ListBullet"/>
        <w:spacing w:after="100" w:line="283" w:lineRule="auto"/>
        <w:ind w:left="720" w:hanging="360"/>
      </w:pPr>
      <w:r>
        <w:rPr>
          <w:rFonts w:ascii="Aptos" w:hAnsi="Aptos"/>
          <w:color w:val="243342"/>
          <w:sz w:val="21"/>
        </w:rPr>
        <w:t>Application modernisation, legacy systems, core enterprise platforms and cloud adoption.</w:t>
      </w:r>
    </w:p>
    <w:p>
      <w:pPr>
        <w:pStyle w:val="ListBullet"/>
        <w:spacing w:after="100" w:line="283" w:lineRule="auto"/>
        <w:ind w:left="720" w:hanging="360"/>
      </w:pPr>
      <w:r>
        <w:rPr>
          <w:rFonts w:ascii="Aptos" w:hAnsi="Aptos"/>
          <w:color w:val="243342"/>
          <w:sz w:val="21"/>
        </w:rPr>
        <w:t>Retain, retire, rehost, replatform, refactor and replace migration strategies.</w:t>
      </w:r>
    </w:p>
    <w:p>
      <w:pPr>
        <w:pStyle w:val="ListBullet"/>
        <w:spacing w:after="100" w:line="283" w:lineRule="auto"/>
        <w:ind w:left="720" w:hanging="360"/>
      </w:pPr>
      <w:r>
        <w:rPr>
          <w:rFonts w:ascii="Aptos" w:hAnsi="Aptos"/>
          <w:color w:val="243342"/>
          <w:sz w:val="21"/>
        </w:rPr>
        <w:t>Business continuity, transition architecture, data reconciliation, cutover and rollback.</w:t>
      </w:r>
    </w:p>
    <w:p>
      <w:pPr>
        <w:pStyle w:val="ListBullet"/>
        <w:spacing w:after="100" w:line="283" w:lineRule="auto"/>
        <w:ind w:left="720" w:hanging="360"/>
      </w:pPr>
      <w:r>
        <w:rPr>
          <w:rFonts w:ascii="Aptos" w:hAnsi="Aptos"/>
          <w:color w:val="243342"/>
          <w:sz w:val="21"/>
        </w:rPr>
        <w:t>Strangler fig pattern and incremental modernisation.</w:t>
      </w:r>
    </w:p>
    <w:p>
      <w:pPr>
        <w:pStyle w:val="ListBullet"/>
        <w:spacing w:after="100" w:line="283" w:lineRule="auto"/>
        <w:ind w:left="720" w:hanging="360"/>
      </w:pPr>
      <w:r>
        <w:rPr>
          <w:rFonts w:ascii="Aptos" w:hAnsi="Aptos"/>
          <w:color w:val="243342"/>
          <w:sz w:val="21"/>
        </w:rPr>
        <w:t>iTANZ PACE model: Prioritise, Architect, Control and Execute.</w:t>
      </w:r>
    </w:p>
    <w:p>
      <w:pPr>
        <w:pStyle w:val="Heading2"/>
        <w:keepNext/>
      </w:pPr>
      <w:r>
        <w:t>Recommended internal links</w:t>
      </w:r>
    </w:p>
    <w:p>
      <w:pPr>
        <w:pStyle w:val="ListBullet"/>
        <w:spacing w:after="100" w:line="283" w:lineRule="auto"/>
        <w:ind w:left="720" w:hanging="360"/>
      </w:pPr>
      <w:r>
        <w:rPr>
          <w:rFonts w:ascii="Aptos" w:hAnsi="Aptos"/>
          <w:color w:val="243342"/>
          <w:sz w:val="21"/>
        </w:rPr>
        <w:t>Advisory and Transformation page - link from capability prioritisation and portfolio decisions.</w:t>
      </w:r>
    </w:p>
    <w:p>
      <w:pPr>
        <w:pStyle w:val="ListBullet"/>
        <w:spacing w:after="100" w:line="283" w:lineRule="auto"/>
        <w:ind w:left="720" w:hanging="360"/>
      </w:pPr>
      <w:r>
        <w:rPr>
          <w:rFonts w:ascii="Aptos" w:hAnsi="Aptos"/>
          <w:color w:val="243342"/>
          <w:sz w:val="21"/>
        </w:rPr>
        <w:t>Cloud, Infrastructure and Security page - link from workload treatment, resilience and operating controls.</w:t>
      </w:r>
    </w:p>
    <w:p>
      <w:pPr>
        <w:pStyle w:val="ListBullet"/>
        <w:spacing w:after="100" w:line="283" w:lineRule="auto"/>
        <w:ind w:left="720" w:hanging="360"/>
      </w:pPr>
      <w:r>
        <w:rPr>
          <w:rFonts w:ascii="Aptos" w:hAnsi="Aptos"/>
          <w:color w:val="243342"/>
          <w:sz w:val="21"/>
        </w:rPr>
        <w:t>Enterprise Platforms page - link from core platforms, ERP and replacement decisions.</w:t>
      </w:r>
    </w:p>
    <w:p>
      <w:pPr>
        <w:pStyle w:val="ListBullet"/>
        <w:spacing w:after="100" w:line="283" w:lineRule="auto"/>
        <w:ind w:left="720" w:hanging="360"/>
      </w:pPr>
      <w:r>
        <w:rPr>
          <w:rFonts w:ascii="Aptos" w:hAnsi="Aptos"/>
          <w:color w:val="243342"/>
          <w:sz w:val="21"/>
        </w:rPr>
        <w:t>Integration and Automation page - link from transition architecture and coexistence.</w:t>
      </w:r>
    </w:p>
    <w:p>
      <w:pPr>
        <w:pStyle w:val="ListBullet"/>
        <w:spacing w:after="100" w:line="283" w:lineRule="auto"/>
        <w:ind w:left="720" w:hanging="360"/>
      </w:pPr>
      <w:r>
        <w:rPr>
          <w:rFonts w:ascii="Aptos" w:hAnsi="Aptos"/>
          <w:color w:val="243342"/>
          <w:sz w:val="21"/>
        </w:rPr>
        <w:t>Managed Services page - link from post-migration observability, optimisation and operational support.</w:t>
      </w:r>
    </w:p>
    <w:p>
      <w:pPr>
        <w:pStyle w:val="ListBullet"/>
        <w:spacing w:after="100" w:line="283" w:lineRule="auto"/>
        <w:ind w:left="720" w:hanging="360"/>
      </w:pPr>
      <w:r>
        <w:rPr>
          <w:rFonts w:ascii="Aptos" w:hAnsi="Aptos"/>
          <w:color w:val="243342"/>
          <w:sz w:val="21"/>
        </w:rPr>
        <w:t>One relevant cloud, ERP, Oracle, SAP, Salesforce or integration success story.</w:t>
      </w:r>
    </w:p>
    <w:p>
      <w:pPr>
        <w:pStyle w:val="Heading2"/>
        <w:keepNext/>
      </w:pPr>
      <w:r>
        <w:t>Hero image and alt text</w:t>
      </w:r>
    </w:p>
    <w:p>
      <w:pPr>
        <w:spacing w:after="80" w:line="276" w:lineRule="auto"/>
      </w:pPr>
      <w:r>
        <w:rPr>
          <w:rFonts w:ascii="Aptos" w:hAnsi="Aptos"/>
          <w:b/>
          <w:color w:val="005E68"/>
          <w:sz w:val="20"/>
        </w:rPr>
        <w:t xml:space="preserve">Image concept: </w:t>
      </w:r>
      <w:r>
        <w:rPr>
          <w:rFonts w:ascii="Aptos" w:hAnsi="Aptos"/>
          <w:color w:val="243342"/>
          <w:sz w:val="20"/>
        </w:rPr>
        <w:t>Single-frame premium enterprise photography: a mission-critical operations environment undergoing controlled infrastructure change, with engineers coordinating around physical systems and one clearly separated legacy-to-modern transition cue. No text, logos, montage, UI or glowing holograms.</w:t>
      </w:r>
    </w:p>
    <w:p>
      <w:pPr>
        <w:spacing w:after="80" w:line="276" w:lineRule="auto"/>
      </w:pPr>
      <w:r>
        <w:rPr>
          <w:rFonts w:ascii="Aptos" w:hAnsi="Aptos"/>
          <w:b/>
          <w:color w:val="005E68"/>
          <w:sz w:val="20"/>
        </w:rPr>
        <w:t xml:space="preserve">Alt text: </w:t>
      </w:r>
      <w:r>
        <w:rPr>
          <w:rFonts w:ascii="Aptos" w:hAnsi="Aptos"/>
          <w:color w:val="243342"/>
          <w:sz w:val="20"/>
        </w:rPr>
        <w:t>Enterprise engineers coordinating a phased modernisation of business-critical systems while operations remain active.</w:t>
      </w:r>
    </w:p>
    <w:p>
      <w:pPr>
        <w:pStyle w:val="Heading2"/>
        <w:keepNext/>
      </w:pPr>
      <w:r>
        <w:t>Structured-data handoff</w:t>
      </w:r>
    </w:p>
    <w:p>
      <w:pPr>
        <w:widowControl/>
        <w:spacing w:after="160" w:line="293" w:lineRule="auto"/>
      </w:pPr>
      <w:r>
        <w:rPr>
          <w:rFonts w:ascii="Aptos" w:hAnsi="Aptos"/>
          <w:i w:val="0"/>
          <w:color w:val="243342"/>
          <w:sz w:val="22"/>
        </w:rPr>
        <w:t>Use BlogPosting or Article JSON-LD with headline, description, image, datePublished, dateModified, mainEntityOfPage, author as Person with a profile URL, and publisher as Organisation. Keep the visible author, publication date and modified date consistent with the markup. Use BreadcrumbList separately if the site template supports breadcrumbs.</w:t>
      </w:r>
    </w:p>
    <w:p>
      <w:r>
        <w:br w:type="page"/>
      </w:r>
    </w:p>
    <w:p>
      <w:pPr>
        <w:pStyle w:val="Heading1"/>
        <w:keepNext/>
      </w:pPr>
      <w:r>
        <w:t>Developer publication checklist</w:t>
      </w:r>
    </w:p>
    <w:tbl>
      <w:tblPr>
        <w:tblW w:type="dxa" w:w="9360"/>
        <w:jc w:val="left"/>
        <w:tblLayout w:type="fixed"/>
        <w:tblLook w:firstColumn="1" w:firstRow="1" w:lastColumn="0" w:lastRow="0" w:noHBand="0" w:noVBand="1" w:val="04A0"/>
        <w:tblInd w:w="120" w:type="dxa"/>
        <w:tblBorders>
          <w:top w:val="single" w:sz="0" w:space="0" w:color="EAF6F7"/>
          <w:left w:val="single" w:sz="0" w:space="0" w:color="EAF6F7"/>
          <w:bottom w:val="single" w:sz="0" w:space="0" w:color="EAF6F7"/>
          <w:right w:val="single" w:sz="0" w:space="0" w:color="EAF6F7"/>
          <w:insideH w:val="single" w:sz="0" w:space="0" w:color="EAF6F7"/>
          <w:insideV w:val="single" w:sz="0" w:space="0" w:color="EAF6F7"/>
        </w:tblBorders>
      </w:tblPr>
      <w:tblGrid>
        <w:gridCol w:w="9360"/>
      </w:tblGrid>
      <w:tr>
        <w:tc>
          <w:tcPr>
            <w:tcW w:type="dxa" w:w="9360"/>
            <w:vAlign w:val="center"/>
            <w:tcMar>
              <w:top w:w="170" w:type="dxa"/>
              <w:start w:w="210" w:type="dxa"/>
              <w:bottom w:w="170" w:type="dxa"/>
              <w:end w:w="210" w:type="dxa"/>
            </w:tcMar>
            <w:shd w:fill="EAF6F7"/>
          </w:tcPr>
          <w:p>
            <w:pPr>
              <w:spacing w:after="0" w:line="283" w:lineRule="auto"/>
            </w:pPr>
            <w:r>
              <w:rPr>
                <w:rFonts w:ascii="Aptos" w:hAnsi="Aptos"/>
                <w:b/>
                <w:color w:val="005E68"/>
                <w:sz w:val="18"/>
              </w:rPr>
              <w:t>PURPOSE</w:t>
              <w:br/>
            </w:r>
            <w:r>
              <w:rPr>
                <w:rFonts w:ascii="Aptos" w:hAnsi="Aptos"/>
                <w:b/>
                <w:color w:val="102A43"/>
                <w:sz w:val="24"/>
              </w:rPr>
              <w:t>Publish each article as a fast, accessible, indexable page whose visible content and structured data agree.</w:t>
            </w:r>
          </w:p>
        </w:tc>
      </w:tr>
    </w:tbl>
    <w:p>
      <w:pPr>
        <w:spacing w:after="40"/>
      </w:pPr>
    </w:p>
    <w:p>
      <w:pPr>
        <w:pStyle w:val="Heading2"/>
        <w:keepNext/>
      </w:pPr>
      <w:r>
        <w:t>Page and indexation</w:t>
      </w:r>
    </w:p>
    <w:p>
      <w:pPr>
        <w:pStyle w:val="ListBullet"/>
        <w:spacing w:after="100" w:line="283" w:lineRule="auto"/>
        <w:ind w:left="720" w:hanging="360"/>
      </w:pPr>
      <w:r>
        <w:rPr>
          <w:rFonts w:ascii="Aptos" w:hAnsi="Aptos"/>
          <w:color w:val="243342"/>
          <w:sz w:val="21"/>
        </w:rPr>
        <w:t>Use one self-canonical URL and a short, descriptive slug.</w:t>
      </w:r>
    </w:p>
    <w:p>
      <w:pPr>
        <w:pStyle w:val="ListBullet"/>
        <w:spacing w:after="100" w:line="283" w:lineRule="auto"/>
        <w:ind w:left="720" w:hanging="360"/>
      </w:pPr>
      <w:r>
        <w:rPr>
          <w:rFonts w:ascii="Aptos" w:hAnsi="Aptos"/>
          <w:color w:val="243342"/>
          <w:sz w:val="21"/>
        </w:rPr>
        <w:t>Return a normal 200 response and allow crawling in robots directives.</w:t>
      </w:r>
    </w:p>
    <w:p>
      <w:pPr>
        <w:pStyle w:val="ListBullet"/>
        <w:spacing w:after="100" w:line="283" w:lineRule="auto"/>
        <w:ind w:left="720" w:hanging="360"/>
      </w:pPr>
      <w:r>
        <w:rPr>
          <w:rFonts w:ascii="Aptos" w:hAnsi="Aptos"/>
          <w:color w:val="243342"/>
          <w:sz w:val="21"/>
        </w:rPr>
        <w:t>Include the article in the XML sitemap and Blog hub internal linking.</w:t>
      </w:r>
    </w:p>
    <w:p>
      <w:pPr>
        <w:pStyle w:val="ListBullet"/>
        <w:spacing w:after="100" w:line="283" w:lineRule="auto"/>
        <w:ind w:left="720" w:hanging="360"/>
      </w:pPr>
      <w:r>
        <w:rPr>
          <w:rFonts w:ascii="Aptos" w:hAnsi="Aptos"/>
          <w:color w:val="243342"/>
          <w:sz w:val="21"/>
        </w:rPr>
        <w:t>Render the complete article in accessible HTML; do not hide core content behind client-side interaction.</w:t>
      </w:r>
    </w:p>
    <w:p>
      <w:pPr>
        <w:pStyle w:val="Heading2"/>
        <w:keepNext/>
      </w:pPr>
      <w:r>
        <w:t>On-page structure</w:t>
      </w:r>
    </w:p>
    <w:p>
      <w:pPr>
        <w:pStyle w:val="ListBullet"/>
        <w:spacing w:after="100" w:line="283" w:lineRule="auto"/>
        <w:ind w:left="720" w:hanging="360"/>
      </w:pPr>
      <w:r>
        <w:rPr>
          <w:rFonts w:ascii="Aptos" w:hAnsi="Aptos"/>
          <w:color w:val="243342"/>
          <w:sz w:val="21"/>
        </w:rPr>
        <w:t>Use one H1 only; preserve the supplied H2/H3 hierarchy.</w:t>
      </w:r>
    </w:p>
    <w:p>
      <w:pPr>
        <w:pStyle w:val="ListBullet"/>
        <w:spacing w:after="100" w:line="283" w:lineRule="auto"/>
        <w:ind w:left="720" w:hanging="360"/>
      </w:pPr>
      <w:r>
        <w:rPr>
          <w:rFonts w:ascii="Aptos" w:hAnsi="Aptos"/>
          <w:color w:val="243342"/>
          <w:sz w:val="21"/>
        </w:rPr>
        <w:t>Place the standfirst, executive answer and key takeaways above the first long-form section.</w:t>
      </w:r>
    </w:p>
    <w:p>
      <w:pPr>
        <w:pStyle w:val="ListBullet"/>
        <w:spacing w:after="100" w:line="283" w:lineRule="auto"/>
        <w:ind w:left="720" w:hanging="360"/>
      </w:pPr>
      <w:r>
        <w:rPr>
          <w:rFonts w:ascii="Aptos" w:hAnsi="Aptos"/>
          <w:color w:val="243342"/>
          <w:sz w:val="21"/>
        </w:rPr>
        <w:t>Use semantic lists and real HTML tables with header cells; make tables responsive without removing their labels.</w:t>
      </w:r>
    </w:p>
    <w:p>
      <w:pPr>
        <w:pStyle w:val="ListBullet"/>
        <w:spacing w:after="100" w:line="283" w:lineRule="auto"/>
        <w:ind w:left="720" w:hanging="360"/>
      </w:pPr>
      <w:r>
        <w:rPr>
          <w:rFonts w:ascii="Aptos" w:hAnsi="Aptos"/>
          <w:color w:val="243342"/>
          <w:sz w:val="21"/>
        </w:rPr>
        <w:t>Add descriptive anchor text for internal and external links.</w:t>
      </w:r>
    </w:p>
    <w:p>
      <w:pPr>
        <w:pStyle w:val="Heading2"/>
        <w:keepNext/>
      </w:pPr>
      <w:r>
        <w:t>Authority and freshness</w:t>
      </w:r>
    </w:p>
    <w:p>
      <w:pPr>
        <w:pStyle w:val="ListBullet"/>
        <w:spacing w:after="100" w:line="283" w:lineRule="auto"/>
        <w:ind w:left="720" w:hanging="360"/>
      </w:pPr>
      <w:r>
        <w:rPr>
          <w:rFonts w:ascii="Aptos" w:hAnsi="Aptos"/>
          <w:color w:val="243342"/>
          <w:sz w:val="21"/>
        </w:rPr>
        <w:t>Publish a named expert author profile wherever possible, including relevant role and expertise.</w:t>
      </w:r>
    </w:p>
    <w:p>
      <w:pPr>
        <w:pStyle w:val="ListBullet"/>
        <w:spacing w:after="100" w:line="283" w:lineRule="auto"/>
        <w:ind w:left="720" w:hanging="360"/>
      </w:pPr>
      <w:r>
        <w:rPr>
          <w:rFonts w:ascii="Aptos" w:hAnsi="Aptos"/>
          <w:color w:val="243342"/>
          <w:sz w:val="21"/>
        </w:rPr>
        <w:t>Display publication and last-updated dates; update the modified date only after a substantive review.</w:t>
      </w:r>
    </w:p>
    <w:p>
      <w:pPr>
        <w:pStyle w:val="ListBullet"/>
        <w:spacing w:after="100" w:line="283" w:lineRule="auto"/>
        <w:ind w:left="720" w:hanging="360"/>
      </w:pPr>
      <w:r>
        <w:rPr>
          <w:rFonts w:ascii="Aptos" w:hAnsi="Aptos"/>
          <w:color w:val="243342"/>
          <w:sz w:val="21"/>
        </w:rPr>
        <w:t>Keep source links accessible and periodically verify that they still resolve.</w:t>
      </w:r>
    </w:p>
    <w:p>
      <w:pPr>
        <w:pStyle w:val="ListBullet"/>
        <w:spacing w:after="100" w:line="283" w:lineRule="auto"/>
        <w:ind w:left="720" w:hanging="360"/>
      </w:pPr>
      <w:r>
        <w:rPr>
          <w:rFonts w:ascii="Aptos" w:hAnsi="Aptos"/>
          <w:color w:val="243342"/>
          <w:sz w:val="21"/>
        </w:rPr>
        <w:t>Review the articles when major platform, regulatory or source guidance changes.</w:t>
      </w:r>
    </w:p>
    <w:p>
      <w:pPr>
        <w:pStyle w:val="Heading2"/>
        <w:keepNext/>
      </w:pPr>
      <w:r>
        <w:t>Images and performance</w:t>
      </w:r>
    </w:p>
    <w:p>
      <w:pPr>
        <w:pStyle w:val="ListBullet"/>
        <w:spacing w:after="100" w:line="283" w:lineRule="auto"/>
        <w:ind w:left="720" w:hanging="360"/>
      </w:pPr>
      <w:r>
        <w:rPr>
          <w:rFonts w:ascii="Aptos" w:hAnsi="Aptos"/>
          <w:color w:val="243342"/>
          <w:sz w:val="21"/>
        </w:rPr>
        <w:t>Export one clean hero image in responsive sizes; preserve realistic detail rather than artificially upscaling.</w:t>
      </w:r>
    </w:p>
    <w:p>
      <w:pPr>
        <w:pStyle w:val="ListBullet"/>
        <w:spacing w:after="100" w:line="283" w:lineRule="auto"/>
        <w:ind w:left="720" w:hanging="360"/>
      </w:pPr>
      <w:r>
        <w:rPr>
          <w:rFonts w:ascii="Aptos" w:hAnsi="Aptos"/>
          <w:color w:val="243342"/>
          <w:sz w:val="21"/>
        </w:rPr>
        <w:t>Use the supplied descriptive alt text and avoid embedding headings inside the image.</w:t>
      </w:r>
    </w:p>
    <w:p>
      <w:pPr>
        <w:pStyle w:val="ListBullet"/>
        <w:spacing w:after="100" w:line="283" w:lineRule="auto"/>
        <w:ind w:left="720" w:hanging="360"/>
      </w:pPr>
      <w:r>
        <w:rPr>
          <w:rFonts w:ascii="Aptos" w:hAnsi="Aptos"/>
          <w:color w:val="243342"/>
          <w:sz w:val="21"/>
        </w:rPr>
        <w:t>Specify image dimensions, use modern compression and prevent layout shift.</w:t>
      </w:r>
    </w:p>
    <w:p>
      <w:pPr>
        <w:pStyle w:val="ListBullet"/>
        <w:spacing w:after="100" w:line="283" w:lineRule="auto"/>
        <w:ind w:left="720" w:hanging="360"/>
      </w:pPr>
      <w:r>
        <w:rPr>
          <w:rFonts w:ascii="Aptos" w:hAnsi="Aptos"/>
          <w:color w:val="243342"/>
          <w:sz w:val="21"/>
        </w:rPr>
        <w:t>Ensure text contrast, focus states and table scrolling meet accessibility expectations.</w:t>
      </w:r>
    </w:p>
    <w:p>
      <w:pPr>
        <w:pStyle w:val="Heading2"/>
        <w:keepNext/>
      </w:pPr>
      <w:r>
        <w:t>Structured data</w:t>
      </w:r>
    </w:p>
    <w:p>
      <w:pPr>
        <w:pStyle w:val="ListBullet"/>
        <w:spacing w:after="100" w:line="283" w:lineRule="auto"/>
        <w:ind w:left="720" w:hanging="360"/>
      </w:pPr>
      <w:r>
        <w:rPr>
          <w:rFonts w:ascii="Aptos" w:hAnsi="Aptos"/>
          <w:color w:val="243342"/>
          <w:sz w:val="21"/>
        </w:rPr>
        <w:t>Implement valid BlogPosting or Article JSON-LD that matches the visible page.</w:t>
      </w:r>
    </w:p>
    <w:p>
      <w:pPr>
        <w:pStyle w:val="ListBullet"/>
        <w:spacing w:after="100" w:line="283" w:lineRule="auto"/>
        <w:ind w:left="720" w:hanging="360"/>
      </w:pPr>
      <w:r>
        <w:rPr>
          <w:rFonts w:ascii="Aptos" w:hAnsi="Aptos"/>
          <w:color w:val="243342"/>
          <w:sz w:val="21"/>
        </w:rPr>
        <w:t>Include headline, description, image, author, publisher, datePublished, dateModified and mainEntityOfPage.</w:t>
      </w:r>
    </w:p>
    <w:p>
      <w:pPr>
        <w:pStyle w:val="ListBullet"/>
        <w:spacing w:after="100" w:line="283" w:lineRule="auto"/>
        <w:ind w:left="720" w:hanging="360"/>
      </w:pPr>
      <w:r>
        <w:rPr>
          <w:rFonts w:ascii="Aptos" w:hAnsi="Aptos"/>
          <w:color w:val="243342"/>
          <w:sz w:val="21"/>
        </w:rPr>
        <w:t>Use Person author markup with a stable profile URL where a named author is available.</w:t>
      </w:r>
    </w:p>
    <w:p>
      <w:pPr>
        <w:pStyle w:val="ListBullet"/>
        <w:spacing w:after="100" w:line="283" w:lineRule="auto"/>
        <w:ind w:left="720" w:hanging="360"/>
      </w:pPr>
      <w:r>
        <w:rPr>
          <w:rFonts w:ascii="Aptos" w:hAnsi="Aptos"/>
          <w:color w:val="243342"/>
          <w:sz w:val="21"/>
        </w:rPr>
        <w:t>Validate with Google Rich Results Test and inspect the live URL in Search Console after publication.</w:t>
      </w:r>
    </w:p>
    <w:p>
      <w:pPr>
        <w:pStyle w:val="Heading2"/>
        <w:keepNext/>
      </w:pPr>
      <w:r>
        <w:t>Measurement</w:t>
      </w:r>
    </w:p>
    <w:p>
      <w:pPr>
        <w:pStyle w:val="ListBullet"/>
        <w:spacing w:after="100" w:line="283" w:lineRule="auto"/>
        <w:ind w:left="720" w:hanging="360"/>
      </w:pPr>
      <w:r>
        <w:rPr>
          <w:rFonts w:ascii="Aptos" w:hAnsi="Aptos"/>
          <w:color w:val="243342"/>
          <w:sz w:val="21"/>
        </w:rPr>
        <w:t>Track organic impressions, clicks, engaged sessions, scroll depth and contextual CTA engagement by article.</w:t>
      </w:r>
    </w:p>
    <w:p>
      <w:pPr>
        <w:pStyle w:val="ListBullet"/>
        <w:spacing w:after="100" w:line="283" w:lineRule="auto"/>
        <w:ind w:left="720" w:hanging="360"/>
      </w:pPr>
      <w:r>
        <w:rPr>
          <w:rFonts w:ascii="Aptos" w:hAnsi="Aptos"/>
          <w:color w:val="243342"/>
          <w:sz w:val="21"/>
        </w:rPr>
        <w:t>Monitor queries and page-level performance in Search Console rather than judging performance only by rank.</w:t>
      </w:r>
    </w:p>
    <w:p>
      <w:pPr>
        <w:pStyle w:val="ListBullet"/>
        <w:spacing w:after="100" w:line="283" w:lineRule="auto"/>
        <w:ind w:left="720" w:hanging="360"/>
      </w:pPr>
      <w:r>
        <w:rPr>
          <w:rFonts w:ascii="Aptos" w:hAnsi="Aptos"/>
          <w:color w:val="243342"/>
          <w:sz w:val="21"/>
        </w:rPr>
        <w:t>Review assisted conversions and return visits because executive articles often influence longer buying journeys.</w:t>
      </w:r>
    </w:p>
    <w:p>
      <w:pPr>
        <w:pStyle w:val="ListBullet"/>
        <w:spacing w:after="100" w:line="283" w:lineRule="auto"/>
        <w:ind w:left="720" w:hanging="360"/>
      </w:pPr>
      <w:r>
        <w:rPr>
          <w:rFonts w:ascii="Aptos" w:hAnsi="Aptos"/>
          <w:color w:val="243342"/>
          <w:sz w:val="21"/>
        </w:rPr>
        <w:t>Refresh title, introduction or internal links only when evidence indicates a clearer match to reader intent.</w:t>
      </w:r>
    </w:p>
    <w:p>
      <w:pPr>
        <w:pStyle w:val="Heading1"/>
        <w:keepNext/>
      </w:pPr>
      <w:r>
        <w:t>Final editorial note</w:t>
      </w:r>
    </w:p>
    <w:p>
      <w:pPr>
        <w:widowControl/>
        <w:spacing w:after="160" w:line="293" w:lineRule="auto"/>
      </w:pPr>
      <w:r>
        <w:rPr>
          <w:rFonts w:ascii="Aptos" w:hAnsi="Aptos"/>
          <w:i w:val="0"/>
          <w:color w:val="243342"/>
          <w:sz w:val="22"/>
        </w:rPr>
        <w:t>There is no universal SEO word-count requirement. Google states that content length alone is not a ranking factor and that there is no magical minimum or maximum. These articles are intentionally long enough to resolve the executive question, contribute an original framework and support implementation decisions without padding the page with repetitive explanation.</w:t>
      </w:r>
    </w:p>
    <w:p>
      <w:pPr>
        <w:spacing w:after="160"/>
      </w:pPr>
      <w:hyperlink r:id="rId20">
        <w:r>
          <w:rPr>
            <w:rFonts w:ascii="Aptos" w:hAnsi="Aptos"/>
            <w:color w:val="008692"/>
            <w:u w:val="single"/>
          </w:rPr>
          <w:t>Google SEO Starter Guide: content length guidance</w:t>
        </w:r>
      </w:hyperlink>
      <w:r>
        <w:t xml:space="preserve"> | </w:t>
      </w:r>
      <w:hyperlink r:id="rId21">
        <w:r>
          <w:rPr>
            <w:rFonts w:ascii="Aptos" w:hAnsi="Aptos"/>
            <w:color w:val="008692"/>
            <w:u w:val="single"/>
          </w:rPr>
          <w:t>Google Article structured-data guidance</w:t>
        </w:r>
      </w:hyperlink>
    </w:p>
    <w:sectPr w:rsidR="00FC693F" w:rsidRPr="0006063C" w:rsidSect="00034616">
      <w:headerReference w:type="default" r:id="rId9"/>
      <w:footerReference w:type="default" r:id="rId10"/>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B78"/>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005E68"/>
        <w:sz w:val="17"/>
      </w:rPr>
      <w:t>iTANZ TECHNOLOGIES  |  INSIGHTS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3" w:lineRule="auto"/>
    </w:pPr>
    <w:rPr>
      <w:rFonts w:ascii="Aptos" w:hAnsi="Aptos"/>
      <w:color w:val="2433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5E68"/>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43342"/>
      <w:sz w:val="21"/>
    </w:rPr>
  </w:style>
  <w:style w:type="paragraph" w:styleId="ListBullet2">
    <w:name w:val="List Bullet 2"/>
    <w:basedOn w:val="Normal"/>
    <w:uiPriority w:val="99"/>
    <w:unhideWhenUsed/>
    <w:rsid w:val="00326F90"/>
    <w:pPr>
      <w:numPr>
        <w:numId w:val="2"/>
      </w:numPr>
      <w:contextualSpacing/>
    </w:pPr>
    <w:rPr>
      <w:rFonts w:ascii="Aptos" w:hAnsi="Aptos"/>
      <w:color w:val="243342"/>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4334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keepNext/>
      <w:spacing w:before="0" w:after="200"/>
    </w:pPr>
    <w:rPr>
      <w:rFonts w:ascii="Aptos Display" w:hAnsi="Aptos Display"/>
      <w:b/>
      <w:color w:val="102A43"/>
      <w:sz w:val="5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st.gov/itl/ai-risk-management-framework" TargetMode="External"/><Relationship Id="rId12" Type="http://schemas.openxmlformats.org/officeDocument/2006/relationships/hyperlink" Target="https://www.ibm.com/thought-leadership/institute-business-value/en-us/report/ai-orchestration-layer" TargetMode="External"/><Relationship Id="rId13" Type="http://schemas.openxmlformats.org/officeDocument/2006/relationships/hyperlink" Target="https://developers.google.com/search/docs/fundamentals/creating-helpful-content" TargetMode="External"/><Relationship Id="rId14" Type="http://schemas.openxmlformats.org/officeDocument/2006/relationships/hyperlink" Target="https://developers.google.com/search/docs/fundamentals/ai-optimization-guide" TargetMode="External"/><Relationship Id="rId15" Type="http://schemas.openxmlformats.org/officeDocument/2006/relationships/hyperlink" Target="https://learn.microsoft.com/en-us/azure/cloud-adoption-framework/plan/select-cloud-migration-strategy" TargetMode="External"/><Relationship Id="rId16" Type="http://schemas.openxmlformats.org/officeDocument/2006/relationships/hyperlink" Target="https://docs.aws.amazon.com/prescriptive-guidance/latest/large-migration-guide/migration-strategies.html" TargetMode="External"/><Relationship Id="rId17" Type="http://schemas.openxmlformats.org/officeDocument/2006/relationships/hyperlink" Target="https://docs.aws.amazon.com/prescriptive-guidance/latest/cloud-design-patterns/strangler-fig.html" TargetMode="External"/><Relationship Id="rId18" Type="http://schemas.openxmlformats.org/officeDocument/2006/relationships/hyperlink" Target="https://docs.aws.amazon.com/prescriptive-guidance/latest/replatform-mainframe-apps-shared-db2/phases.html" TargetMode="External"/><Relationship Id="rId19" Type="http://schemas.openxmlformats.org/officeDocument/2006/relationships/hyperlink" Target="https://learn.microsoft.com/en-us/azure/cloud-adoption-framework/modernize/plan-cloud-modernization" TargetMode="External"/><Relationship Id="rId20" Type="http://schemas.openxmlformats.org/officeDocument/2006/relationships/hyperlink" Target="https://developers.google.com/search/docs/fundamentals/seo-starter-guide" TargetMode="External"/><Relationship Id="rId21" Type="http://schemas.openxmlformats.org/officeDocument/2006/relationships/hyperlink" Target="https://developers.google.com/search/docs/appearance/structured-data/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iTANZ Two SEO GEO AEO Blog Articles</dc:title>
  <dc:subject>Enterprise AI scaling and core systems modernisation</dc:subject>
  <dc:creator>iTANZ Technologies</dc:creator>
  <cp:keywords>iTANZ, enterprise AI, application modernisation, SEO, GEO, AEO, thought leadership</cp:keywords>
  <dc:description>generated by python-docx</dc:description>
  <cp:lastModifiedBy>iTANZ Technologies</cp:lastModifiedBy>
  <cp:revision>1</cp:revision>
  <dcterms:created xsi:type="dcterms:W3CDTF">2013-12-23T23:15:00Z</dcterms:created>
  <dcterms:modified xsi:type="dcterms:W3CDTF">2013-12-23T23:15:00Z</dcterms:modified>
  <cp:category/>
</cp:coreProperties>
</file>