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2fd3c354a3d5002b051be26f7db63b7a030473"/>
    <w:p>
      <w:pPr>
        <w:pStyle w:val="Heading1"/>
      </w:pPr>
      <w:r>
        <w:t xml:space="preserve">iTANZ Technologies Shareholders Approve AUD 21.86M Strategic Investment in iTANZ Infinity</w:t>
      </w:r>
    </w:p>
    <w:p>
      <w:pPr>
        <w:pStyle w:val="FirstParagraph"/>
      </w:pPr>
      <w:r>
        <w:rPr>
          <w:b/>
          <w:bCs/>
        </w:rPr>
        <w:t xml:space="preserve">Strategic investment marks an important step in strengthening iTANZ’s international footprint and long-term enterprise technology growth.</w:t>
      </w:r>
    </w:p>
    <w:p>
      <w:pPr>
        <w:pStyle w:val="BodyText"/>
      </w:pPr>
      <w:r>
        <w:t xml:space="preserve">iTANZ Technologies Limited has reached an important milestone in its international growth journey, with shareholders approving an investment of up to</w:t>
      </w:r>
      <w:r>
        <w:t xml:space="preserve"> </w:t>
      </w:r>
      <w:r>
        <w:rPr>
          <w:b/>
          <w:bCs/>
        </w:rPr>
        <w:t xml:space="preserve">AUD 21.857 million to acquire a 51% equity stake in iTANZ Infinity Pty Ltd, Australia</w:t>
      </w:r>
      <w:r>
        <w:t xml:space="preserve">.</w:t>
      </w:r>
    </w:p>
    <w:p>
      <w:pPr>
        <w:pStyle w:val="BodyText"/>
      </w:pPr>
      <w:r>
        <w:t xml:space="preserve">The investment reflects iTANZ’s continued focus on building a stronger international technology business with the capabilities, market presence and platform foundation required to support organisations operating increasingly complex and connected environments.</w:t>
      </w:r>
    </w:p>
    <w:bookmarkStart w:id="9" w:name="strengthening-itanzs-global-platform"/>
    <w:p>
      <w:pPr>
        <w:pStyle w:val="Heading2"/>
      </w:pPr>
      <w:r>
        <w:t xml:space="preserve">Strengthening iTANZ’s Global Platform</w:t>
      </w:r>
    </w:p>
    <w:p>
      <w:pPr>
        <w:pStyle w:val="FirstParagraph"/>
      </w:pPr>
      <w:r>
        <w:t xml:space="preserve">Australia has long represented an important market within iTANZ’s international technology ecosystem.</w:t>
      </w:r>
    </w:p>
    <w:p>
      <w:pPr>
        <w:pStyle w:val="BodyText"/>
      </w:pPr>
      <w:r>
        <w:t xml:space="preserve">The strategic investment in iTANZ Infinity is designed to further strengthen the Group’s ability to scale its technology capabilities, expand its international presence and create new opportunities across enterprise and public-sector markets.</w:t>
      </w:r>
    </w:p>
    <w:p>
      <w:pPr>
        <w:pStyle w:val="BodyText"/>
      </w:pPr>
      <w:r>
        <w:t xml:space="preserve">With organisations accelerating modernisation across cloud, data, AI, enterprise platforms, integration and intelligent operations, iTANZ continues to position itself around one central objective:</w:t>
      </w:r>
    </w:p>
    <w:p>
      <w:pPr>
        <w:pStyle w:val="BodyText"/>
      </w:pPr>
      <w:r>
        <w:rPr>
          <w:b/>
          <w:bCs/>
        </w:rPr>
        <w:t xml:space="preserve">Helping organisations modernise the systems behind the operations that matter most.</w:t>
      </w:r>
    </w:p>
    <w:bookmarkEnd w:id="9"/>
    <w:bookmarkStart w:id="10" w:name="building-for-the-next-stage-of-growth"/>
    <w:p>
      <w:pPr>
        <w:pStyle w:val="Heading2"/>
      </w:pPr>
      <w:r>
        <w:t xml:space="preserve">Building for the Next Stage of Growth</w:t>
      </w:r>
    </w:p>
    <w:p>
      <w:pPr>
        <w:pStyle w:val="FirstParagraph"/>
      </w:pPr>
      <w:r>
        <w:t xml:space="preserve">The transaction will provide iTANZ Technologies Limited with a controlling</w:t>
      </w:r>
      <w:r>
        <w:t xml:space="preserve"> </w:t>
      </w:r>
      <w:r>
        <w:rPr>
          <w:b/>
          <w:bCs/>
        </w:rPr>
        <w:t xml:space="preserve">51% equity interest in iTANZ Infinity Pty Ltd</w:t>
      </w:r>
      <w:r>
        <w:t xml:space="preserve">, subject to completion of the applicable transaction and regulatory requirements.</w:t>
      </w:r>
    </w:p>
    <w:p>
      <w:pPr>
        <w:pStyle w:val="BodyText"/>
      </w:pPr>
      <w:r>
        <w:t xml:space="preserve">Under the approved structure, the investment consideration will be settled over a five-year period, supporting a long-term approach to strategic expansion.</w:t>
      </w:r>
    </w:p>
    <w:p>
      <w:pPr>
        <w:pStyle w:val="BodyText"/>
      </w:pPr>
      <w:r>
        <w:t xml:space="preserve">Beyond the transaction itself, the investment represents a broader commitment to creating a stronger platform for:</w:t>
      </w:r>
    </w:p>
    <w:p>
      <w:pPr>
        <w:pStyle w:val="Compact"/>
        <w:numPr>
          <w:ilvl w:val="0"/>
          <w:numId w:val="1001"/>
        </w:numPr>
      </w:pPr>
      <w:r>
        <w:t xml:space="preserve">International market expansion</w:t>
      </w:r>
    </w:p>
    <w:p>
      <w:pPr>
        <w:pStyle w:val="Compact"/>
        <w:numPr>
          <w:ilvl w:val="0"/>
          <w:numId w:val="1001"/>
        </w:numPr>
      </w:pPr>
      <w:r>
        <w:t xml:space="preserve">Enterprise technology capability development</w:t>
      </w:r>
    </w:p>
    <w:p>
      <w:pPr>
        <w:pStyle w:val="Compact"/>
        <w:numPr>
          <w:ilvl w:val="0"/>
          <w:numId w:val="1001"/>
        </w:numPr>
      </w:pPr>
      <w:r>
        <w:t xml:space="preserve">Greater access to global opportunities</w:t>
      </w:r>
    </w:p>
    <w:p>
      <w:pPr>
        <w:pStyle w:val="Compact"/>
        <w:numPr>
          <w:ilvl w:val="0"/>
          <w:numId w:val="1001"/>
        </w:numPr>
      </w:pPr>
      <w:r>
        <w:t xml:space="preserve">Development of scalable technology platforms</w:t>
      </w:r>
    </w:p>
    <w:p>
      <w:pPr>
        <w:pStyle w:val="Compact"/>
        <w:numPr>
          <w:ilvl w:val="0"/>
          <w:numId w:val="1001"/>
        </w:numPr>
      </w:pPr>
      <w:r>
        <w:t xml:space="preserve">Stronger delivery across complex enterprise environments</w:t>
      </w:r>
    </w:p>
    <w:p>
      <w:pPr>
        <w:pStyle w:val="Compact"/>
        <w:numPr>
          <w:ilvl w:val="0"/>
          <w:numId w:val="1001"/>
        </w:numPr>
      </w:pPr>
      <w:r>
        <w:t xml:space="preserve">Continued innovation across connected and intelligent operations</w:t>
      </w:r>
    </w:p>
    <w:bookmarkEnd w:id="10"/>
    <w:bookmarkStart w:id="12" w:name="from-australia-to-global-markets"/>
    <w:p>
      <w:pPr>
        <w:pStyle w:val="Heading2"/>
      </w:pPr>
      <w:r>
        <w:t xml:space="preserve">From Australia to Global Markets</w:t>
      </w:r>
    </w:p>
    <w:p>
      <w:pPr>
        <w:pStyle w:val="FirstParagraph"/>
      </w:pPr>
      <w:r>
        <w:t xml:space="preserve">iTANZ’s growth strategy is increasingly global.</w:t>
      </w:r>
    </w:p>
    <w:p>
      <w:pPr>
        <w:pStyle w:val="BodyText"/>
      </w:pPr>
      <w:r>
        <w:t xml:space="preserve">By strengthening its presence in Australia while continuing to expand across the Middle East, Asia-Pacific and other international markets, iTANZ is building an enterprise technology organisation capable of combining regional market understanding with global delivery capabilities.</w:t>
      </w:r>
    </w:p>
    <w:p>
      <w:pPr>
        <w:pStyle w:val="BodyText"/>
      </w:pPr>
      <w:r>
        <w:t xml:space="preserve">The next phase will remain focused on helping organisations simplify complexity, modernise critical platforms and make technology a stronger enabler of operational performance and long-term growth.</w:t>
      </w:r>
    </w:p>
    <w:p>
      <w:pPr>
        <w:pStyle w:val="BodyText"/>
      </w:pPr>
      <w:r>
        <w:rPr>
          <w:b/>
          <w:bCs/>
        </w:rPr>
        <w:t xml:space="preserve">Global ambition. Strategic expansion. Enterprise advantage.</w:t>
      </w:r>
    </w:p>
    <w:bookmarkStart w:id="11" w:name="about-itanz"/>
    <w:p>
      <w:pPr>
        <w:pStyle w:val="Heading3"/>
      </w:pPr>
      <w:r>
        <w:t xml:space="preserve">About iTANZ</w:t>
      </w:r>
    </w:p>
    <w:p>
      <w:pPr>
        <w:pStyle w:val="FirstParagraph"/>
      </w:pPr>
      <w:r>
        <w:t xml:space="preserve">iTANZ is an enterprise technology and transformation partner helping organisations modernise critical systems, integrate technology environments and build more intelligent, resilient and scalable operations.</w:t>
      </w:r>
    </w:p>
    <w:p>
      <w:pPr>
        <w:pStyle w:val="BodyText"/>
      </w:pPr>
      <w:r>
        <w:t xml:space="preserve">Its capabilities span enterprise platforms, cloud and infrastructure, data and AI, integration and automation, technology consulting and managed services across international markets.</w:t>
      </w:r>
    </w:p>
    <w:bookmarkEnd w:id="11"/>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