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27D97" w14:textId="77777777" w:rsidR="00FB7634" w:rsidRDefault="004C15DB">
      <w:pPr>
        <w:pStyle w:val="Heading1"/>
      </w:pPr>
      <w:bookmarkStart w:id="0" w:name="itanz-success-stories"/>
      <w:r>
        <w:t>iTANZ SUCCESS STORIES</w:t>
      </w:r>
    </w:p>
    <w:p w14:paraId="6098D35C" w14:textId="38F40318" w:rsidR="00FB7634" w:rsidRDefault="004C15DB">
      <w:pPr>
        <w:pStyle w:val="Heading2"/>
      </w:pPr>
      <w:bookmarkStart w:id="1" w:name="website-ready-one-page-content"/>
      <w:r>
        <w:t>Website-Ready One-Page Content</w:t>
      </w:r>
    </w:p>
    <w:p w14:paraId="04278657" w14:textId="7B596A2E" w:rsidR="00134D70" w:rsidRDefault="00134D70" w:rsidP="00134D70">
      <w:pPr>
        <w:pStyle w:val="BodyText"/>
      </w:pPr>
    </w:p>
    <w:p w14:paraId="304B57DB" w14:textId="77777777" w:rsidR="00134D70" w:rsidRPr="00134D70" w:rsidRDefault="00134D70" w:rsidP="00134D70">
      <w:pPr>
        <w:pStyle w:val="BodyText"/>
      </w:pPr>
    </w:p>
    <w:p w14:paraId="61F15187" w14:textId="24C9AC9F" w:rsidR="00FB7634" w:rsidRDefault="004C15DB">
      <w:pPr>
        <w:pStyle w:val="Heading3"/>
      </w:pPr>
      <w:bookmarkStart w:id="2" w:name="section-01-hero"/>
      <w:r>
        <w:t>SECTION 01 — HERO</w:t>
      </w:r>
      <w:r w:rsidR="00134D70">
        <w:br/>
      </w:r>
      <w:r w:rsidR="00134D70">
        <w:br/>
      </w:r>
      <w:r w:rsidR="00134D70" w:rsidRPr="00134D70">
        <w:rPr>
          <w:sz w:val="40"/>
          <w:szCs w:val="40"/>
        </w:rPr>
        <w:t xml:space="preserve">Our </w:t>
      </w:r>
      <w:r w:rsidR="000C4EC1" w:rsidRPr="00134D70">
        <w:rPr>
          <w:sz w:val="40"/>
          <w:szCs w:val="40"/>
        </w:rPr>
        <w:t>Philosophy</w:t>
      </w:r>
      <w:r w:rsidR="00134D70">
        <w:br/>
      </w:r>
      <w:r w:rsidR="00134D70">
        <w:br/>
      </w:r>
      <w:r w:rsidR="00134D70" w:rsidRPr="00134D70">
        <w:rPr>
          <w:b/>
          <w:bCs/>
          <w:color w:val="000000" w:themeColor="text1"/>
        </w:rPr>
        <w:t>We believe meaningful transformation starts with understanding.</w:t>
      </w:r>
      <w:r w:rsidR="00134D70" w:rsidRPr="00134D70">
        <w:rPr>
          <w:color w:val="000000" w:themeColor="text1"/>
        </w:rPr>
        <w:t xml:space="preserve"> By investing in domain expertise, next-generation capabilities and specialist talent, iTANZ </w:t>
      </w:r>
      <w:proofErr w:type="gramStart"/>
      <w:r w:rsidR="00134D70" w:rsidRPr="00134D70">
        <w:rPr>
          <w:color w:val="000000" w:themeColor="text1"/>
        </w:rPr>
        <w:t>engineers</w:t>
      </w:r>
      <w:proofErr w:type="gramEnd"/>
      <w:r w:rsidR="00134D70" w:rsidRPr="00134D70">
        <w:rPr>
          <w:color w:val="000000" w:themeColor="text1"/>
        </w:rPr>
        <w:t xml:space="preserve"> solutions around the realities of each </w:t>
      </w:r>
      <w:proofErr w:type="spellStart"/>
      <w:r w:rsidR="00134D70" w:rsidRPr="00134D70">
        <w:rPr>
          <w:color w:val="000000" w:themeColor="text1"/>
        </w:rPr>
        <w:t>organisation</w:t>
      </w:r>
      <w:proofErr w:type="spellEnd"/>
      <w:r w:rsidR="00134D70" w:rsidRPr="00134D70">
        <w:rPr>
          <w:color w:val="000000" w:themeColor="text1"/>
        </w:rPr>
        <w:t>—not around technology for its own sake. Our philosophy is simple: understand deeply, engineer precisely and stay accountable for outcomes that continue to create value beyond go-live.</w:t>
      </w:r>
    </w:p>
    <w:p w14:paraId="5FC671DF" w14:textId="097D0383" w:rsidR="00FB7634" w:rsidRDefault="00134D70">
      <w:pPr>
        <w:pStyle w:val="Heading1"/>
      </w:pPr>
      <w:bookmarkStart w:id="3" w:name="Xdff6c910ea97d5d752e29e04e26dd8b4ce826eb"/>
      <w:bookmarkEnd w:id="0"/>
      <w:bookmarkEnd w:id="1"/>
      <w:bookmarkEnd w:id="2"/>
      <w:r w:rsidRPr="00134D70">
        <w:rPr>
          <w:sz w:val="32"/>
          <w:szCs w:val="32"/>
        </w:rPr>
        <w:t>Break Section</w:t>
      </w:r>
      <w:r>
        <w:br/>
      </w:r>
      <w:r w:rsidR="000941DA">
        <w:br/>
      </w:r>
      <w:r w:rsidR="004C15DB">
        <w:t>Built around reality. Proven in operation.</w:t>
      </w:r>
    </w:p>
    <w:p w14:paraId="5B0B6A94" w14:textId="77777777" w:rsidR="00FB7634" w:rsidRDefault="004C15DB">
      <w:pPr>
        <w:pStyle w:val="FirstParagraph"/>
      </w:pPr>
      <w:r>
        <w:t>Technology creates value when it understands the environment it has to work in.</w:t>
      </w:r>
    </w:p>
    <w:p w14:paraId="60049631" w14:textId="77777777" w:rsidR="00FB7634" w:rsidRDefault="004C15DB">
      <w:pPr>
        <w:pStyle w:val="BodyText"/>
      </w:pPr>
      <w:r>
        <w:t>Across government, utilities, healthcare and enterprise environments, iTANZ turns domain understanding into platforms, transformation and accountable operations.</w:t>
      </w:r>
    </w:p>
    <w:p w14:paraId="2B02BB41" w14:textId="77777777" w:rsidR="00FB7634" w:rsidRDefault="004C15DB">
      <w:pPr>
        <w:pStyle w:val="BodyText"/>
      </w:pPr>
      <w:r>
        <w:rPr>
          <w:b/>
          <w:bCs/>
        </w:rPr>
        <w:t>Primary CTA:</w:t>
      </w:r>
      <w:r>
        <w:t xml:space="preserve"> Explore Our Work</w:t>
      </w:r>
      <w:r>
        <w:br/>
      </w:r>
      <w:r>
        <w:rPr>
          <w:b/>
          <w:bCs/>
        </w:rPr>
        <w:t>Secondary CTA:</w:t>
      </w:r>
      <w:r>
        <w:t xml:space="preserve"> Talk to iTANZ</w:t>
      </w:r>
    </w:p>
    <w:p w14:paraId="22D68435" w14:textId="77777777" w:rsidR="00FB7634" w:rsidRDefault="004C15DB">
      <w:pPr>
        <w:pStyle w:val="BodyText"/>
      </w:pPr>
      <w:r>
        <w:rPr>
          <w:b/>
          <w:bCs/>
        </w:rPr>
        <w:t>UX direction:</w:t>
      </w:r>
      <w:r>
        <w:br/>
        <w:t>Premium full-width hero. Avoid generic “happy customer” imagery. Use an authentic operational environment with subtle visual references to connected systems, infrastructure and people.</w:t>
      </w:r>
    </w:p>
    <w:p w14:paraId="1A9AA5B2" w14:textId="77777777" w:rsidR="00FB7634" w:rsidRDefault="00441724">
      <w:r>
        <w:pict w14:anchorId="7CE68771">
          <v:rect id="_x0000_i1025" style="width:0;height:1.5pt" o:hralign="center" o:hrstd="t" o:hr="t"/>
        </w:pict>
      </w:r>
    </w:p>
    <w:p w14:paraId="3DED184C" w14:textId="3F5905B4" w:rsidR="00134D70" w:rsidRDefault="00134D70">
      <w:pPr>
        <w:pStyle w:val="Heading3"/>
      </w:pPr>
      <w:bookmarkStart w:id="4" w:name="section-02-proof-strip"/>
    </w:p>
    <w:p w14:paraId="553CA61A" w14:textId="12BD19E0" w:rsidR="00441724" w:rsidRDefault="00441724" w:rsidP="00441724">
      <w:pPr>
        <w:pStyle w:val="BodyText"/>
      </w:pPr>
    </w:p>
    <w:p w14:paraId="7B966576" w14:textId="53BF5DD2" w:rsidR="00441724" w:rsidRDefault="00441724" w:rsidP="00441724">
      <w:pPr>
        <w:pStyle w:val="BodyText"/>
      </w:pPr>
    </w:p>
    <w:p w14:paraId="6869A956" w14:textId="4A329E56" w:rsidR="00441724" w:rsidRDefault="00441724" w:rsidP="00441724">
      <w:pPr>
        <w:pStyle w:val="BodyText"/>
        <w:rPr>
          <w:b/>
          <w:bCs/>
        </w:rPr>
      </w:pPr>
      <w:r>
        <w:t>SECTION 0</w:t>
      </w:r>
      <w:r>
        <w:t>2</w:t>
      </w:r>
      <w:r>
        <w:t xml:space="preserve"> — </w:t>
      </w:r>
      <w:r>
        <w:t>Our Values</w:t>
      </w:r>
    </w:p>
    <w:p w14:paraId="0959061B" w14:textId="2C26E8CD" w:rsidR="00441724" w:rsidRPr="00441724" w:rsidRDefault="00441724" w:rsidP="00441724">
      <w:pPr>
        <w:pStyle w:val="BodyText"/>
        <w:rPr>
          <w:b/>
          <w:bCs/>
        </w:rPr>
      </w:pPr>
      <w:r w:rsidRPr="00441724">
        <w:rPr>
          <w:b/>
          <w:bCs/>
          <w:color w:val="0F9ED5" w:themeColor="accent4"/>
          <w:sz w:val="34"/>
          <w:szCs w:val="34"/>
        </w:rPr>
        <w:t>Our Values</w:t>
      </w:r>
      <w:r>
        <w:rPr>
          <w:b/>
          <w:bCs/>
        </w:rPr>
        <w:br/>
      </w:r>
      <w:r w:rsidRPr="00441724">
        <w:rPr>
          <w:b/>
          <w:bCs/>
        </w:rPr>
        <w:t>Principles behind every outcome.</w:t>
      </w:r>
    </w:p>
    <w:p w14:paraId="374BED6F" w14:textId="099A6BAC" w:rsidR="00441724" w:rsidRPr="00441724" w:rsidRDefault="00441724" w:rsidP="00441724">
      <w:pPr>
        <w:pStyle w:val="BodyText"/>
      </w:pPr>
      <w:r w:rsidRPr="00441724">
        <w:t>How we think shapes how we engineer.</w:t>
      </w:r>
      <w:r>
        <w:t xml:space="preserve"> </w:t>
      </w:r>
      <w:r w:rsidRPr="00441724">
        <w:t>Our principles guide the way we understand complex environments, make decisions, work with clients and remain accountable for what happens beyond delivery.</w:t>
      </w:r>
    </w:p>
    <w:p w14:paraId="0BFD4276" w14:textId="77777777" w:rsidR="00441724" w:rsidRDefault="00441724" w:rsidP="00441724">
      <w:pPr>
        <w:pStyle w:val="BodyText"/>
        <w:rPr>
          <w:b/>
          <w:bCs/>
        </w:rPr>
      </w:pPr>
    </w:p>
    <w:p w14:paraId="21A493F9" w14:textId="04214914" w:rsidR="00441724" w:rsidRPr="00441724" w:rsidRDefault="00441724" w:rsidP="00441724">
      <w:pPr>
        <w:pStyle w:val="BodyText"/>
      </w:pPr>
      <w:r w:rsidRPr="00441724">
        <w:rPr>
          <w:b/>
          <w:bCs/>
        </w:rPr>
        <w:t>01 — Integrity</w:t>
      </w:r>
    </w:p>
    <w:p w14:paraId="41CD8682" w14:textId="77777777" w:rsidR="00441724" w:rsidRPr="00441724" w:rsidRDefault="00441724" w:rsidP="00441724">
      <w:pPr>
        <w:pStyle w:val="BodyText"/>
        <w:rPr>
          <w:b/>
          <w:bCs/>
        </w:rPr>
      </w:pPr>
      <w:r w:rsidRPr="00441724">
        <w:rPr>
          <w:b/>
          <w:bCs/>
        </w:rPr>
        <w:t>Be clear. Be accountable.</w:t>
      </w:r>
    </w:p>
    <w:p w14:paraId="04ADF4E8" w14:textId="482CF370" w:rsidR="00441724" w:rsidRPr="00441724" w:rsidRDefault="00441724" w:rsidP="00441724">
      <w:pPr>
        <w:pStyle w:val="BodyText"/>
      </w:pPr>
      <w:r w:rsidRPr="00441724">
        <w:t>We communicate openly, make decisions responsibly and stand behind the commitments we make</w:t>
      </w:r>
      <w:r>
        <w:t xml:space="preserve"> </w:t>
      </w:r>
      <w:r w:rsidRPr="00441724">
        <w:t>to our clients, partners and each other.</w:t>
      </w:r>
    </w:p>
    <w:p w14:paraId="20992D4B" w14:textId="77777777" w:rsidR="00441724" w:rsidRPr="00441724" w:rsidRDefault="00441724" w:rsidP="00441724">
      <w:pPr>
        <w:pStyle w:val="BodyText"/>
      </w:pPr>
      <w:r w:rsidRPr="00441724">
        <w:rPr>
          <w:b/>
          <w:bCs/>
        </w:rPr>
        <w:t>02 — Excellence</w:t>
      </w:r>
    </w:p>
    <w:p w14:paraId="2F6B54E3" w14:textId="77777777" w:rsidR="00441724" w:rsidRPr="00441724" w:rsidRDefault="00441724" w:rsidP="00441724">
      <w:pPr>
        <w:pStyle w:val="BodyText"/>
        <w:rPr>
          <w:b/>
          <w:bCs/>
        </w:rPr>
      </w:pPr>
      <w:r w:rsidRPr="00441724">
        <w:rPr>
          <w:b/>
          <w:bCs/>
        </w:rPr>
        <w:t>Engineer for what matters.</w:t>
      </w:r>
    </w:p>
    <w:p w14:paraId="43A45C9C" w14:textId="77777777" w:rsidR="00441724" w:rsidRPr="00441724" w:rsidRDefault="00441724" w:rsidP="00441724">
      <w:pPr>
        <w:pStyle w:val="BodyText"/>
      </w:pPr>
      <w:r w:rsidRPr="00441724">
        <w:t>Quality is not a final checkpoint. We build precision, resilience and operational practicality into every solution from the beginning.</w:t>
      </w:r>
    </w:p>
    <w:p w14:paraId="1381A5D7" w14:textId="77777777" w:rsidR="00441724" w:rsidRPr="00441724" w:rsidRDefault="00441724" w:rsidP="00441724">
      <w:pPr>
        <w:pStyle w:val="BodyText"/>
      </w:pPr>
      <w:r w:rsidRPr="00441724">
        <w:rPr>
          <w:b/>
          <w:bCs/>
        </w:rPr>
        <w:t>03 — Collaboration</w:t>
      </w:r>
    </w:p>
    <w:p w14:paraId="6FC3E26C" w14:textId="77777777" w:rsidR="00441724" w:rsidRPr="00441724" w:rsidRDefault="00441724" w:rsidP="00441724">
      <w:pPr>
        <w:pStyle w:val="BodyText"/>
        <w:rPr>
          <w:b/>
          <w:bCs/>
        </w:rPr>
      </w:pPr>
      <w:r w:rsidRPr="00441724">
        <w:rPr>
          <w:b/>
          <w:bCs/>
        </w:rPr>
        <w:t>Work with, not around.</w:t>
      </w:r>
    </w:p>
    <w:p w14:paraId="48D247B7" w14:textId="16E68F4F" w:rsidR="00441724" w:rsidRPr="00441724" w:rsidRDefault="00441724" w:rsidP="00441724">
      <w:pPr>
        <w:pStyle w:val="BodyText"/>
      </w:pPr>
      <w:r w:rsidRPr="00441724">
        <w:t>The best outcomes come from shared understanding. We work closely with client teams, partners and specialists to solve problems together</w:t>
      </w:r>
      <w:r>
        <w:t xml:space="preserve">, </w:t>
      </w:r>
      <w:r w:rsidRPr="00441724">
        <w:t>not in isolation.</w:t>
      </w:r>
    </w:p>
    <w:p w14:paraId="46160255" w14:textId="77777777" w:rsidR="00441724" w:rsidRPr="00441724" w:rsidRDefault="00441724" w:rsidP="00441724">
      <w:pPr>
        <w:pStyle w:val="BodyText"/>
      </w:pPr>
      <w:r w:rsidRPr="00441724">
        <w:rPr>
          <w:b/>
          <w:bCs/>
        </w:rPr>
        <w:t>04 — Innovation</w:t>
      </w:r>
    </w:p>
    <w:p w14:paraId="55646253" w14:textId="77777777" w:rsidR="00441724" w:rsidRPr="00441724" w:rsidRDefault="00441724" w:rsidP="00441724">
      <w:pPr>
        <w:pStyle w:val="BodyText"/>
        <w:rPr>
          <w:b/>
          <w:bCs/>
        </w:rPr>
      </w:pPr>
      <w:r w:rsidRPr="00441724">
        <w:rPr>
          <w:b/>
          <w:bCs/>
        </w:rPr>
        <w:t>Progress with purpose.</w:t>
      </w:r>
    </w:p>
    <w:p w14:paraId="071CF621" w14:textId="1E458002" w:rsidR="00441724" w:rsidRPr="00441724" w:rsidRDefault="00441724" w:rsidP="00441724">
      <w:pPr>
        <w:pStyle w:val="BodyText"/>
      </w:pPr>
      <w:r w:rsidRPr="00441724">
        <w:t>We explore new technologies where they create real advantage</w:t>
      </w:r>
      <w:r>
        <w:t xml:space="preserve">, </w:t>
      </w:r>
      <w:r w:rsidRPr="00441724">
        <w:t xml:space="preserve">not because they are new. Innovation must improve how an </w:t>
      </w:r>
      <w:r w:rsidRPr="00441724">
        <w:t>organization</w:t>
      </w:r>
      <w:r w:rsidRPr="00441724">
        <w:t xml:space="preserve"> operates, decides or delivers.</w:t>
      </w:r>
    </w:p>
    <w:p w14:paraId="7D1AF9A5" w14:textId="77777777" w:rsidR="00441724" w:rsidRPr="00441724" w:rsidRDefault="00441724" w:rsidP="00441724">
      <w:pPr>
        <w:pStyle w:val="BodyText"/>
      </w:pPr>
      <w:r w:rsidRPr="00441724">
        <w:rPr>
          <w:b/>
          <w:bCs/>
        </w:rPr>
        <w:t>05 — Customer Focus</w:t>
      </w:r>
    </w:p>
    <w:p w14:paraId="0EE82ED9" w14:textId="77777777" w:rsidR="00441724" w:rsidRPr="00441724" w:rsidRDefault="00441724" w:rsidP="00441724">
      <w:pPr>
        <w:pStyle w:val="BodyText"/>
        <w:rPr>
          <w:b/>
          <w:bCs/>
        </w:rPr>
      </w:pPr>
      <w:r w:rsidRPr="00441724">
        <w:rPr>
          <w:b/>
          <w:bCs/>
        </w:rPr>
        <w:t>Start with their reality.</w:t>
      </w:r>
    </w:p>
    <w:p w14:paraId="7C59F0B4" w14:textId="02CDCFC7" w:rsidR="00441724" w:rsidRDefault="00441724" w:rsidP="00441724">
      <w:pPr>
        <w:pStyle w:val="BodyText"/>
      </w:pPr>
      <w:r w:rsidRPr="00441724">
        <w:t xml:space="preserve">We begin with the </w:t>
      </w:r>
      <w:r w:rsidRPr="00441724">
        <w:t>organization</w:t>
      </w:r>
      <w:r w:rsidRPr="00441724">
        <w:t>, not the technology. Its industry, people, systems, constraints and ambitions shape the solution we engineer.</w:t>
      </w:r>
    </w:p>
    <w:p w14:paraId="2CA8C74E" w14:textId="61F2D626" w:rsidR="00441724" w:rsidRDefault="00441724" w:rsidP="00441724">
      <w:pPr>
        <w:pStyle w:val="BodyText"/>
      </w:pPr>
    </w:p>
    <w:p w14:paraId="3C0E6658" w14:textId="0F78FF16" w:rsidR="00441724" w:rsidRDefault="00441724" w:rsidP="00441724">
      <w:pPr>
        <w:pStyle w:val="BodyText"/>
      </w:pPr>
    </w:p>
    <w:p w14:paraId="1657D823" w14:textId="7E33CE2B" w:rsidR="00441724" w:rsidRDefault="00441724" w:rsidP="00441724">
      <w:pPr>
        <w:pStyle w:val="BodyText"/>
        <w:rPr>
          <w:b/>
          <w:bCs/>
        </w:rPr>
      </w:pPr>
      <w:r>
        <w:lastRenderedPageBreak/>
        <w:t>SECTION 0</w:t>
      </w:r>
      <w:r>
        <w:t xml:space="preserve">3 </w:t>
      </w:r>
      <w:r>
        <w:t xml:space="preserve">— </w:t>
      </w:r>
      <w:r>
        <w:t>Behind every success</w:t>
      </w:r>
    </w:p>
    <w:p w14:paraId="15D21429" w14:textId="77777777" w:rsidR="00441724" w:rsidRDefault="00441724" w:rsidP="00441724">
      <w:pPr>
        <w:pStyle w:val="Heading3"/>
      </w:pPr>
    </w:p>
    <w:p w14:paraId="673FD193" w14:textId="77777777" w:rsidR="00441724" w:rsidRDefault="00441724" w:rsidP="00441724">
      <w:pPr>
        <w:pStyle w:val="Heading3"/>
      </w:pPr>
    </w:p>
    <w:p w14:paraId="259FDEA2" w14:textId="375C33E6" w:rsidR="00441724" w:rsidRDefault="00441724" w:rsidP="00441724">
      <w:pPr>
        <w:pStyle w:val="Heading3"/>
      </w:pPr>
      <w:r>
        <w:t>BEHIND EVERY SUCCESS STORY</w:t>
      </w:r>
    </w:p>
    <w:p w14:paraId="012CAD5E" w14:textId="77777777" w:rsidR="00441724" w:rsidRDefault="00441724" w:rsidP="00441724">
      <w:pPr>
        <w:pStyle w:val="Heading1"/>
      </w:pPr>
      <w:r>
        <w:t>Success is built into the way systems work.</w:t>
      </w:r>
    </w:p>
    <w:p w14:paraId="2A03B1B0" w14:textId="77777777" w:rsidR="00441724" w:rsidRDefault="00441724" w:rsidP="00441724">
      <w:pPr>
        <w:pStyle w:val="NormalWeb"/>
      </w:pPr>
      <w:r>
        <w:t>iTANZ starts with the operating reality, engineers what needs to change, and stays accountable for what happens after go-live.</w:t>
      </w:r>
    </w:p>
    <w:p w14:paraId="6AC46BCD" w14:textId="77777777" w:rsidR="00441724" w:rsidRDefault="00441724" w:rsidP="00441724">
      <w:pPr>
        <w:pStyle w:val="NormalWeb"/>
      </w:pPr>
      <w:r>
        <w:rPr>
          <w:rStyle w:val="Strong"/>
        </w:rPr>
        <w:t>UNDERSTAND</w:t>
      </w:r>
      <w:r>
        <w:br/>
        <w:t>Start with the operating reality.</w:t>
      </w:r>
      <w:r>
        <w:br/>
        <w:t>We learn the industry, workflows, systems and constraints before recommending technology.</w:t>
      </w:r>
    </w:p>
    <w:p w14:paraId="0C688C07" w14:textId="77777777" w:rsidR="00441724" w:rsidRDefault="00441724" w:rsidP="00441724">
      <w:pPr>
        <w:pStyle w:val="NormalWeb"/>
      </w:pPr>
      <w:r>
        <w:rPr>
          <w:rStyle w:val="Strong"/>
        </w:rPr>
        <w:t>ENGINEER</w:t>
      </w:r>
      <w:r>
        <w:br/>
        <w:t>Turn understanding into execution.</w:t>
      </w:r>
      <w:r>
        <w:br/>
        <w:t xml:space="preserve">We design, build and integrate solutions around how the </w:t>
      </w:r>
      <w:proofErr w:type="spellStart"/>
      <w:r>
        <w:t>organisation</w:t>
      </w:r>
      <w:proofErr w:type="spellEnd"/>
      <w:r>
        <w:t xml:space="preserve"> actually needs to operate.</w:t>
      </w:r>
    </w:p>
    <w:p w14:paraId="21D09DAB" w14:textId="77777777" w:rsidR="00441724" w:rsidRDefault="00441724" w:rsidP="00441724">
      <w:pPr>
        <w:pStyle w:val="NormalWeb"/>
      </w:pPr>
      <w:r>
        <w:rPr>
          <w:rStyle w:val="Strong"/>
        </w:rPr>
        <w:t>OPERATE</w:t>
      </w:r>
      <w:r>
        <w:br/>
        <w:t>Stay accountable beyond go-live.</w:t>
      </w:r>
      <w:r>
        <w:br/>
        <w:t>We support, improve and evolve the environment so value continues after implementation.</w:t>
      </w:r>
    </w:p>
    <w:p w14:paraId="2FDE9C8D" w14:textId="30EFF964" w:rsidR="00441724" w:rsidRDefault="00441724" w:rsidP="00441724">
      <w:pPr>
        <w:pStyle w:val="BodyText"/>
      </w:pPr>
    </w:p>
    <w:p w14:paraId="013F2C73" w14:textId="267BF1FB" w:rsidR="00441724" w:rsidRPr="00441724" w:rsidRDefault="00441724" w:rsidP="00441724">
      <w:pPr>
        <w:pStyle w:val="BodyText"/>
        <w:rPr>
          <w:i/>
          <w:iCs/>
        </w:rPr>
      </w:pPr>
      <w:r w:rsidRPr="00441724">
        <w:rPr>
          <w:i/>
          <w:iCs/>
        </w:rPr>
        <w:t xml:space="preserve">Look </w:t>
      </w:r>
      <w:proofErr w:type="spellStart"/>
      <w:r w:rsidRPr="00441724">
        <w:rPr>
          <w:i/>
          <w:iCs/>
        </w:rPr>
        <w:t>aisay</w:t>
      </w:r>
      <w:proofErr w:type="spellEnd"/>
      <w:r w:rsidRPr="00441724">
        <w:rPr>
          <w:i/>
          <w:iCs/>
        </w:rPr>
        <w:t xml:space="preserve"> </w:t>
      </w:r>
      <w:proofErr w:type="spellStart"/>
      <w:r w:rsidRPr="00441724">
        <w:rPr>
          <w:i/>
          <w:iCs/>
        </w:rPr>
        <w:t>aae</w:t>
      </w:r>
      <w:proofErr w:type="spellEnd"/>
      <w:r w:rsidRPr="00441724">
        <w:rPr>
          <w:i/>
          <w:iCs/>
        </w:rPr>
        <w:t xml:space="preserve"> </w:t>
      </w:r>
      <w:proofErr w:type="spellStart"/>
      <w:r w:rsidRPr="00441724">
        <w:rPr>
          <w:i/>
          <w:iCs/>
        </w:rPr>
        <w:t>gi</w:t>
      </w:r>
      <w:proofErr w:type="spellEnd"/>
      <w:r w:rsidRPr="00441724">
        <w:rPr>
          <w:i/>
          <w:iCs/>
        </w:rPr>
        <w:t xml:space="preserve">. </w:t>
      </w:r>
      <w:proofErr w:type="spellStart"/>
      <w:r w:rsidRPr="00441724">
        <w:rPr>
          <w:i/>
          <w:iCs/>
        </w:rPr>
        <w:t>Ya</w:t>
      </w:r>
      <w:proofErr w:type="spellEnd"/>
      <w:r w:rsidRPr="00441724">
        <w:rPr>
          <w:i/>
          <w:iCs/>
        </w:rPr>
        <w:t xml:space="preserve"> image ma sperate </w:t>
      </w:r>
      <w:proofErr w:type="spellStart"/>
      <w:r w:rsidRPr="00441724">
        <w:rPr>
          <w:i/>
          <w:iCs/>
        </w:rPr>
        <w:t>blacnk</w:t>
      </w:r>
      <w:proofErr w:type="spellEnd"/>
      <w:r w:rsidRPr="00441724">
        <w:rPr>
          <w:i/>
          <w:iCs/>
        </w:rPr>
        <w:t xml:space="preserve"> </w:t>
      </w:r>
      <w:proofErr w:type="spellStart"/>
      <w:r w:rsidRPr="00441724">
        <w:rPr>
          <w:i/>
          <w:iCs/>
        </w:rPr>
        <w:t>apko</w:t>
      </w:r>
      <w:proofErr w:type="spellEnd"/>
      <w:r w:rsidRPr="00441724">
        <w:rPr>
          <w:i/>
          <w:iCs/>
        </w:rPr>
        <w:t xml:space="preserve"> </w:t>
      </w:r>
      <w:proofErr w:type="spellStart"/>
      <w:r w:rsidRPr="00441724">
        <w:rPr>
          <w:i/>
          <w:iCs/>
        </w:rPr>
        <w:t>baij</w:t>
      </w:r>
      <w:proofErr w:type="spellEnd"/>
      <w:r w:rsidRPr="00441724">
        <w:rPr>
          <w:i/>
          <w:iCs/>
        </w:rPr>
        <w:t xml:space="preserve"> </w:t>
      </w:r>
      <w:proofErr w:type="spellStart"/>
      <w:r w:rsidRPr="00441724">
        <w:rPr>
          <w:i/>
          <w:iCs/>
        </w:rPr>
        <w:t>raha</w:t>
      </w:r>
      <w:proofErr w:type="spellEnd"/>
      <w:r w:rsidRPr="00441724">
        <w:rPr>
          <w:i/>
          <w:iCs/>
        </w:rPr>
        <w:t xml:space="preserve"> ho </w:t>
      </w:r>
    </w:p>
    <w:p w14:paraId="61D9D0DF" w14:textId="528DC81F" w:rsidR="00441724" w:rsidRPr="00441724" w:rsidRDefault="00441724" w:rsidP="00441724">
      <w:pPr>
        <w:pStyle w:val="BodyText"/>
      </w:pPr>
      <w:r w:rsidRPr="00441724">
        <w:drawing>
          <wp:inline distT="0" distB="0" distL="0" distR="0" wp14:anchorId="24433FAE" wp14:editId="1E36A1F5">
            <wp:extent cx="5943600" cy="2840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282A" w14:textId="7C34BC27" w:rsidR="00441724" w:rsidRDefault="00441724" w:rsidP="00441724">
      <w:pPr>
        <w:pStyle w:val="BodyText"/>
      </w:pPr>
    </w:p>
    <w:p w14:paraId="0E232FC3" w14:textId="76EC0E99" w:rsidR="00441724" w:rsidRDefault="00441724" w:rsidP="00441724">
      <w:pPr>
        <w:pStyle w:val="BodyText"/>
      </w:pPr>
    </w:p>
    <w:p w14:paraId="58F8FDB7" w14:textId="632A3251" w:rsidR="00441724" w:rsidRDefault="00441724" w:rsidP="00441724">
      <w:pPr>
        <w:pStyle w:val="BodyText"/>
      </w:pPr>
    </w:p>
    <w:p w14:paraId="64D92949" w14:textId="7A11C9E1" w:rsidR="00441724" w:rsidRDefault="00441724" w:rsidP="00441724">
      <w:pPr>
        <w:pStyle w:val="BodyText"/>
      </w:pPr>
    </w:p>
    <w:p w14:paraId="177AC051" w14:textId="5B309567" w:rsidR="00441724" w:rsidRDefault="00441724" w:rsidP="00441724">
      <w:pPr>
        <w:pStyle w:val="BodyText"/>
      </w:pPr>
    </w:p>
    <w:p w14:paraId="71E0702C" w14:textId="77777777" w:rsidR="00441724" w:rsidRPr="00441724" w:rsidRDefault="00441724" w:rsidP="00441724">
      <w:pPr>
        <w:pStyle w:val="BodyText"/>
      </w:pPr>
    </w:p>
    <w:p w14:paraId="39D3593C" w14:textId="1BFC6CF8" w:rsidR="00FB7634" w:rsidRDefault="004C15DB">
      <w:pPr>
        <w:pStyle w:val="Heading3"/>
      </w:pPr>
      <w:r>
        <w:t>SECTION 02 — PROOF STRIP</w:t>
      </w:r>
    </w:p>
    <w:p w14:paraId="7C1315C8" w14:textId="77777777" w:rsidR="00FB7634" w:rsidRDefault="004C15DB">
      <w:pPr>
        <w:pStyle w:val="FirstParagraph"/>
      </w:pPr>
      <w:r>
        <w:rPr>
          <w:b/>
          <w:bCs/>
        </w:rPr>
        <w:t>FROM UNDERSTANDING TO OPERATION</w:t>
      </w:r>
    </w:p>
    <w:p w14:paraId="03378256" w14:textId="77777777" w:rsidR="00FB7634" w:rsidRDefault="004C15DB">
      <w:pPr>
        <w:pStyle w:val="BodyText"/>
      </w:pPr>
      <w:r>
        <w:rPr>
          <w:b/>
          <w:bCs/>
        </w:rPr>
        <w:t>Government</w:t>
      </w:r>
      <w:r>
        <w:br/>
        <w:t>Platforms operating across Australian local-government environments.</w:t>
      </w:r>
    </w:p>
    <w:p w14:paraId="038FC748" w14:textId="77777777" w:rsidR="00FB7634" w:rsidRDefault="004C15DB">
      <w:pPr>
        <w:pStyle w:val="BodyText"/>
      </w:pPr>
      <w:r>
        <w:rPr>
          <w:b/>
          <w:bCs/>
        </w:rPr>
        <w:t>Utilities</w:t>
      </w:r>
      <w:r>
        <w:br/>
        <w:t>Delivery experience across electricity, water, district cooling and council utilities.</w:t>
      </w:r>
    </w:p>
    <w:p w14:paraId="3DDCC4D0" w14:textId="77777777" w:rsidR="00FB7634" w:rsidRDefault="004C15DB">
      <w:pPr>
        <w:pStyle w:val="BodyText"/>
      </w:pPr>
      <w:r>
        <w:rPr>
          <w:b/>
          <w:bCs/>
        </w:rPr>
        <w:t>Healthcare</w:t>
      </w:r>
      <w:r>
        <w:br/>
        <w:t>AI-native clinical automation operating in UK primary care.</w:t>
      </w:r>
    </w:p>
    <w:p w14:paraId="59773E1D" w14:textId="77777777" w:rsidR="00FB7634" w:rsidRDefault="004C15DB">
      <w:pPr>
        <w:pStyle w:val="BodyText"/>
      </w:pPr>
      <w:r>
        <w:rPr>
          <w:b/>
          <w:bCs/>
        </w:rPr>
        <w:t>UX direction:</w:t>
      </w:r>
      <w:r>
        <w:br/>
        <w:t>Three compact horizontal proof statements. No fabricated percentages or vanity metrics.</w:t>
      </w:r>
    </w:p>
    <w:p w14:paraId="4E96B1EE" w14:textId="77777777" w:rsidR="00FB7634" w:rsidRDefault="00441724">
      <w:r>
        <w:pict w14:anchorId="32E702DF">
          <v:rect id="_x0000_i1026" style="width:0;height:1.5pt" o:hralign="center" o:hrstd="t" o:hr="t"/>
        </w:pict>
      </w:r>
    </w:p>
    <w:p w14:paraId="0634D7AC" w14:textId="77777777" w:rsidR="00FB7634" w:rsidRDefault="004C15DB">
      <w:pPr>
        <w:pStyle w:val="Heading1"/>
      </w:pPr>
      <w:bookmarkStart w:id="5" w:name="where-understanding-became-execution."/>
      <w:bookmarkEnd w:id="3"/>
      <w:bookmarkEnd w:id="4"/>
      <w:r>
        <w:t>Where understanding became execution.</w:t>
      </w:r>
    </w:p>
    <w:p w14:paraId="34429DA7" w14:textId="77777777" w:rsidR="00FB7634" w:rsidRDefault="004C15DB">
      <w:pPr>
        <w:pStyle w:val="Heading3"/>
      </w:pPr>
      <w:bookmarkStart w:id="6" w:name="government-local-councils"/>
      <w:r>
        <w:t>GOVERNMENT &amp; LOCAL COUNCILS</w:t>
      </w:r>
    </w:p>
    <w:p w14:paraId="7AA6E409" w14:textId="77777777" w:rsidR="00FB7634" w:rsidRDefault="004C15DB">
      <w:pPr>
        <w:pStyle w:val="Heading2"/>
      </w:pPr>
      <w:bookmarkStart w:id="7" w:name="Xe97f030c74f60fbdf2b2f186dfe137619d26459"/>
      <w:bookmarkEnd w:id="6"/>
      <w:r>
        <w:t>Connecting the systems that keep communities working.</w:t>
      </w:r>
    </w:p>
    <w:p w14:paraId="6F871B56" w14:textId="77777777" w:rsidR="00FB7634" w:rsidRDefault="004C15DB">
      <w:pPr>
        <w:pStyle w:val="FirstParagraph"/>
      </w:pPr>
      <w:r>
        <w:t>Local government operates across finance, citizens, property, assets, workforce and field services. Fragmented systems make that complexity harder.</w:t>
      </w:r>
    </w:p>
    <w:p w14:paraId="2D30AC01" w14:textId="77777777" w:rsidR="00FB7634" w:rsidRDefault="004C15DB">
      <w:pPr>
        <w:pStyle w:val="BodyText"/>
      </w:pPr>
      <w:r>
        <w:t>iTANZ brings these functions together through domain-led platforms, enterprise applications, integration and ongoing operational support.</w:t>
      </w:r>
    </w:p>
    <w:p w14:paraId="3F435C49" w14:textId="77777777" w:rsidR="00FB7634" w:rsidRDefault="004C15DB">
      <w:pPr>
        <w:pStyle w:val="BodyText"/>
      </w:pPr>
      <w:r>
        <w:rPr>
          <w:b/>
          <w:bCs/>
        </w:rPr>
        <w:t>Relevant iTANZ capability</w:t>
      </w:r>
      <w:r>
        <w:br/>
        <w:t>ICP · Enterprise Applications · Integration · Data · Managed Services</w:t>
      </w:r>
    </w:p>
    <w:p w14:paraId="16381FA8" w14:textId="77777777" w:rsidR="00FB7634" w:rsidRDefault="004C15DB">
      <w:pPr>
        <w:pStyle w:val="BodyText"/>
      </w:pPr>
      <w:r>
        <w:rPr>
          <w:b/>
          <w:bCs/>
        </w:rPr>
        <w:t>Proof</w:t>
      </w:r>
      <w:r>
        <w:br/>
        <w:t>Local-government platforms from iTANZ are operating across Australian council environments.</w:t>
      </w:r>
    </w:p>
    <w:p w14:paraId="02234049" w14:textId="77777777" w:rsidR="00FB7634" w:rsidRDefault="004C15DB">
      <w:pPr>
        <w:pStyle w:val="BodyText"/>
      </w:pPr>
      <w:r>
        <w:rPr>
          <w:b/>
          <w:bCs/>
        </w:rPr>
        <w:t>CTA:</w:t>
      </w:r>
      <w:r>
        <w:t xml:space="preserve"> Explore Government Solutions →</w:t>
      </w:r>
    </w:p>
    <w:p w14:paraId="1D65D23D" w14:textId="77777777" w:rsidR="00FB7634" w:rsidRDefault="004C15DB">
      <w:pPr>
        <w:pStyle w:val="BodyText"/>
      </w:pPr>
      <w:r>
        <w:rPr>
          <w:b/>
          <w:bCs/>
        </w:rPr>
        <w:lastRenderedPageBreak/>
        <w:t>Suggested visual:</w:t>
      </w:r>
      <w:r>
        <w:br/>
        <w:t>Modern council operations environment with subtle platform/data connections rather than a generic city skyline.</w:t>
      </w:r>
    </w:p>
    <w:p w14:paraId="663F3DF6" w14:textId="77777777" w:rsidR="00FB7634" w:rsidRDefault="00441724">
      <w:r>
        <w:pict w14:anchorId="6365F290">
          <v:rect id="_x0000_i1027" style="width:0;height:1.5pt" o:hralign="center" o:hrstd="t" o:hr="t"/>
        </w:pict>
      </w:r>
    </w:p>
    <w:p w14:paraId="2338E202" w14:textId="77777777" w:rsidR="00FB7634" w:rsidRDefault="004C15DB">
      <w:pPr>
        <w:pStyle w:val="Heading3"/>
      </w:pPr>
      <w:bookmarkStart w:id="8" w:name="utilities-energy"/>
      <w:r>
        <w:t>UTILITIES &amp; ENERGY</w:t>
      </w:r>
    </w:p>
    <w:p w14:paraId="58431FD2" w14:textId="77777777" w:rsidR="00FB7634" w:rsidRDefault="004C15DB">
      <w:pPr>
        <w:pStyle w:val="Heading2"/>
      </w:pPr>
      <w:bookmarkStart w:id="9" w:name="Xa96a14f62ee7065c12d224740a93ba4955c6dc9"/>
      <w:bookmarkEnd w:id="7"/>
      <w:bookmarkEnd w:id="8"/>
      <w:r>
        <w:t>Connecting operations from meter to enterprise.</w:t>
      </w:r>
    </w:p>
    <w:p w14:paraId="2228A4DD" w14:textId="77777777" w:rsidR="00FB7634" w:rsidRDefault="004C15DB">
      <w:pPr>
        <w:pStyle w:val="FirstParagraph"/>
      </w:pPr>
      <w:r>
        <w:t>Utilities depend on systems that span metering, billing, revenue, customers, assets, field operations and enterprise platforms.</w:t>
      </w:r>
    </w:p>
    <w:p w14:paraId="0C498981" w14:textId="77777777" w:rsidR="00FB7634" w:rsidRDefault="004C15DB">
      <w:pPr>
        <w:pStyle w:val="BodyText"/>
      </w:pPr>
      <w:r>
        <w:t>iTANZ combines utility-domain knowledge with billing, integration, enterprise applications, data and infrastructure capabilities to modernize these environments without losing operational continuity.</w:t>
      </w:r>
    </w:p>
    <w:p w14:paraId="7C2CDDD2" w14:textId="77777777" w:rsidR="00FB7634" w:rsidRDefault="004C15DB">
      <w:pPr>
        <w:pStyle w:val="BodyText"/>
      </w:pPr>
      <w:r>
        <w:rPr>
          <w:b/>
          <w:bCs/>
        </w:rPr>
        <w:t>Relevant iTANZ capability</w:t>
      </w:r>
      <w:r>
        <w:br/>
        <w:t>UBR · Oracle Utilities · Meter-to-Cash · Integration · IoT &amp; Metering · Data &amp; AI</w:t>
      </w:r>
    </w:p>
    <w:p w14:paraId="6046B7D3" w14:textId="77777777" w:rsidR="00FB7634" w:rsidRDefault="004C15DB">
      <w:pPr>
        <w:pStyle w:val="BodyText"/>
      </w:pPr>
      <w:r>
        <w:rPr>
          <w:b/>
          <w:bCs/>
        </w:rPr>
        <w:t>Proof</w:t>
      </w:r>
      <w:r>
        <w:br/>
        <w:t>iTANZ utility delivery experience spans council utilities, electricity and water environments, district cooling and large-scale power operations across multiple markets.</w:t>
      </w:r>
    </w:p>
    <w:p w14:paraId="14070148" w14:textId="77777777" w:rsidR="00FB7634" w:rsidRDefault="004C15DB">
      <w:pPr>
        <w:pStyle w:val="BodyText"/>
      </w:pPr>
      <w:r>
        <w:rPr>
          <w:b/>
          <w:bCs/>
        </w:rPr>
        <w:t>CTA:</w:t>
      </w:r>
      <w:r>
        <w:t xml:space="preserve"> Explore Utilities Solutions →</w:t>
      </w:r>
    </w:p>
    <w:p w14:paraId="6BC8E2A6" w14:textId="77777777" w:rsidR="00FB7634" w:rsidRDefault="004C15DB">
      <w:pPr>
        <w:pStyle w:val="BodyText"/>
      </w:pPr>
      <w:r>
        <w:rPr>
          <w:b/>
          <w:bCs/>
        </w:rPr>
        <w:t>Suggested visual:</w:t>
      </w:r>
      <w:r>
        <w:br/>
        <w:t>Real utility control, field or metering environment. Avoid futuristic smart-grid clichés.</w:t>
      </w:r>
    </w:p>
    <w:p w14:paraId="14ABDCB0" w14:textId="77777777" w:rsidR="00FB7634" w:rsidRDefault="00441724">
      <w:r>
        <w:pict w14:anchorId="59175813">
          <v:rect id="_x0000_i1028" style="width:0;height:1.5pt" o:hralign="center" o:hrstd="t" o:hr="t"/>
        </w:pict>
      </w:r>
    </w:p>
    <w:p w14:paraId="203E1273" w14:textId="77777777" w:rsidR="00FB7634" w:rsidRDefault="004C15DB">
      <w:pPr>
        <w:pStyle w:val="Heading3"/>
      </w:pPr>
      <w:bookmarkStart w:id="10" w:name="healthcare"/>
      <w:r>
        <w:t>HEALTHCARE</w:t>
      </w:r>
    </w:p>
    <w:p w14:paraId="08567656" w14:textId="77777777" w:rsidR="00FB7634" w:rsidRDefault="004C15DB">
      <w:pPr>
        <w:pStyle w:val="Heading2"/>
      </w:pPr>
      <w:bookmarkStart w:id="11" w:name="X03cfc63411a5f6345f40110cd8453368a2e925e"/>
      <w:bookmarkEnd w:id="9"/>
      <w:bookmarkEnd w:id="10"/>
      <w:r>
        <w:t>Bringing AI into the workflow without removing human judgement.</w:t>
      </w:r>
    </w:p>
    <w:p w14:paraId="78066953" w14:textId="77777777" w:rsidR="00FB7634" w:rsidRDefault="004C15DB">
      <w:pPr>
        <w:pStyle w:val="FirstParagraph"/>
      </w:pPr>
      <w:r>
        <w:t>Clinical operations require speed, context and accountability.</w:t>
      </w:r>
    </w:p>
    <w:p w14:paraId="29039C2D" w14:textId="77777777" w:rsidR="00FB7634" w:rsidRDefault="004C15DB">
      <w:pPr>
        <w:pStyle w:val="BodyText"/>
      </w:pPr>
      <w:r>
        <w:t>iTANZ applies AI and automation to healthcare workflows while keeping human review central to decisions and integrating with the systems teams already use.</w:t>
      </w:r>
    </w:p>
    <w:p w14:paraId="0A8B2A1D" w14:textId="77777777" w:rsidR="00FB7634" w:rsidRDefault="004C15DB">
      <w:pPr>
        <w:pStyle w:val="BodyText"/>
      </w:pPr>
      <w:r>
        <w:rPr>
          <w:b/>
          <w:bCs/>
        </w:rPr>
        <w:t>Relevant iTANZ capability</w:t>
      </w:r>
      <w:r>
        <w:br/>
        <w:t>OvoTech · Clinical Workflow Automation · AI · Integration · Data</w:t>
      </w:r>
    </w:p>
    <w:p w14:paraId="17DB641E" w14:textId="77777777" w:rsidR="00FB7634" w:rsidRDefault="004C15DB">
      <w:pPr>
        <w:pStyle w:val="BodyText"/>
      </w:pPr>
      <w:r>
        <w:rPr>
          <w:b/>
          <w:bCs/>
        </w:rPr>
        <w:t>Proof</w:t>
      </w:r>
      <w:r>
        <w:br/>
        <w:t>AI-native clinical automation from the iTANZ portfolio is operating within UK NHS primary-care environments.</w:t>
      </w:r>
    </w:p>
    <w:p w14:paraId="569C949C" w14:textId="3EA3DAFA" w:rsidR="00FB7634" w:rsidRDefault="004C15DB">
      <w:pPr>
        <w:pStyle w:val="BodyText"/>
      </w:pPr>
      <w:r>
        <w:rPr>
          <w:b/>
          <w:bCs/>
        </w:rPr>
        <w:t>CTA:</w:t>
      </w:r>
      <w:r>
        <w:t xml:space="preserve"> Explore Healthcare Solutions →</w:t>
      </w:r>
      <w:r w:rsidR="004A1F77">
        <w:t xml:space="preserve"> (link to: </w:t>
      </w:r>
      <w:hyperlink r:id="rId6" w:history="1">
        <w:r w:rsidR="004A1F77" w:rsidRPr="00FA16A7">
          <w:rPr>
            <w:rStyle w:val="Hyperlink"/>
          </w:rPr>
          <w:t>https://ovotech.co.uk/</w:t>
        </w:r>
      </w:hyperlink>
      <w:r w:rsidR="004A1F77">
        <w:t xml:space="preserve">) </w:t>
      </w:r>
    </w:p>
    <w:p w14:paraId="4FFE09F9" w14:textId="77777777" w:rsidR="00FB7634" w:rsidRDefault="004C15DB">
      <w:pPr>
        <w:pStyle w:val="BodyText"/>
      </w:pPr>
      <w:r>
        <w:rPr>
          <w:b/>
          <w:bCs/>
        </w:rPr>
        <w:lastRenderedPageBreak/>
        <w:t>Suggested visual:</w:t>
      </w:r>
      <w:r>
        <w:br/>
        <w:t>Clinician or coding-review environment with technology supporting the user, not replacing them.</w:t>
      </w:r>
    </w:p>
    <w:p w14:paraId="5FD18579" w14:textId="77777777" w:rsidR="00FB7634" w:rsidRDefault="00441724">
      <w:r>
        <w:pict w14:anchorId="6F9AC1F7">
          <v:rect id="_x0000_i1029" style="width:0;height:1.5pt" o:hralign="center" o:hrstd="t" o:hr="t"/>
        </w:pict>
      </w:r>
    </w:p>
    <w:p w14:paraId="03FA6201" w14:textId="77777777" w:rsidR="00FB7634" w:rsidRDefault="004C15DB">
      <w:pPr>
        <w:pStyle w:val="Heading3"/>
      </w:pPr>
      <w:bookmarkStart w:id="12" w:name="section-04-customer-credibility"/>
      <w:r>
        <w:t>SECTION 04 — CUSTOMER CREDIBILITY</w:t>
      </w:r>
    </w:p>
    <w:p w14:paraId="378E7B2F" w14:textId="77777777" w:rsidR="00FB7634" w:rsidRDefault="004C15DB">
      <w:pPr>
        <w:pStyle w:val="Heading1"/>
      </w:pPr>
      <w:bookmarkStart w:id="13" w:name="trusted-where-operations-matter."/>
      <w:bookmarkEnd w:id="5"/>
      <w:bookmarkEnd w:id="11"/>
      <w:bookmarkEnd w:id="12"/>
      <w:r>
        <w:t>Trusted where operations matter.</w:t>
      </w:r>
    </w:p>
    <w:p w14:paraId="7018841A" w14:textId="77777777" w:rsidR="00FB7634" w:rsidRDefault="004C15DB">
      <w:pPr>
        <w:pStyle w:val="FirstParagraph"/>
      </w:pPr>
      <w:r>
        <w:t>iTANZ has worked across public services, utilities, healthcare, financial services and enterprise environments.</w:t>
      </w:r>
    </w:p>
    <w:p w14:paraId="7790C4F7" w14:textId="77777777" w:rsidR="00FB7634" w:rsidRDefault="004C15DB">
      <w:pPr>
        <w:pStyle w:val="BodyText"/>
      </w:pPr>
      <w:r>
        <w:rPr>
          <w:b/>
          <w:bCs/>
        </w:rPr>
        <w:t>SELECTED CUSTOMER LOGOS</w:t>
      </w:r>
    </w:p>
    <w:p w14:paraId="07E12AC0" w14:textId="77777777" w:rsidR="00FB7634" w:rsidRDefault="004C15DB">
      <w:pPr>
        <w:pStyle w:val="BodyText"/>
      </w:pPr>
      <w:r>
        <w:t>Recommended first-wave logo set:</w:t>
      </w:r>
    </w:p>
    <w:p w14:paraId="6431B455" w14:textId="77777777" w:rsidR="00FB7634" w:rsidRDefault="004C15DB">
      <w:pPr>
        <w:pStyle w:val="BodyText"/>
      </w:pPr>
      <w:r>
        <w:t>Essential Energy</w:t>
      </w:r>
      <w:r>
        <w:br/>
        <w:t>City of Ipswich</w:t>
      </w:r>
      <w:r>
        <w:br/>
        <w:t>City of Launceston</w:t>
      </w:r>
      <w:r>
        <w:br/>
        <w:t>Icon Water</w:t>
      </w:r>
      <w:r>
        <w:br/>
        <w:t>City of Boroondara</w:t>
      </w:r>
      <w:r>
        <w:br/>
        <w:t>City of Moonee Valley</w:t>
      </w:r>
      <w:r>
        <w:br/>
        <w:t>Mornington Peninsula Shire</w:t>
      </w:r>
      <w:r>
        <w:br/>
        <w:t>City of Greater Geelong</w:t>
      </w:r>
      <w:r>
        <w:br/>
        <w:t>Livingstone Shire Council</w:t>
      </w:r>
      <w:r>
        <w:br/>
        <w:t>K-Electric</w:t>
      </w:r>
      <w:r>
        <w:br/>
        <w:t>SAB</w:t>
      </w:r>
      <w:r>
        <w:br/>
        <w:t>Government of Western Australia — Department of Transport</w:t>
      </w:r>
    </w:p>
    <w:p w14:paraId="61DFFDA3" w14:textId="77777777" w:rsidR="00FB7634" w:rsidRDefault="004C15DB">
      <w:pPr>
        <w:pStyle w:val="BodyText"/>
      </w:pPr>
      <w:r>
        <w:rPr>
          <w:b/>
          <w:bCs/>
        </w:rPr>
        <w:t>UX direction:</w:t>
      </w:r>
      <w:r>
        <w:br/>
        <w:t>Use 8–12 logos maximum at one time. Prefer a refined monochrome or controlled-brand carousel rather than a dense logo wall.</w:t>
      </w:r>
    </w:p>
    <w:p w14:paraId="69125178" w14:textId="77777777" w:rsidR="00FB7634" w:rsidRDefault="004C15DB">
      <w:pPr>
        <w:pStyle w:val="BodyText"/>
      </w:pPr>
      <w:r>
        <w:t>Do not attach a specific solution, product or performance result to an individual customer unless the underlying engagement is separately verified and approved.</w:t>
      </w:r>
    </w:p>
    <w:p w14:paraId="7ECC6113" w14:textId="77777777" w:rsidR="00FB7634" w:rsidRDefault="00441724">
      <w:r>
        <w:pict w14:anchorId="1F10249B">
          <v:rect id="_x0000_i1030" style="width:0;height:1.5pt" o:hralign="center" o:hrstd="t" o:hr="t"/>
        </w:pict>
      </w:r>
    </w:p>
    <w:p w14:paraId="01B5191B" w14:textId="77777777" w:rsidR="00FB7634" w:rsidRDefault="004C15DB">
      <w:pPr>
        <w:pStyle w:val="Heading3"/>
      </w:pPr>
      <w:bookmarkStart w:id="14" w:name="section-05-product-connection"/>
      <w:r>
        <w:t>SECTION 05 — PRODUCT CONNECTION</w:t>
      </w:r>
    </w:p>
    <w:p w14:paraId="1B90D663" w14:textId="77777777" w:rsidR="00FB7634" w:rsidRDefault="004C15DB">
      <w:pPr>
        <w:pStyle w:val="Heading1"/>
      </w:pPr>
      <w:bookmarkStart w:id="15" w:name="Xb1726517fa37e3c18a6fe5261ebc666173b591a"/>
      <w:bookmarkEnd w:id="13"/>
      <w:bookmarkEnd w:id="14"/>
      <w:r>
        <w:t>Products built from the industries we understand.</w:t>
      </w:r>
    </w:p>
    <w:p w14:paraId="1E7D4293" w14:textId="77777777" w:rsidR="00FB7634" w:rsidRDefault="004C15DB">
      <w:pPr>
        <w:pStyle w:val="FirstParagraph"/>
      </w:pPr>
      <w:r>
        <w:t>Our success is not separated from our product strategy. It informs it.</w:t>
      </w:r>
    </w:p>
    <w:p w14:paraId="466FCB22" w14:textId="77777777" w:rsidR="00FB7634" w:rsidRDefault="004C15DB">
      <w:pPr>
        <w:pStyle w:val="BodyText"/>
      </w:pPr>
      <w:r>
        <w:rPr>
          <w:b/>
          <w:bCs/>
        </w:rPr>
        <w:lastRenderedPageBreak/>
        <w:t>ICP</w:t>
      </w:r>
      <w:r>
        <w:br/>
        <w:t>Local-government platform designed around the operating realities of councils.</w:t>
      </w:r>
    </w:p>
    <w:p w14:paraId="49D0A700" w14:textId="77777777" w:rsidR="00FB7634" w:rsidRDefault="004C15DB">
      <w:pPr>
        <w:pStyle w:val="BodyText"/>
      </w:pPr>
      <w:r>
        <w:rPr>
          <w:b/>
          <w:bCs/>
        </w:rPr>
        <w:t>UBR</w:t>
      </w:r>
      <w:r>
        <w:br/>
        <w:t>Utility billing and revenue capability built around meter-to-cash operations.</w:t>
      </w:r>
    </w:p>
    <w:p w14:paraId="64A3880F" w14:textId="77777777" w:rsidR="00FB7634" w:rsidRDefault="004C15DB">
      <w:pPr>
        <w:pStyle w:val="BodyText"/>
      </w:pPr>
      <w:r>
        <w:rPr>
          <w:b/>
          <w:bCs/>
        </w:rPr>
        <w:t>OvoTech</w:t>
      </w:r>
      <w:r>
        <w:br/>
        <w:t>AI-native clinical workflow capability designed around human-reviewed healthcare operations.</w:t>
      </w:r>
    </w:p>
    <w:p w14:paraId="70A79837" w14:textId="77777777" w:rsidR="00FB7634" w:rsidRDefault="004C15DB">
      <w:pPr>
        <w:pStyle w:val="BodyText"/>
      </w:pPr>
      <w:r>
        <w:rPr>
          <w:b/>
          <w:bCs/>
        </w:rPr>
        <w:t>Enterprise Transformation</w:t>
      </w:r>
      <w:r>
        <w:br/>
        <w:t>Data · AI · Integration · Cloud · Enterprise Applications · Managed Services</w:t>
      </w:r>
    </w:p>
    <w:p w14:paraId="68875DFB" w14:textId="77777777" w:rsidR="00FB7634" w:rsidRDefault="004C15DB">
      <w:pPr>
        <w:pStyle w:val="BodyText"/>
      </w:pPr>
      <w:r>
        <w:rPr>
          <w:b/>
          <w:bCs/>
        </w:rPr>
        <w:t>CTA:</w:t>
      </w:r>
      <w:r>
        <w:t xml:space="preserve"> Explore Products &amp; Solutions →</w:t>
      </w:r>
    </w:p>
    <w:p w14:paraId="2C2D4485" w14:textId="77777777" w:rsidR="00FB7634" w:rsidRDefault="004C15DB">
      <w:pPr>
        <w:pStyle w:val="BodyText"/>
      </w:pPr>
      <w:r>
        <w:rPr>
          <w:b/>
          <w:bCs/>
        </w:rPr>
        <w:t>UX direction:</w:t>
      </w:r>
      <w:r>
        <w:br/>
        <w:t>Four compact product/capability tiles. This section should connect proof to iTANZ IP without turning the page into a product catalogue.</w:t>
      </w:r>
    </w:p>
    <w:p w14:paraId="5FAA7017" w14:textId="77777777" w:rsidR="00FB7634" w:rsidRDefault="00441724">
      <w:r>
        <w:pict w14:anchorId="49591C29">
          <v:rect id="_x0000_i1031" style="width:0;height:1.5pt" o:hralign="center" o:hrstd="t" o:hr="t"/>
        </w:pict>
      </w:r>
    </w:p>
    <w:p w14:paraId="289B1107" w14:textId="77777777" w:rsidR="00FB7634" w:rsidRDefault="004C15DB">
      <w:pPr>
        <w:pStyle w:val="Heading3"/>
      </w:pPr>
      <w:bookmarkStart w:id="16" w:name="Xd9de474cc1734f9a8bae82061bc694edbc64a77"/>
      <w:r>
        <w:t>SECTION 06 — FUTURE CUSTOMER ENDORSEMENT MODULE</w:t>
      </w:r>
    </w:p>
    <w:p w14:paraId="5FE8F7E2" w14:textId="77777777" w:rsidR="00FB7634" w:rsidRDefault="004C15DB">
      <w:pPr>
        <w:pStyle w:val="FirstParagraph"/>
      </w:pPr>
      <w:r>
        <w:rPr>
          <w:b/>
          <w:bCs/>
        </w:rPr>
        <w:t>Eyebrow</w:t>
      </w:r>
      <w:r>
        <w:br/>
        <w:t>SUCCESS, IN THEIR WORDS</w:t>
      </w:r>
    </w:p>
    <w:p w14:paraId="077A77BD" w14:textId="77777777" w:rsidR="00FB7634" w:rsidRDefault="004C15DB">
      <w:pPr>
        <w:pStyle w:val="Heading1"/>
      </w:pPr>
      <w:bookmarkStart w:id="17" w:name="X9a2ac81592ae8221560f208aeea87bfddf07ead"/>
      <w:bookmarkEnd w:id="15"/>
      <w:bookmarkEnd w:id="16"/>
      <w:r>
        <w:t>The strongest proof should come from the people doing the work.</w:t>
      </w:r>
    </w:p>
    <w:p w14:paraId="005050F3" w14:textId="77777777" w:rsidR="00FB7634" w:rsidRDefault="004C15DB">
      <w:pPr>
        <w:pStyle w:val="FirstParagraph"/>
      </w:pPr>
      <w:r>
        <w:t>A growing series of customer conversations will explore the challenge, the journey and what changed after implementation.</w:t>
      </w:r>
    </w:p>
    <w:p w14:paraId="243E321A" w14:textId="77777777" w:rsidR="00FB7634" w:rsidRDefault="004C15DB">
      <w:pPr>
        <w:pStyle w:val="BodyText"/>
      </w:pPr>
      <w:r>
        <w:rPr>
          <w:b/>
          <w:bCs/>
        </w:rPr>
        <w:t>Video structure</w:t>
      </w:r>
    </w:p>
    <w:p w14:paraId="0114CF4A" w14:textId="77777777" w:rsidR="00FB7634" w:rsidRDefault="004C15DB">
      <w:pPr>
        <w:pStyle w:val="BodyText"/>
      </w:pPr>
      <w:r>
        <w:rPr>
          <w:b/>
          <w:bCs/>
        </w:rPr>
        <w:t>01 — The Challenge</w:t>
      </w:r>
      <w:r>
        <w:br/>
        <w:t>What was getting in the way?</w:t>
      </w:r>
    </w:p>
    <w:p w14:paraId="16610275" w14:textId="77777777" w:rsidR="00FB7634" w:rsidRDefault="004C15DB">
      <w:pPr>
        <w:pStyle w:val="BodyText"/>
      </w:pPr>
      <w:r>
        <w:rPr>
          <w:b/>
          <w:bCs/>
        </w:rPr>
        <w:t>02 — Why iTANZ</w:t>
      </w:r>
      <w:r>
        <w:br/>
        <w:t>Why was iTANZ the right partner?</w:t>
      </w:r>
    </w:p>
    <w:p w14:paraId="22A7FB4E" w14:textId="77777777" w:rsidR="00FB7634" w:rsidRDefault="004C15DB">
      <w:pPr>
        <w:pStyle w:val="BodyText"/>
      </w:pPr>
      <w:r>
        <w:rPr>
          <w:b/>
          <w:bCs/>
        </w:rPr>
        <w:t>03 — What Changed</w:t>
      </w:r>
      <w:r>
        <w:br/>
        <w:t>What became simpler, stronger or more effective?</w:t>
      </w:r>
    </w:p>
    <w:p w14:paraId="2160922D" w14:textId="77777777" w:rsidR="00FB7634" w:rsidRDefault="004C15DB">
      <w:pPr>
        <w:pStyle w:val="BodyText"/>
      </w:pPr>
      <w:r>
        <w:rPr>
          <w:b/>
          <w:bCs/>
        </w:rPr>
        <w:t>04 — What Comes Next</w:t>
      </w:r>
      <w:r>
        <w:br/>
        <w:t>Where does the organization go from here?</w:t>
      </w:r>
    </w:p>
    <w:p w14:paraId="10D49856" w14:textId="77777777" w:rsidR="00FB7634" w:rsidRDefault="004C15DB">
      <w:pPr>
        <w:pStyle w:val="BodyText"/>
      </w:pPr>
      <w:r>
        <w:rPr>
          <w:b/>
          <w:bCs/>
        </w:rPr>
        <w:t>Recommended format:</w:t>
      </w:r>
      <w:r>
        <w:br/>
        <w:t>60–90 second executive/customer film</w:t>
      </w:r>
    </w:p>
    <w:p w14:paraId="46E4DE1E" w14:textId="77777777" w:rsidR="00FB7634" w:rsidRDefault="004C15DB">
      <w:pPr>
        <w:pStyle w:val="BodyText"/>
      </w:pPr>
      <w:r>
        <w:rPr>
          <w:b/>
          <w:bCs/>
        </w:rPr>
        <w:lastRenderedPageBreak/>
        <w:t>Placeholder CTA:</w:t>
      </w:r>
      <w:r>
        <w:t xml:space="preserve"> Customer Stories Coming Soon</w:t>
      </w:r>
    </w:p>
    <w:p w14:paraId="5529EFF0" w14:textId="1E355945" w:rsidR="00FB7634" w:rsidRDefault="004C15DB">
      <w:pPr>
        <w:pStyle w:val="BodyText"/>
      </w:pPr>
      <w:r>
        <w:rPr>
          <w:b/>
          <w:bCs/>
        </w:rPr>
        <w:t>UX direction:</w:t>
      </w:r>
      <w:r>
        <w:br/>
        <w:t>Design the video component now, but do not use fabricated quotes, stock “testimonial” actors or placeholder performance claims.</w:t>
      </w:r>
      <w:r w:rsidR="00FA134A">
        <w:br/>
      </w:r>
      <w:r w:rsidR="00FA134A">
        <w:br/>
      </w:r>
      <w:r w:rsidR="00FA134A" w:rsidRPr="00FA134A">
        <w:rPr>
          <w:b/>
          <w:bCs/>
        </w:rPr>
        <w:t>Static testimonial cards sub section</w:t>
      </w:r>
      <w:r w:rsidR="00FA134A">
        <w:br/>
      </w:r>
      <w:r w:rsidR="00FA134A">
        <w:br/>
        <w:t>Show three testimonial cards at a time with dummy text and</w:t>
      </w:r>
      <w:r w:rsidR="00DD0628">
        <w:t xml:space="preserve"> </w:t>
      </w:r>
      <w:r w:rsidR="00FA134A">
        <w:t xml:space="preserve">name on it </w:t>
      </w:r>
    </w:p>
    <w:p w14:paraId="44E6B3D6" w14:textId="77777777" w:rsidR="00FB7634" w:rsidRDefault="00441724">
      <w:r>
        <w:pict w14:anchorId="7A9A202A">
          <v:rect id="_x0000_i1032" style="width:0;height:1.5pt" o:hralign="center" o:hrstd="t" o:hr="t"/>
        </w:pict>
      </w:r>
    </w:p>
    <w:p w14:paraId="618DF6ED" w14:textId="77777777" w:rsidR="00FB7634" w:rsidRDefault="004C15DB">
      <w:pPr>
        <w:pStyle w:val="Heading3"/>
      </w:pPr>
      <w:bookmarkStart w:id="18" w:name="section-07-final-cta"/>
      <w:r>
        <w:t>SECTION 07 — FINAL CTA</w:t>
      </w:r>
    </w:p>
    <w:p w14:paraId="1E46C84D" w14:textId="77777777" w:rsidR="00FB7634" w:rsidRDefault="004C15DB">
      <w:pPr>
        <w:pStyle w:val="Heading1"/>
      </w:pPr>
      <w:bookmarkStart w:id="19" w:name="Xa4463ebb5fff78604e37f9c50453ed131175a87"/>
      <w:bookmarkEnd w:id="17"/>
      <w:bookmarkEnd w:id="18"/>
      <w:r>
        <w:t>Your next success story starts with understanding.</w:t>
      </w:r>
    </w:p>
    <w:p w14:paraId="1C7F0286" w14:textId="77777777" w:rsidR="00FB7634" w:rsidRDefault="004C15DB">
      <w:pPr>
        <w:pStyle w:val="FirstParagraph"/>
      </w:pPr>
      <w:r>
        <w:t>Tell us what is fragmented, difficult or holding your organization back.</w:t>
      </w:r>
    </w:p>
    <w:p w14:paraId="4F908C45" w14:textId="77777777" w:rsidR="00FB7634" w:rsidRDefault="004C15DB">
      <w:pPr>
        <w:pStyle w:val="BodyText"/>
      </w:pPr>
      <w:r>
        <w:t>We will start with the operating reality, then engineer what comes next.</w:t>
      </w:r>
    </w:p>
    <w:p w14:paraId="776218BE" w14:textId="77777777" w:rsidR="00FB7634" w:rsidRDefault="004C15DB">
      <w:pPr>
        <w:pStyle w:val="BodyText"/>
      </w:pPr>
      <w:r>
        <w:rPr>
          <w:b/>
          <w:bCs/>
        </w:rPr>
        <w:t>Primary CTA:</w:t>
      </w:r>
      <w:r>
        <w:t xml:space="preserve"> Start a Conversation</w:t>
      </w:r>
      <w:r>
        <w:br/>
      </w:r>
      <w:r>
        <w:rPr>
          <w:b/>
          <w:bCs/>
        </w:rPr>
        <w:t>Secondary CTA:</w:t>
      </w:r>
      <w:r>
        <w:t xml:space="preserve"> Explore Our Solutions</w:t>
      </w:r>
    </w:p>
    <w:p w14:paraId="2B1FC573" w14:textId="76AB6DC5" w:rsidR="00FB7634" w:rsidRDefault="00441724" w:rsidP="004C15DB">
      <w:r>
        <w:pict w14:anchorId="05D0F235">
          <v:rect id="_x0000_i1033" style="width:0;height:1.5pt" o:hralign="center" o:hrstd="t" o:hr="t"/>
        </w:pict>
      </w:r>
      <w:bookmarkStart w:id="20" w:name="content-principle"/>
      <w:bookmarkEnd w:id="19"/>
      <w:bookmarkEnd w:id="20"/>
    </w:p>
    <w:sectPr w:rsidR="00FB763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0644B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DE26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634"/>
    <w:rsid w:val="000941DA"/>
    <w:rsid w:val="000C4EC1"/>
    <w:rsid w:val="00134D70"/>
    <w:rsid w:val="00441724"/>
    <w:rsid w:val="004A1F77"/>
    <w:rsid w:val="004C15DB"/>
    <w:rsid w:val="00DD0628"/>
    <w:rsid w:val="00FA134A"/>
    <w:rsid w:val="00FB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2A10B"/>
  <w15:docId w15:val="{CCABA9E5-A1AF-44EB-B975-4FBC5A1B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A1F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4172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4417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votech.co.uk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Adnan Hussain</cp:lastModifiedBy>
  <cp:revision>7</cp:revision>
  <dcterms:created xsi:type="dcterms:W3CDTF">1970-01-01T00:00:00Z</dcterms:created>
  <dcterms:modified xsi:type="dcterms:W3CDTF">2026-08-18T09:35:00Z</dcterms:modified>
</cp:coreProperties>
</file>