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b/>
          <w:color w:val="246A73"/>
          <w:sz w:val="24"/>
        </w:rPr>
        <w:t>DATA QUALITY &amp;</w:t>
      </w:r>
    </w:p>
    <w:p>
      <w:pPr>
        <w:pStyle w:val="Title"/>
        <w:spacing w:after="100"/>
      </w:pPr>
      <w:r>
        <w:t>Preparation and Limitations</w:t>
      </w:r>
    </w:p>
    <w:p>
      <w:pPr>
        <w:spacing w:after="240"/>
      </w:pPr>
      <w:r>
        <w:rPr>
          <w:b/>
          <w:color w:val="475569"/>
          <w:sz w:val="22"/>
        </w:rPr>
        <w:t>Nexora Retail Nigeria Ltd. — Power BI portfolio project</w:t>
      </w:r>
    </w:p>
    <w:p>
      <w:pPr>
        <w:pStyle w:val="Heading1"/>
      </w:pPr>
      <w:r>
        <w:t>1. Purpose and scope</w:t>
      </w:r>
    </w:p>
    <w:p>
      <w:r>
        <w:t>This document records the main data-quality treatments applied during preparation of the Nexora Retail Power BI model and the material data conditions that remain relevant when interpreting the report. It distinguishes corrections made during cleaning from limitations that were retained and disclosed. The dashboard covers January 2025 to June 2026.</w:t>
      </w:r>
    </w:p>
    <w:p>
      <w:r>
        <w:t>The finalized dashboard passed its recorded 47-check QA process: 30 checks were verified against the model/data and 17 were confirmed through the report owner's manual tests. QA closure means the report behaved as tested; it does not mean every source-data limitation listed below was corrected.</w:t>
      </w:r>
    </w:p>
    <w:p>
      <w:pPr>
        <w:pStyle w:val="Heading1"/>
      </w:pPr>
      <w:r>
        <w:t>2. Data-quality treatments applied</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6324F"/>
          </w:tcPr>
          <w:p>
            <w:pPr>
              <w:spacing w:after="20"/>
            </w:pPr>
            <w:r/>
            <w:r>
              <w:rPr>
                <w:rFonts w:ascii="Aptos" w:hAnsi="Aptos"/>
                <w:b/>
                <w:color w:val="FFFFFF"/>
                <w:sz w:val="17"/>
              </w:rPr>
              <w:t>Table / area</w:t>
            </w:r>
          </w:p>
        </w:tc>
        <w:tc>
          <w:tcPr>
            <w:tcW w:type="dxa" w:w="3672"/>
            <w:vAlign w:val="center"/>
            <w:shd w:fill="16324F"/>
          </w:tcPr>
          <w:p>
            <w:pPr>
              <w:spacing w:after="20"/>
            </w:pPr>
            <w:r/>
            <w:r>
              <w:rPr>
                <w:rFonts w:ascii="Aptos" w:hAnsi="Aptos"/>
                <w:b/>
                <w:color w:val="FFFFFF"/>
                <w:sz w:val="17"/>
              </w:rPr>
              <w:t>Issue identified</w:t>
            </w:r>
          </w:p>
        </w:tc>
        <w:tc>
          <w:tcPr>
            <w:tcW w:type="dxa" w:w="4968"/>
            <w:vAlign w:val="center"/>
            <w:shd w:fill="16324F"/>
          </w:tcPr>
          <w:p>
            <w:pPr>
              <w:spacing w:after="20"/>
            </w:pPr>
            <w:r/>
            <w:r>
              <w:rPr>
                <w:rFonts w:ascii="Aptos" w:hAnsi="Aptos"/>
                <w:b/>
                <w:color w:val="FFFFFF"/>
                <w:sz w:val="17"/>
              </w:rPr>
              <w:t>Treatment applied</w:t>
            </w:r>
          </w:p>
        </w:tc>
      </w:tr>
      <w:tr>
        <w:tc>
          <w:tcPr>
            <w:tcW w:type="dxa" w:w="1800"/>
            <w:vAlign w:val="center"/>
          </w:tcPr>
          <w:p>
            <w:pPr>
              <w:spacing w:after="20"/>
            </w:pPr>
            <w:r/>
            <w:r>
              <w:rPr>
                <w:rFonts w:ascii="Aptos" w:hAnsi="Aptos"/>
                <w:b w:val="0"/>
                <w:sz w:val="16"/>
              </w:rPr>
              <w:t>Stores and SalesReps</w:t>
            </w:r>
          </w:p>
        </w:tc>
        <w:tc>
          <w:tcPr>
            <w:tcW w:type="dxa" w:w="3672"/>
            <w:vAlign w:val="center"/>
          </w:tcPr>
          <w:p>
            <w:pPr>
              <w:spacing w:after="20"/>
            </w:pPr>
            <w:r/>
            <w:r>
              <w:rPr>
                <w:rFonts w:ascii="Aptos" w:hAnsi="Aptos"/>
                <w:b w:val="0"/>
                <w:sz w:val="16"/>
              </w:rPr>
              <w:t>No import-format issue was recorded for these tables.</w:t>
            </w:r>
          </w:p>
        </w:tc>
        <w:tc>
          <w:tcPr>
            <w:tcW w:type="dxa" w:w="4968"/>
            <w:vAlign w:val="center"/>
          </w:tcPr>
          <w:p>
            <w:pPr>
              <w:spacing w:after="20"/>
            </w:pPr>
            <w:r/>
            <w:r>
              <w:rPr>
                <w:rFonts w:ascii="Aptos" w:hAnsi="Aptos"/>
                <w:b w:val="0"/>
                <w:sz w:val="16"/>
              </w:rPr>
              <w:t>Retained the imported structure after inspection.</w:t>
            </w:r>
          </w:p>
        </w:tc>
      </w:tr>
      <w:tr>
        <w:tc>
          <w:tcPr>
            <w:tcW w:type="dxa" w:w="1800"/>
            <w:vAlign w:val="center"/>
            <w:shd w:fill="F1F5F9"/>
          </w:tcPr>
          <w:p>
            <w:pPr>
              <w:spacing w:after="20"/>
            </w:pPr>
            <w:r/>
            <w:r>
              <w:rPr>
                <w:rFonts w:ascii="Aptos" w:hAnsi="Aptos"/>
                <w:b w:val="0"/>
                <w:sz w:val="16"/>
              </w:rPr>
              <w:t>Targets</w:t>
            </w:r>
          </w:p>
        </w:tc>
        <w:tc>
          <w:tcPr>
            <w:tcW w:type="dxa" w:w="3672"/>
            <w:vAlign w:val="center"/>
            <w:shd w:fill="F1F5F9"/>
          </w:tcPr>
          <w:p>
            <w:pPr>
              <w:spacing w:after="20"/>
            </w:pPr>
            <w:r/>
            <w:r>
              <w:rPr>
                <w:rFonts w:ascii="Aptos" w:hAnsi="Aptos"/>
                <w:b w:val="0"/>
                <w:sz w:val="16"/>
              </w:rPr>
              <w:t>Incorrect data types in TargetDate, SalesTarget and GrossProfitTarget.</w:t>
            </w:r>
          </w:p>
        </w:tc>
        <w:tc>
          <w:tcPr>
            <w:tcW w:type="dxa" w:w="4968"/>
            <w:vAlign w:val="center"/>
            <w:shd w:fill="F1F5F9"/>
          </w:tcPr>
          <w:p>
            <w:pPr>
              <w:spacing w:after="20"/>
            </w:pPr>
            <w:r/>
            <w:r>
              <w:rPr>
                <w:rFonts w:ascii="Aptos" w:hAnsi="Aptos"/>
                <w:b w:val="0"/>
                <w:sz w:val="16"/>
              </w:rPr>
              <w:t>Assigned appropriate date and numeric data types.</w:t>
            </w:r>
          </w:p>
        </w:tc>
      </w:tr>
      <w:tr>
        <w:tc>
          <w:tcPr>
            <w:tcW w:type="dxa" w:w="1800"/>
            <w:vAlign w:val="center"/>
          </w:tcPr>
          <w:p>
            <w:pPr>
              <w:spacing w:after="20"/>
            </w:pPr>
            <w:r/>
            <w:r>
              <w:rPr>
                <w:rFonts w:ascii="Aptos" w:hAnsi="Aptos"/>
                <w:b w:val="0"/>
                <w:sz w:val="16"/>
              </w:rPr>
              <w:t>Products</w:t>
            </w:r>
          </w:p>
        </w:tc>
        <w:tc>
          <w:tcPr>
            <w:tcW w:type="dxa" w:w="3672"/>
            <w:vAlign w:val="center"/>
          </w:tcPr>
          <w:p>
            <w:pPr>
              <w:spacing w:after="20"/>
            </w:pPr>
            <w:r/>
            <w:r>
              <w:rPr>
                <w:rFonts w:ascii="Aptos" w:hAnsi="Aptos"/>
                <w:b w:val="0"/>
                <w:sz w:val="16"/>
              </w:rPr>
              <w:t>Inconsistent category casing; incorrect types in fields including UnitCost, ListPrice and LaunchDate.</w:t>
            </w:r>
          </w:p>
        </w:tc>
        <w:tc>
          <w:tcPr>
            <w:tcW w:type="dxa" w:w="4968"/>
            <w:vAlign w:val="center"/>
          </w:tcPr>
          <w:p>
            <w:pPr>
              <w:spacing w:after="20"/>
            </w:pPr>
            <w:r/>
            <w:r>
              <w:rPr>
                <w:rFonts w:ascii="Aptos" w:hAnsi="Aptos"/>
                <w:b w:val="0"/>
                <w:sz w:val="16"/>
              </w:rPr>
              <w:t>Standardized category casing and assigned appropriate data types.</w:t>
            </w:r>
          </w:p>
        </w:tc>
      </w:tr>
      <w:tr>
        <w:tc>
          <w:tcPr>
            <w:tcW w:type="dxa" w:w="1800"/>
            <w:vAlign w:val="center"/>
            <w:shd w:fill="F1F5F9"/>
          </w:tcPr>
          <w:p>
            <w:pPr>
              <w:spacing w:after="20"/>
            </w:pPr>
            <w:r/>
            <w:r>
              <w:rPr>
                <w:rFonts w:ascii="Aptos" w:hAnsi="Aptos"/>
                <w:b w:val="0"/>
                <w:sz w:val="16"/>
              </w:rPr>
              <w:t>Products</w:t>
            </w:r>
          </w:p>
        </w:tc>
        <w:tc>
          <w:tcPr>
            <w:tcW w:type="dxa" w:w="3672"/>
            <w:vAlign w:val="center"/>
            <w:shd w:fill="F1F5F9"/>
          </w:tcPr>
          <w:p>
            <w:pPr>
              <w:spacing w:after="20"/>
            </w:pPr>
            <w:r/>
            <w:r>
              <w:rPr>
                <w:rFonts w:ascii="Aptos" w:hAnsi="Aptos"/>
                <w:b w:val="0"/>
                <w:sz w:val="16"/>
              </w:rPr>
              <w:t>Three source rows had missing brand values.</w:t>
            </w:r>
          </w:p>
        </w:tc>
        <w:tc>
          <w:tcPr>
            <w:tcW w:type="dxa" w:w="4968"/>
            <w:vAlign w:val="center"/>
            <w:shd w:fill="F1F5F9"/>
          </w:tcPr>
          <w:p>
            <w:pPr>
              <w:spacing w:after="20"/>
            </w:pPr>
            <w:r/>
            <w:r>
              <w:rPr>
                <w:rFonts w:ascii="Aptos" w:hAnsi="Aptos"/>
                <w:b w:val="0"/>
                <w:sz w:val="16"/>
              </w:rPr>
              <w:t>Created BrandClean and inferred the brand from the first word of ProductName after checking consistency against existing brand/product-name patterns. These are inferred values, not source-confirmed values; see limitations.</w:t>
            </w:r>
          </w:p>
        </w:tc>
      </w:tr>
      <w:tr>
        <w:tc>
          <w:tcPr>
            <w:tcW w:type="dxa" w:w="1800"/>
            <w:vAlign w:val="center"/>
          </w:tcPr>
          <w:p>
            <w:pPr>
              <w:spacing w:after="20"/>
            </w:pPr>
            <w:r/>
            <w:r>
              <w:rPr>
                <w:rFonts w:ascii="Aptos" w:hAnsi="Aptos"/>
                <w:b w:val="0"/>
                <w:sz w:val="16"/>
              </w:rPr>
              <w:t>Returns</w:t>
            </w:r>
          </w:p>
        </w:tc>
        <w:tc>
          <w:tcPr>
            <w:tcW w:type="dxa" w:w="3672"/>
            <w:vAlign w:val="center"/>
          </w:tcPr>
          <w:p>
            <w:pPr>
              <w:spacing w:after="20"/>
            </w:pPr>
            <w:r/>
            <w:r>
              <w:rPr>
                <w:rFonts w:ascii="Aptos" w:hAnsi="Aptos"/>
                <w:b w:val="0"/>
                <w:sz w:val="16"/>
              </w:rPr>
              <w:t>Incorrect data types, inconsistent casing in ReturnReason and inconsistent spacing in values such as “Incompatible / Unsuitable”.</w:t>
            </w:r>
          </w:p>
        </w:tc>
        <w:tc>
          <w:tcPr>
            <w:tcW w:type="dxa" w:w="4968"/>
            <w:vAlign w:val="center"/>
          </w:tcPr>
          <w:p>
            <w:pPr>
              <w:spacing w:after="20"/>
            </w:pPr>
            <w:r/>
            <w:r>
              <w:rPr>
                <w:rFonts w:ascii="Aptos" w:hAnsi="Aptos"/>
                <w:b w:val="0"/>
                <w:sz w:val="16"/>
              </w:rPr>
              <w:t>Corrected data types, standardized casing and normalized the spacing around the slash.</w:t>
            </w:r>
          </w:p>
        </w:tc>
      </w:tr>
      <w:tr>
        <w:tc>
          <w:tcPr>
            <w:tcW w:type="dxa" w:w="1800"/>
            <w:vAlign w:val="center"/>
            <w:shd w:fill="F1F5F9"/>
          </w:tcPr>
          <w:p>
            <w:pPr>
              <w:spacing w:after="20"/>
            </w:pPr>
            <w:r/>
            <w:r>
              <w:rPr>
                <w:rFonts w:ascii="Aptos" w:hAnsi="Aptos"/>
                <w:b w:val="0"/>
                <w:sz w:val="16"/>
              </w:rPr>
              <w:t>Returns</w:t>
            </w:r>
          </w:p>
        </w:tc>
        <w:tc>
          <w:tcPr>
            <w:tcW w:type="dxa" w:w="3672"/>
            <w:vAlign w:val="center"/>
            <w:shd w:fill="F1F5F9"/>
          </w:tcPr>
          <w:p>
            <w:pPr>
              <w:spacing w:after="20"/>
            </w:pPr>
            <w:r/>
            <w:r>
              <w:rPr>
                <w:rFonts w:ascii="Aptos" w:hAnsi="Aptos"/>
                <w:b w:val="0"/>
                <w:sz w:val="16"/>
              </w:rPr>
              <w:t>Duplicate rows were present.</w:t>
            </w:r>
          </w:p>
        </w:tc>
        <w:tc>
          <w:tcPr>
            <w:tcW w:type="dxa" w:w="4968"/>
            <w:vAlign w:val="center"/>
            <w:shd w:fill="F1F5F9"/>
          </w:tcPr>
          <w:p>
            <w:pPr>
              <w:spacing w:after="20"/>
            </w:pPr>
            <w:r/>
            <w:r>
              <w:rPr>
                <w:rFonts w:ascii="Aptos" w:hAnsi="Aptos"/>
                <w:b w:val="0"/>
                <w:sz w:val="16"/>
              </w:rPr>
              <w:t>Removed duplicates after inspection.</w:t>
            </w:r>
          </w:p>
        </w:tc>
      </w:tr>
      <w:tr>
        <w:tc>
          <w:tcPr>
            <w:tcW w:type="dxa" w:w="1800"/>
            <w:vAlign w:val="center"/>
          </w:tcPr>
          <w:p>
            <w:pPr>
              <w:spacing w:after="20"/>
            </w:pPr>
            <w:r/>
            <w:r>
              <w:rPr>
                <w:rFonts w:ascii="Aptos" w:hAnsi="Aptos"/>
                <w:b w:val="0"/>
                <w:sz w:val="16"/>
              </w:rPr>
              <w:t>Customers</w:t>
            </w:r>
          </w:p>
        </w:tc>
        <w:tc>
          <w:tcPr>
            <w:tcW w:type="dxa" w:w="3672"/>
            <w:vAlign w:val="center"/>
          </w:tcPr>
          <w:p>
            <w:pPr>
              <w:spacing w:after="20"/>
            </w:pPr>
            <w:r/>
            <w:r>
              <w:rPr>
                <w:rFonts w:ascii="Aptos" w:hAnsi="Aptos"/>
                <w:b w:val="0"/>
                <w:sz w:val="16"/>
              </w:rPr>
              <w:t>Missing City values; incorrect SignUpDate data type; inconsistent casing in city and segment values.</w:t>
            </w:r>
          </w:p>
        </w:tc>
        <w:tc>
          <w:tcPr>
            <w:tcW w:type="dxa" w:w="4968"/>
            <w:vAlign w:val="center"/>
          </w:tcPr>
          <w:p>
            <w:pPr>
              <w:spacing w:after="20"/>
            </w:pPr>
            <w:r/>
            <w:r>
              <w:rPr>
                <w:rFonts w:ascii="Aptos" w:hAnsi="Aptos"/>
                <w:b w:val="0"/>
                <w:sz w:val="16"/>
              </w:rPr>
              <w:t>Created CityClean with “Unspecified” for missing city, corrected SignUpDate type and standardized casing.</w:t>
            </w:r>
          </w:p>
        </w:tc>
      </w:tr>
      <w:tr>
        <w:tc>
          <w:tcPr>
            <w:tcW w:type="dxa" w:w="1800"/>
            <w:vAlign w:val="center"/>
            <w:shd w:fill="F1F5F9"/>
          </w:tcPr>
          <w:p>
            <w:pPr>
              <w:spacing w:after="20"/>
            </w:pPr>
            <w:r/>
            <w:r>
              <w:rPr>
                <w:rFonts w:ascii="Aptos" w:hAnsi="Aptos"/>
                <w:b w:val="0"/>
                <w:sz w:val="16"/>
              </w:rPr>
              <w:t>Customers</w:t>
            </w:r>
          </w:p>
        </w:tc>
        <w:tc>
          <w:tcPr>
            <w:tcW w:type="dxa" w:w="3672"/>
            <w:vAlign w:val="center"/>
            <w:shd w:fill="F1F5F9"/>
          </w:tcPr>
          <w:p>
            <w:pPr>
              <w:spacing w:after="20"/>
            </w:pPr>
            <w:r/>
            <w:r>
              <w:rPr>
                <w:rFonts w:ascii="Aptos" w:hAnsi="Aptos"/>
                <w:b w:val="0"/>
                <w:sz w:val="16"/>
              </w:rPr>
              <w:t>Duplicate rows were present.</w:t>
            </w:r>
          </w:p>
        </w:tc>
        <w:tc>
          <w:tcPr>
            <w:tcW w:type="dxa" w:w="4968"/>
            <w:vAlign w:val="center"/>
            <w:shd w:fill="F1F5F9"/>
          </w:tcPr>
          <w:p>
            <w:pPr>
              <w:spacing w:after="20"/>
            </w:pPr>
            <w:r/>
            <w:r>
              <w:rPr>
                <w:rFonts w:ascii="Aptos" w:hAnsi="Aptos"/>
                <w:b w:val="0"/>
                <w:sz w:val="16"/>
              </w:rPr>
              <w:t>Removed duplicates after inspection. Repeated customer names remain a separate identity limitation; see Section 4.</w:t>
            </w:r>
          </w:p>
        </w:tc>
      </w:tr>
      <w:tr>
        <w:tc>
          <w:tcPr>
            <w:tcW w:type="dxa" w:w="1800"/>
            <w:vAlign w:val="center"/>
          </w:tcPr>
          <w:p>
            <w:pPr>
              <w:spacing w:after="20"/>
            </w:pPr>
            <w:r/>
            <w:r>
              <w:rPr>
                <w:rFonts w:ascii="Aptos" w:hAnsi="Aptos"/>
                <w:b w:val="0"/>
                <w:sz w:val="16"/>
              </w:rPr>
              <w:t>Sales</w:t>
            </w:r>
          </w:p>
        </w:tc>
        <w:tc>
          <w:tcPr>
            <w:tcW w:type="dxa" w:w="3672"/>
            <w:vAlign w:val="center"/>
          </w:tcPr>
          <w:p>
            <w:pPr>
              <w:spacing w:after="20"/>
            </w:pPr>
            <w:r/>
            <w:r>
              <w:rPr>
                <w:rFonts w:ascii="Aptos" w:hAnsi="Aptos"/>
                <w:b w:val="0"/>
                <w:sz w:val="16"/>
              </w:rPr>
              <w:t>Incorrect data types; inconsistent casing in PaymentType and Channel; missing PaymentMethod; inconsistent channel spacing.</w:t>
            </w:r>
          </w:p>
        </w:tc>
        <w:tc>
          <w:tcPr>
            <w:tcW w:type="dxa" w:w="4968"/>
            <w:vAlign w:val="center"/>
          </w:tcPr>
          <w:p>
            <w:pPr>
              <w:spacing w:after="20"/>
            </w:pPr>
            <w:r/>
            <w:r>
              <w:rPr>
                <w:rFonts w:ascii="Aptos" w:hAnsi="Aptos"/>
                <w:b w:val="0"/>
                <w:sz w:val="16"/>
              </w:rPr>
              <w:t>Corrected data types, standardized casing, created PaymentMethodClean with “Unspecified” for missing values, and normalized channel labels such as InStore.</w:t>
            </w:r>
          </w:p>
        </w:tc>
      </w:tr>
      <w:tr>
        <w:tc>
          <w:tcPr>
            <w:tcW w:type="dxa" w:w="1800"/>
            <w:vAlign w:val="center"/>
            <w:shd w:fill="F1F5F9"/>
          </w:tcPr>
          <w:p>
            <w:pPr>
              <w:spacing w:after="20"/>
            </w:pPr>
            <w:r/>
            <w:r>
              <w:rPr>
                <w:rFonts w:ascii="Aptos" w:hAnsi="Aptos"/>
                <w:b w:val="0"/>
                <w:sz w:val="16"/>
              </w:rPr>
              <w:t>Sales</w:t>
            </w:r>
          </w:p>
        </w:tc>
        <w:tc>
          <w:tcPr>
            <w:tcW w:type="dxa" w:w="3672"/>
            <w:vAlign w:val="center"/>
            <w:shd w:fill="F1F5F9"/>
          </w:tcPr>
          <w:p>
            <w:pPr>
              <w:spacing w:after="20"/>
            </w:pPr>
            <w:r/>
            <w:r>
              <w:rPr>
                <w:rFonts w:ascii="Aptos" w:hAnsi="Aptos"/>
                <w:b w:val="0"/>
                <w:sz w:val="16"/>
              </w:rPr>
              <w:t>Potential duplicate rows.</w:t>
            </w:r>
          </w:p>
        </w:tc>
        <w:tc>
          <w:tcPr>
            <w:tcW w:type="dxa" w:w="4968"/>
            <w:vAlign w:val="center"/>
            <w:shd w:fill="F1F5F9"/>
          </w:tcPr>
          <w:p>
            <w:pPr>
              <w:spacing w:after="20"/>
            </w:pPr>
            <w:r/>
            <w:r>
              <w:rPr>
                <w:rFonts w:ascii="Aptos" w:hAnsi="Aptos"/>
                <w:b w:val="0"/>
                <w:sz w:val="16"/>
              </w:rPr>
              <w:t>Inspected duplicates and removed only confirmed duplicate sales lines. SalesLineId, not OrderID, is the unique sales-line key.</w:t>
            </w:r>
          </w:p>
        </w:tc>
      </w:tr>
    </w:tbl>
    <w:p/>
    <w:p>
      <w:pPr>
        <w:pStyle w:val="Heading1"/>
      </w:pPr>
      <w:r>
        <w:t>3. Model preparation and calculation notes</w:t>
      </w:r>
    </w:p>
    <w:p>
      <w:pPr>
        <w:pStyle w:val="ListBullet"/>
        <w:spacing w:after="40"/>
      </w:pPr>
      <w:r>
        <w:t>Returns were merged into the sales staging table using SalesLineId so returned quantities, reasons and refund amounts could be associated with the relevant sales line.</w:t>
      </w:r>
    </w:p>
    <w:p>
      <w:pPr>
        <w:pStyle w:val="ListBullet"/>
        <w:spacing w:after="40"/>
      </w:pPr>
      <w:r>
        <w:t>Derived fields included ReturnStatus, ReturnQtyClean, ReturnReasonClean, RefundAmountClean and ShippingDays.</w:t>
      </w:r>
    </w:p>
    <w:p>
      <w:pPr>
        <w:pStyle w:val="ListBullet"/>
        <w:spacing w:after="40"/>
      </w:pPr>
      <w:r>
        <w:t>ShippingDays is left blank for in-store transactions because those transactions do not have a delivery duration. These blanks are intentional, not missing delivery observations.</w:t>
      </w:r>
    </w:p>
    <w:p>
      <w:pPr>
        <w:pStyle w:val="ListBullet"/>
        <w:spacing w:after="40"/>
      </w:pPr>
      <w:r>
        <w:t>OrderID identifies an order and may appear on multiple sales lines. Deduplicating the sales table by OrderID would remove legitimate items. SalesLineId identifies an individual sales line.</w:t>
      </w:r>
    </w:p>
    <w:p>
      <w:pPr>
        <w:pStyle w:val="ListBullet"/>
        <w:spacing w:after="40"/>
      </w:pPr>
      <w:r>
        <w:t>The model's core arithmetic relationships were validated: Gross Sales − Discount Value = Net Sales; Net Sales − Refund Value = Net Revenue; Net Revenue − Net COGS = Gross Profit; Net Sales ÷ Sales Target = Target Achievement.</w:t>
      </w:r>
    </w:p>
    <w:p>
      <w:pPr>
        <w:pStyle w:val="ListBullet"/>
        <w:spacing w:after="40"/>
      </w:pPr>
      <w:r>
        <w:t>AverageDiscount% is sales-weighted: Discount Value divided by Gross Sales. Return rate, return incidence and refund rate are different measures and should not be used interchangeably.</w:t>
      </w:r>
    </w:p>
    <w:p>
      <w:pPr>
        <w:pStyle w:val="ListBullet"/>
        <w:spacing w:after="40"/>
      </w:pPr>
      <w:r>
        <w:t>Customer metrics use purchasing customers as the denominator where the metric is intended to describe customers who purchased in the selected context.</w:t>
      </w:r>
    </w:p>
    <w:p>
      <w:pPr>
        <w:pStyle w:val="ListBullet"/>
        <w:spacing w:after="40"/>
      </w:pPr>
      <w:r>
        <w:t>Customer segmentation uses RFM-style concepts: recency, purchase frequency and monetary value. Revenue thresholds use the 20th and 80th percentiles; recency bands are 0–30, 31–90, 91–180 and 181+ days. Frequency bands are 1, 2–4, 5–8 and 9+ orders, where used.</w:t>
      </w:r>
    </w:p>
    <w:p>
      <w:pPr>
        <w:pStyle w:val="Heading1"/>
      </w:pPr>
      <w:r>
        <w:t>4. Known data limitations retained</w:t>
      </w:r>
    </w:p>
    <w:p>
      <w:r>
        <w:t>The following conditions remain relevant to analysis. They should be disclosed in the portfolio and considered before making operational decisions from the dashboard.</w:t>
      </w:r>
    </w:p>
    <w:p>
      <w:pPr>
        <w:pStyle w:val="Heading2"/>
      </w:pPr>
      <w:r>
        <w:t>4.1 Sales dated before product launch or customer sign-up</w:t>
      </w:r>
    </w:p>
    <w:p>
      <w:pPr>
        <w:pStyle w:val="ListBullet"/>
        <w:spacing w:after="40"/>
      </w:pPr>
      <w:r>
        <w:t>764 sales lines are dated before the associated product launch date. Together, they represent approximately ₦351.6 million, or 10.6% of Net Revenue.</w:t>
      </w:r>
    </w:p>
    <w:p>
      <w:pPr>
        <w:pStyle w:val="ListBullet"/>
        <w:spacing w:after="40"/>
      </w:pPr>
      <w:r>
        <w:t>285 sales lines are dated before the associated customer's sign-up date. Together, they represent approximately ₦89.4 million, or 2.7% of Net Revenue.</w:t>
      </w:r>
    </w:p>
    <w:p>
      <w:pPr>
        <w:pStyle w:val="ListBullet"/>
        <w:spacing w:after="40"/>
      </w:pPr>
      <w:r>
        <w:t>These date sequences are inconsistent with the corresponding product/customer lifecycle dates. They were retained rather than silently removed or reassigned. The source data does not establish whether the transaction dates, launch dates or sign-up dates are wrong; therefore, the root cause is unknown.</w:t>
      </w:r>
    </w:p>
    <w:p>
      <w:pPr>
        <w:pStyle w:val="ListBullet"/>
        <w:spacing w:after="40"/>
      </w:pPr>
      <w:r>
        <w:t>These rows can affect launch-period analysis, customer acquisition timing, cohort analysis and any interpretation of activity before a customer or product was recorded as active.</w:t>
      </w:r>
    </w:p>
    <w:p>
      <w:pPr>
        <w:pStyle w:val="Heading2"/>
      </w:pPr>
      <w:r>
        <w:t>4.2 Inferred product brands</w:t>
      </w:r>
    </w:p>
    <w:p>
      <w:pPr>
        <w:pStyle w:val="ListBullet"/>
        <w:spacing w:after="40"/>
      </w:pPr>
      <w:r>
        <w:t>Three products have blank brand values in the raw data: PRD001 and PRD021 were assigned Orion, and PRD031 was assigned Apex based on the product-name pattern.</w:t>
      </w:r>
    </w:p>
    <w:p>
      <w:pPr>
        <w:pStyle w:val="ListBullet"/>
        <w:spacing w:after="40"/>
      </w:pPr>
      <w:r>
        <w:t>These inferred brands account for approximately ₦202.06 million, or 6.11% of Net Revenue.</w:t>
      </w:r>
    </w:p>
    <w:p>
      <w:pPr>
        <w:pStyle w:val="ListBullet"/>
        <w:spacing w:after="40"/>
      </w:pPr>
      <w:r>
        <w:t>Brand-level results involving these products depend on an inference and should be treated accordingly. The original source values were not available to confirm the missing brands.</w:t>
      </w:r>
    </w:p>
    <w:p>
      <w:pPr>
        <w:pStyle w:val="Heading2"/>
      </w:pPr>
      <w:r>
        <w:t>4.3 Missing city and payment-method values</w:t>
      </w:r>
    </w:p>
    <w:p>
      <w:pPr>
        <w:pStyle w:val="ListBullet"/>
        <w:spacing w:after="40"/>
      </w:pPr>
      <w:r>
        <w:t>Twelve customer records have no city value. They are displayed as “Unspecified” in the cleaned city field; their actual cities are unknown.</w:t>
      </w:r>
    </w:p>
    <w:p>
      <w:pPr>
        <w:pStyle w:val="ListBullet"/>
        <w:spacing w:after="40"/>
      </w:pPr>
      <w:r>
        <w:t>Twelve sales lines have no payment-method value. They are displayed as “Unspecified”; the actual payment method cannot be determined from the available data.</w:t>
      </w:r>
    </w:p>
    <w:p>
      <w:pPr>
        <w:pStyle w:val="ListBullet"/>
        <w:spacing w:after="40"/>
      </w:pPr>
      <w:r>
        <w:t>Geographic or payment-method comparisons exclude the ability to confidently attribute these records to a specific city or method.</w:t>
      </w:r>
    </w:p>
    <w:p>
      <w:pPr>
        <w:pStyle w:val="Heading2"/>
      </w:pPr>
      <w:r>
        <w:t>4.4 Repeated customer names and customer identity</w:t>
      </w:r>
    </w:p>
    <w:p>
      <w:pPr>
        <w:pStyle w:val="ListBullet"/>
        <w:spacing w:after="40"/>
      </w:pPr>
      <w:r>
        <w:t>Customer names are not unique: 314 names are duplicated in the source/model context. Visuals grouped by customer name can combine distinct customer records.</w:t>
      </w:r>
    </w:p>
    <w:p>
      <w:pPr>
        <w:pStyle w:val="ListBullet"/>
        <w:spacing w:after="40"/>
      </w:pPr>
      <w:r>
        <w:t>The customer matrix shows 994 name-level rows for 1,000 customer records because six same-name customers are merged into shared rows.</w:t>
      </w:r>
    </w:p>
    <w:p>
      <w:pPr>
        <w:pStyle w:val="ListBullet"/>
        <w:spacing w:after="40"/>
      </w:pPr>
      <w:r>
        <w:t>CustomerID should be used as the identity key wherever individual-customer analysis is required. Name-based counts, rankings and drill-through interpretations can be misleading if CustomerID is not included.</w:t>
      </w:r>
    </w:p>
    <w:p>
      <w:pPr>
        <w:pStyle w:val="ListBullet"/>
        <w:spacing w:after="40"/>
      </w:pPr>
      <w:r>
        <w:t>There is no dedicated customer drill-through page in the finalized report; the customer details table is used for detail inspection.</w:t>
      </w:r>
    </w:p>
    <w:p>
      <w:pPr>
        <w:pStyle w:val="Heading2"/>
      </w:pPr>
      <w:r>
        <w:t>4.5 Source-value inconsistencies</w:t>
      </w:r>
    </w:p>
    <w:p>
      <w:pPr>
        <w:pStyle w:val="ListBullet"/>
        <w:spacing w:after="40"/>
      </w:pPr>
      <w:r>
        <w:t>The source values “Sme” and “Pos” remain as casing variants noted during QA. They should not automatically be treated as separate business categories without checking the intended canonical labels.</w:t>
      </w:r>
    </w:p>
    <w:p>
      <w:pPr>
        <w:pStyle w:val="ListBullet"/>
        <w:spacing w:after="40"/>
      </w:pPr>
      <w:r>
        <w:t>Some labels were standardized in cleaned columns, but the raw source fields are retained/hidden for traceability. Analyses should use the cleaned fields where provided.</w:t>
      </w:r>
    </w:p>
    <w:p>
      <w:pPr>
        <w:pStyle w:val="Heading2"/>
      </w:pPr>
      <w:r>
        <w:t>4.6 Limited historical coverage</w:t>
      </w:r>
    </w:p>
    <w:p>
      <w:pPr>
        <w:pStyle w:val="ListBullet"/>
        <w:spacing w:after="40"/>
      </w:pPr>
      <w:r>
        <w:t>The dataset begins in January 2025 and ends in June 2026. There is no 2024 data, so a 2025 year-over-year comparison cannot be calculated from this dataset.</w:t>
      </w:r>
    </w:p>
    <w:p>
      <w:pPr>
        <w:pStyle w:val="ListBullet"/>
        <w:spacing w:after="40"/>
      </w:pPr>
      <w:r>
        <w:t>The report's H1 2026 versus H1 2025 comparison is a like-for-like six-month comparison, not a full-year comparison. It should not be described as annual performance.</w:t>
      </w:r>
    </w:p>
    <w:p>
      <w:pPr>
        <w:pStyle w:val="ListBullet"/>
        <w:spacing w:after="40"/>
      </w:pPr>
      <w:r>
        <w:t>The date table contains 546 contiguous calendar days from 1 January 2025 to 30 June 2026. QA also recorded one calendar day with no sales; a date with no sales should not be interpreted as a missing date-table row.</w:t>
      </w:r>
    </w:p>
    <w:p>
      <w:pPr>
        <w:pStyle w:val="Heading2"/>
      </w:pPr>
      <w:r>
        <w:t>4.7 Customer segments depend on the selected date context</w:t>
      </w:r>
    </w:p>
    <w:p>
      <w:pPr>
        <w:pStyle w:val="ListBullet"/>
        <w:spacing w:after="40"/>
      </w:pPr>
      <w:r>
        <w:t>The customer revenue percentile thresholds respond to the date filter. Across the full dataset, P20 is approximately ₦1.44 million and P80 approximately ₦4.80 million; with 2026 selected alone, P80 falls to approximately ₦1.73 million.</w:t>
      </w:r>
    </w:p>
    <w:p>
      <w:pPr>
        <w:pStyle w:val="ListBullet"/>
        <w:spacing w:after="40"/>
      </w:pPr>
      <w:r>
        <w:t>Under a 2026-only selection, 152 customers show “No Purchase History” in that selected period. This means no purchase is recorded in the selected context, not necessarily that the customer has never purchased in the full dataset.</w:t>
      </w:r>
    </w:p>
    <w:p>
      <w:pPr>
        <w:pStyle w:val="ListBullet"/>
        <w:spacing w:after="40"/>
      </w:pPr>
      <w:r>
        <w:t>Segment membership can therefore change when the date context changes. Compare segment counts only when the filter context and threshold basis are understood. The customer matrix currently has no date slicer, which limits this effect on that page.</w:t>
      </w:r>
    </w:p>
    <w:p>
      <w:pPr>
        <w:pStyle w:val="Heading2"/>
      </w:pPr>
      <w:r>
        <w:t>4.8 Sales targets have a coarser grain than sales transactions</w:t>
      </w:r>
    </w:p>
    <w:p>
      <w:pPr>
        <w:pStyle w:val="ListBullet"/>
        <w:spacing w:after="40"/>
      </w:pPr>
      <w:r>
        <w:t>Targets are recorded by store and month, not by individual day, product, sales representative, channel or customer attribute.</w:t>
      </w:r>
    </w:p>
    <w:p>
      <w:pPr>
        <w:pStyle w:val="ListBullet"/>
        <w:spacing w:after="40"/>
      </w:pPr>
      <w:r>
        <w:t>On the Executive page, Sales Target and Target Achievement intentionally return blank when Channel, customer Region or customer City filters are applied, because the model cannot validly allocate a store-month target to those dimensions.</w:t>
      </w:r>
    </w:p>
    <w:p>
      <w:pPr>
        <w:pStyle w:val="ListBullet"/>
        <w:spacing w:after="40"/>
      </w:pPr>
      <w:r>
        <w:t>A single-day date slicer can still display the monthly target rather than a daily target. The target data does not support a genuine daily target value; users should not interpret the monthly value as a daily target.</w:t>
      </w:r>
    </w:p>
    <w:p>
      <w:pPr>
        <w:pStyle w:val="ListBullet"/>
        <w:spacing w:after="40"/>
      </w:pPr>
      <w:r>
        <w:t>Target values are not suitable for attributing performance to product, channel or individual customer segments unless a defensible target-allocation method is introduced.</w:t>
      </w:r>
    </w:p>
    <w:p>
      <w:pPr>
        <w:pStyle w:val="Heading2"/>
      </w:pPr>
      <w:r>
        <w:t>4.9 Returns and operational-cause limitations</w:t>
      </w:r>
    </w:p>
    <w:p>
      <w:pPr>
        <w:pStyle w:val="ListBullet"/>
        <w:spacing w:after="40"/>
      </w:pPr>
      <w:r>
        <w:t>Return reason is a recorded category, not a verified root-cause investigation. For example, the “Defective” reason accounts for 194 returned units (approximately 34.3% of returned units) and about ₦46.3 million in refunds, but this does not establish the underlying manufacturing, handling, supplier or usage cause.</w:t>
      </w:r>
    </w:p>
    <w:p>
      <w:pPr>
        <w:pStyle w:val="ListBullet"/>
        <w:spacing w:after="40"/>
      </w:pPr>
      <w:r>
        <w:t>Sales-representative return rates are based on relatively small counts—approximately 8 to 33 returned units per representative—so small changes in returns can materially move the rate. Treat rep-level differences as indicative, not definitive evidence of performance.</w:t>
      </w:r>
    </w:p>
    <w:p>
      <w:pPr>
        <w:pStyle w:val="ListBullet"/>
        <w:spacing w:after="40"/>
      </w:pPr>
      <w:r>
        <w:t>Unit return rate (returned units ÷ units sold), customer return incidence (customers with returns ÷ purchasing customers) and refund rate (refund value relative to Net Sales) describe different phenomena. Their denominators differ.</w:t>
      </w:r>
    </w:p>
    <w:p>
      <w:pPr>
        <w:pStyle w:val="ListBullet"/>
        <w:spacing w:after="40"/>
      </w:pPr>
      <w:r>
        <w:t>The data supports an observed association between higher discount bands and lower gross margins, but does not by itself establish that discounts caused a change in sales volume or total demand.</w:t>
      </w:r>
    </w:p>
    <w:p>
      <w:pPr>
        <w:pStyle w:val="Heading2"/>
      </w:pPr>
      <w:r>
        <w:t>4.10 Concentration and generalization</w:t>
      </w:r>
    </w:p>
    <w:p>
      <w:pPr>
        <w:pStyle w:val="ListBullet"/>
        <w:spacing w:after="40"/>
      </w:pPr>
      <w:r>
        <w:t>Revenue is concentrated among a relatively small number of products and brands. Such concentration is an observed pattern in this dataset; the dashboard alone does not establish whether it is desirable, risky or sustainable.</w:t>
      </w:r>
    </w:p>
    <w:p>
      <w:pPr>
        <w:pStyle w:val="ListBullet"/>
        <w:spacing w:after="40"/>
      </w:pPr>
      <w:r>
        <w:t>A high average order value or lower return rate for a channel does not prove that the channel can scale profitably. Growth proposals require additional evidence about acquisition cost, capacity, incremental demand and contribution economics.</w:t>
      </w:r>
    </w:p>
    <w:p>
      <w:pPr>
        <w:pStyle w:val="ListBullet"/>
        <w:spacing w:after="40"/>
      </w:pPr>
      <w:r>
        <w:t>Store-level underperformance identifies where investigation may be warranted, but the dataset does not by itself establish the cause. For example, Kano's lower target achievement and higher unit return rate are signals for investigation, not proof of a causal relationship.</w:t>
      </w:r>
    </w:p>
    <w:p>
      <w:pPr>
        <w:pStyle w:val="Heading2"/>
      </w:pPr>
      <w:r>
        <w:t>4.11 Model and refresh considerations</w:t>
      </w:r>
    </w:p>
    <w:p>
      <w:pPr>
        <w:pStyle w:val="ListBullet"/>
        <w:spacing w:after="40"/>
      </w:pPr>
      <w:r>
        <w:t>The final model uses a source workbook path mapped through Google Drive for Desktop. Refreshing on another computer requires the source workbook to be available at a compatible path or the query source to be updated.</w:t>
      </w:r>
    </w:p>
    <w:p>
      <w:pPr>
        <w:pStyle w:val="ListBullet"/>
        <w:spacing w:after="40"/>
      </w:pPr>
      <w:r>
        <w:t>Cross-machine refresh and report-page manual checks were confirmed by the report owner. The QA record notes that independent test logs and environment details were not supplied; this is an evidence limitation, not a known refresh failure.</w:t>
      </w:r>
    </w:p>
    <w:p>
      <w:pPr>
        <w:pStyle w:val="ListBullet"/>
        <w:spacing w:after="40"/>
      </w:pPr>
      <w:r>
        <w:t>Targets and other monthly-grain fields should not be placed on daily axes as though they were daily observations. The dashboard's date hierarchy behaviour depends on the visual axes; the model does not contain user-defined hierarchies.</w:t>
      </w:r>
    </w:p>
    <w:p>
      <w:pPr>
        <w:pStyle w:val="Heading1"/>
      </w:pPr>
      <w:r>
        <w:t>5. Interpretation guidance</w:t>
      </w:r>
    </w:p>
    <w:p>
      <w:pPr>
        <w:pStyle w:val="ListBullet"/>
        <w:spacing w:after="40"/>
      </w:pPr>
      <w:r>
        <w:t>Separate observations from explanations. Describe what changed and where before proposing why it changed.</w:t>
      </w:r>
    </w:p>
    <w:p>
      <w:pPr>
        <w:pStyle w:val="ListBullet"/>
        <w:spacing w:after="40"/>
      </w:pPr>
      <w:r>
        <w:t>Use “associated with”, “coincides with”, “may indicate” or “warrants investigation” when the data does not establish causality.</w:t>
      </w:r>
    </w:p>
    <w:p>
      <w:pPr>
        <w:pStyle w:val="ListBullet"/>
        <w:spacing w:after="40"/>
      </w:pPr>
      <w:r>
        <w:t>Identify the metric and denominator explicitly: Net Sales is before refunds; Net Revenue is after refunds; Gross Profit is Net Revenue less Net COGS.</w:t>
      </w:r>
    </w:p>
    <w:p>
      <w:pPr>
        <w:pStyle w:val="ListBullet"/>
        <w:spacing w:after="40"/>
      </w:pPr>
      <w:r>
        <w:t>State the period and filter context for comparisons. Avoid comparing segment thresholds or performance figures calculated under different date selections without disclosure.</w:t>
      </w:r>
    </w:p>
    <w:p>
      <w:pPr>
        <w:pStyle w:val="ListBullet"/>
        <w:spacing w:after="40"/>
      </w:pPr>
      <w:r>
        <w:t>Use CustomerID for individual-customer analysis, SalesLineId for sales-line identity and the appropriate store-month grain for target comparisons.</w:t>
      </w:r>
    </w:p>
    <w:p>
      <w:pPr>
        <w:pStyle w:val="ListBullet"/>
        <w:spacing w:after="40"/>
      </w:pPr>
      <w:r>
        <w:t>Disclose the inferred brands and lifecycle-date inconsistencies wherever they materially affect a conclusion.</w:t>
      </w:r>
    </w:p>
    <w:p>
      <w:pPr>
        <w:pStyle w:val="Heading1"/>
      </w:pPr>
      <w:r>
        <w:t>6. QA status and disclosure</w:t>
      </w:r>
    </w:p>
    <w:p>
      <w:r>
        <w:t>The finalized dashboard QA report dated 14 October 2026 records 47 of 47 checks as passed, with no open QA items: 30 checks were verified against the model/data and 17 were confirmed by the report owner through manual testing. The QA report explicitly states that closure does not mean the known source-data conditions were corrected. This document records those conditions so the portfolio can be evaluated with appropriate context.</w:t>
      </w:r>
    </w:p>
    <w:p>
      <w:r>
        <w:t>Recommended portfolio disclosure: “The report passed its documented QA checks. Some source-data limitations remain, including sales dated before product launch or customer sign-up, three inferred product brands, missing city/payment method values, repeated customer names, inconsistent source labels, and limited historical coverage. These conditions are disclosed and were considered when interpreting the results.”</w:t>
      </w:r>
    </w:p>
    <w:p>
      <w:pPr>
        <w:pStyle w:val="Heading1"/>
      </w:pPr>
      <w:r>
        <w:t>7. Key validated context figures</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16324F"/>
          </w:tcPr>
          <w:p>
            <w:pPr>
              <w:spacing w:after="20"/>
            </w:pPr>
            <w:r/>
            <w:r>
              <w:rPr>
                <w:rFonts w:ascii="Aptos" w:hAnsi="Aptos"/>
                <w:b/>
                <w:color w:val="FFFFFF"/>
                <w:sz w:val="17"/>
              </w:rPr>
              <w:t>Measure / condition</w:t>
            </w:r>
          </w:p>
        </w:tc>
        <w:tc>
          <w:tcPr>
            <w:tcW w:type="dxa" w:w="6768"/>
            <w:vAlign w:val="center"/>
            <w:shd w:fill="16324F"/>
          </w:tcPr>
          <w:p>
            <w:pPr>
              <w:spacing w:after="20"/>
            </w:pPr>
            <w:r/>
            <w:r>
              <w:rPr>
                <w:rFonts w:ascii="Aptos" w:hAnsi="Aptos"/>
                <w:b/>
                <w:color w:val="FFFFFF"/>
                <w:sz w:val="17"/>
              </w:rPr>
              <w:t>Validated value or note</w:t>
            </w:r>
          </w:p>
        </w:tc>
      </w:tr>
      <w:tr>
        <w:tc>
          <w:tcPr>
            <w:tcW w:type="dxa" w:w="3456"/>
            <w:vAlign w:val="center"/>
          </w:tcPr>
          <w:p>
            <w:pPr>
              <w:spacing w:after="20"/>
            </w:pPr>
            <w:r/>
            <w:r>
              <w:rPr>
                <w:rFonts w:ascii="Aptos" w:hAnsi="Aptos"/>
                <w:b w:val="0"/>
                <w:sz w:val="16"/>
              </w:rPr>
              <w:t>Reporting period</w:t>
            </w:r>
          </w:p>
        </w:tc>
        <w:tc>
          <w:tcPr>
            <w:tcW w:type="dxa" w:w="6768"/>
            <w:vAlign w:val="center"/>
          </w:tcPr>
          <w:p>
            <w:pPr>
              <w:spacing w:after="20"/>
            </w:pPr>
            <w:r/>
            <w:r>
              <w:rPr>
                <w:rFonts w:ascii="Aptos" w:hAnsi="Aptos"/>
                <w:b w:val="0"/>
                <w:sz w:val="16"/>
              </w:rPr>
              <w:t>January 2025–June 2026</w:t>
            </w:r>
          </w:p>
        </w:tc>
      </w:tr>
      <w:tr>
        <w:tc>
          <w:tcPr>
            <w:tcW w:type="dxa" w:w="3456"/>
            <w:vAlign w:val="center"/>
            <w:shd w:fill="F1F5F9"/>
          </w:tcPr>
          <w:p>
            <w:pPr>
              <w:spacing w:after="20"/>
            </w:pPr>
            <w:r/>
            <w:r>
              <w:rPr>
                <w:rFonts w:ascii="Aptos" w:hAnsi="Aptos"/>
                <w:b w:val="0"/>
                <w:sz w:val="16"/>
              </w:rPr>
              <w:t>Net Revenue</w:t>
            </w:r>
          </w:p>
        </w:tc>
        <w:tc>
          <w:tcPr>
            <w:tcW w:type="dxa" w:w="6768"/>
            <w:vAlign w:val="center"/>
            <w:shd w:fill="F1F5F9"/>
          </w:tcPr>
          <w:p>
            <w:pPr>
              <w:spacing w:after="20"/>
            </w:pPr>
            <w:r/>
            <w:r>
              <w:rPr>
                <w:rFonts w:ascii="Aptos" w:hAnsi="Aptos"/>
                <w:b w:val="0"/>
                <w:sz w:val="16"/>
              </w:rPr>
              <w:t>₦3,305,513,480.50</w:t>
            </w:r>
          </w:p>
        </w:tc>
      </w:tr>
      <w:tr>
        <w:tc>
          <w:tcPr>
            <w:tcW w:type="dxa" w:w="3456"/>
            <w:vAlign w:val="center"/>
          </w:tcPr>
          <w:p>
            <w:pPr>
              <w:spacing w:after="20"/>
            </w:pPr>
            <w:r/>
            <w:r>
              <w:rPr>
                <w:rFonts w:ascii="Aptos" w:hAnsi="Aptos"/>
                <w:b w:val="0"/>
                <w:sz w:val="16"/>
              </w:rPr>
              <w:t>Gross Profit</w:t>
            </w:r>
          </w:p>
        </w:tc>
        <w:tc>
          <w:tcPr>
            <w:tcW w:type="dxa" w:w="6768"/>
            <w:vAlign w:val="center"/>
          </w:tcPr>
          <w:p>
            <w:pPr>
              <w:spacing w:after="20"/>
            </w:pPr>
            <w:r/>
            <w:r>
              <w:rPr>
                <w:rFonts w:ascii="Aptos" w:hAnsi="Aptos"/>
                <w:b w:val="0"/>
                <w:sz w:val="16"/>
              </w:rPr>
              <w:t>₦754,262,980.50</w:t>
            </w:r>
          </w:p>
        </w:tc>
      </w:tr>
      <w:tr>
        <w:tc>
          <w:tcPr>
            <w:tcW w:type="dxa" w:w="3456"/>
            <w:vAlign w:val="center"/>
            <w:shd w:fill="F1F5F9"/>
          </w:tcPr>
          <w:p>
            <w:pPr>
              <w:spacing w:after="20"/>
            </w:pPr>
            <w:r/>
            <w:r>
              <w:rPr>
                <w:rFonts w:ascii="Aptos" w:hAnsi="Aptos"/>
                <w:b w:val="0"/>
                <w:sz w:val="16"/>
              </w:rPr>
              <w:t>Orders / Units Sold</w:t>
            </w:r>
          </w:p>
        </w:tc>
        <w:tc>
          <w:tcPr>
            <w:tcW w:type="dxa" w:w="6768"/>
            <w:vAlign w:val="center"/>
            <w:shd w:fill="F1F5F9"/>
          </w:tcPr>
          <w:p>
            <w:pPr>
              <w:spacing w:after="20"/>
            </w:pPr>
            <w:r/>
            <w:r>
              <w:rPr>
                <w:rFonts w:ascii="Aptos" w:hAnsi="Aptos"/>
                <w:b w:val="0"/>
                <w:sz w:val="16"/>
              </w:rPr>
              <w:t>6,000 orders / 19,396 units</w:t>
            </w:r>
          </w:p>
        </w:tc>
      </w:tr>
      <w:tr>
        <w:tc>
          <w:tcPr>
            <w:tcW w:type="dxa" w:w="3456"/>
            <w:vAlign w:val="center"/>
          </w:tcPr>
          <w:p>
            <w:pPr>
              <w:spacing w:after="20"/>
            </w:pPr>
            <w:r/>
            <w:r>
              <w:rPr>
                <w:rFonts w:ascii="Aptos" w:hAnsi="Aptos"/>
                <w:b w:val="0"/>
                <w:sz w:val="16"/>
              </w:rPr>
              <w:t>Target Achievement</w:t>
            </w:r>
          </w:p>
        </w:tc>
        <w:tc>
          <w:tcPr>
            <w:tcW w:type="dxa" w:w="6768"/>
            <w:vAlign w:val="center"/>
          </w:tcPr>
          <w:p>
            <w:pPr>
              <w:spacing w:after="20"/>
            </w:pPr>
            <w:r/>
            <w:r>
              <w:rPr>
                <w:rFonts w:ascii="Aptos" w:hAnsi="Aptos"/>
                <w:b w:val="0"/>
                <w:sz w:val="16"/>
              </w:rPr>
              <w:t>96.90% (Net Sales against sales target)</w:t>
            </w:r>
          </w:p>
        </w:tc>
      </w:tr>
      <w:tr>
        <w:tc>
          <w:tcPr>
            <w:tcW w:type="dxa" w:w="3456"/>
            <w:vAlign w:val="center"/>
            <w:shd w:fill="F1F5F9"/>
          </w:tcPr>
          <w:p>
            <w:pPr>
              <w:spacing w:after="20"/>
            </w:pPr>
            <w:r/>
            <w:r>
              <w:rPr>
                <w:rFonts w:ascii="Aptos" w:hAnsi="Aptos"/>
                <w:b w:val="0"/>
                <w:sz w:val="16"/>
              </w:rPr>
              <w:t>Sales lines before product launch</w:t>
            </w:r>
          </w:p>
        </w:tc>
        <w:tc>
          <w:tcPr>
            <w:tcW w:type="dxa" w:w="6768"/>
            <w:vAlign w:val="center"/>
            <w:shd w:fill="F1F5F9"/>
          </w:tcPr>
          <w:p>
            <w:pPr>
              <w:spacing w:after="20"/>
            </w:pPr>
            <w:r/>
            <w:r>
              <w:rPr>
                <w:rFonts w:ascii="Aptos" w:hAnsi="Aptos"/>
                <w:b w:val="0"/>
                <w:sz w:val="16"/>
              </w:rPr>
              <w:t>764 lines; approximately ₦351.6M / 10.6% of Net Revenue</w:t>
            </w:r>
          </w:p>
        </w:tc>
      </w:tr>
      <w:tr>
        <w:tc>
          <w:tcPr>
            <w:tcW w:type="dxa" w:w="3456"/>
            <w:vAlign w:val="center"/>
          </w:tcPr>
          <w:p>
            <w:pPr>
              <w:spacing w:after="20"/>
            </w:pPr>
            <w:r/>
            <w:r>
              <w:rPr>
                <w:rFonts w:ascii="Aptos" w:hAnsi="Aptos"/>
                <w:b w:val="0"/>
                <w:sz w:val="16"/>
              </w:rPr>
              <w:t>Sales lines before customer sign-up</w:t>
            </w:r>
          </w:p>
        </w:tc>
        <w:tc>
          <w:tcPr>
            <w:tcW w:type="dxa" w:w="6768"/>
            <w:vAlign w:val="center"/>
          </w:tcPr>
          <w:p>
            <w:pPr>
              <w:spacing w:after="20"/>
            </w:pPr>
            <w:r/>
            <w:r>
              <w:rPr>
                <w:rFonts w:ascii="Aptos" w:hAnsi="Aptos"/>
                <w:b w:val="0"/>
                <w:sz w:val="16"/>
              </w:rPr>
              <w:t>285 lines; approximately ₦89.4M / 2.7% of Net Revenue</w:t>
            </w:r>
          </w:p>
        </w:tc>
      </w:tr>
      <w:tr>
        <w:tc>
          <w:tcPr>
            <w:tcW w:type="dxa" w:w="3456"/>
            <w:vAlign w:val="center"/>
            <w:shd w:fill="F1F5F9"/>
          </w:tcPr>
          <w:p>
            <w:pPr>
              <w:spacing w:after="20"/>
            </w:pPr>
            <w:r/>
            <w:r>
              <w:rPr>
                <w:rFonts w:ascii="Aptos" w:hAnsi="Aptos"/>
                <w:b w:val="0"/>
                <w:sz w:val="16"/>
              </w:rPr>
              <w:t>Inferred product brands</w:t>
            </w:r>
          </w:p>
        </w:tc>
        <w:tc>
          <w:tcPr>
            <w:tcW w:type="dxa" w:w="6768"/>
            <w:vAlign w:val="center"/>
            <w:shd w:fill="F1F5F9"/>
          </w:tcPr>
          <w:p>
            <w:pPr>
              <w:spacing w:after="20"/>
            </w:pPr>
            <w:r/>
            <w:r>
              <w:rPr>
                <w:rFonts w:ascii="Aptos" w:hAnsi="Aptos"/>
                <w:b w:val="0"/>
                <w:sz w:val="16"/>
              </w:rPr>
              <w:t>3 products; approximately ₦202.06M / 6.11% of Net Revenue</w:t>
            </w:r>
          </w:p>
        </w:tc>
      </w:tr>
      <w:tr>
        <w:tc>
          <w:tcPr>
            <w:tcW w:type="dxa" w:w="3456"/>
            <w:vAlign w:val="center"/>
          </w:tcPr>
          <w:p>
            <w:pPr>
              <w:spacing w:after="20"/>
            </w:pPr>
            <w:r/>
            <w:r>
              <w:rPr>
                <w:rFonts w:ascii="Aptos" w:hAnsi="Aptos"/>
                <w:b w:val="0"/>
                <w:sz w:val="16"/>
              </w:rPr>
              <w:t>Missing customer cities / payment methods</w:t>
            </w:r>
          </w:p>
        </w:tc>
        <w:tc>
          <w:tcPr>
            <w:tcW w:type="dxa" w:w="6768"/>
            <w:vAlign w:val="center"/>
          </w:tcPr>
          <w:p>
            <w:pPr>
              <w:spacing w:after="20"/>
            </w:pPr>
            <w:r/>
            <w:r>
              <w:rPr>
                <w:rFonts w:ascii="Aptos" w:hAnsi="Aptos"/>
                <w:b w:val="0"/>
                <w:sz w:val="16"/>
              </w:rPr>
              <w:t>12 customer records / 12 sales lines</w:t>
            </w:r>
          </w:p>
        </w:tc>
      </w:tr>
      <w:tr>
        <w:tc>
          <w:tcPr>
            <w:tcW w:type="dxa" w:w="3456"/>
            <w:vAlign w:val="center"/>
            <w:shd w:fill="F1F5F9"/>
          </w:tcPr>
          <w:p>
            <w:pPr>
              <w:spacing w:after="20"/>
            </w:pPr>
            <w:r/>
            <w:r>
              <w:rPr>
                <w:rFonts w:ascii="Aptos" w:hAnsi="Aptos"/>
                <w:b w:val="0"/>
                <w:sz w:val="16"/>
              </w:rPr>
              <w:t>Repeated customer names</w:t>
            </w:r>
          </w:p>
        </w:tc>
        <w:tc>
          <w:tcPr>
            <w:tcW w:type="dxa" w:w="6768"/>
            <w:vAlign w:val="center"/>
            <w:shd w:fill="F1F5F9"/>
          </w:tcPr>
          <w:p>
            <w:pPr>
              <w:spacing w:after="20"/>
            </w:pPr>
            <w:r/>
            <w:r>
              <w:rPr>
                <w:rFonts w:ascii="Aptos" w:hAnsi="Aptos"/>
                <w:b w:val="0"/>
                <w:sz w:val="16"/>
              </w:rPr>
              <w:t>314 duplicated names; six same-name customers merge rows in the name-level matrix</w:t>
            </w:r>
          </w:p>
        </w:tc>
      </w:tr>
      <w:tr>
        <w:tc>
          <w:tcPr>
            <w:tcW w:type="dxa" w:w="3456"/>
            <w:vAlign w:val="center"/>
          </w:tcPr>
          <w:p>
            <w:pPr>
              <w:spacing w:after="20"/>
            </w:pPr>
            <w:r/>
            <w:r>
              <w:rPr>
                <w:rFonts w:ascii="Aptos" w:hAnsi="Aptos"/>
                <w:b w:val="0"/>
                <w:sz w:val="16"/>
              </w:rPr>
              <w:t>QA closure</w:t>
            </w:r>
          </w:p>
        </w:tc>
        <w:tc>
          <w:tcPr>
            <w:tcW w:type="dxa" w:w="6768"/>
            <w:vAlign w:val="center"/>
          </w:tcPr>
          <w:p>
            <w:pPr>
              <w:spacing w:after="20"/>
            </w:pPr>
            <w:r/>
            <w:r>
              <w:rPr>
                <w:rFonts w:ascii="Aptos" w:hAnsi="Aptos"/>
                <w:b w:val="0"/>
                <w:sz w:val="16"/>
              </w:rPr>
              <w:t>47/47 checks passed; 30 verified by QA and 17 owner-confirmed manual checks</w:t>
            </w:r>
          </w:p>
        </w:tc>
      </w:tr>
    </w:tbl>
    <w:p/>
    <w:p/>
    <w:p>
      <w:pPr>
        <w:spacing w:before="100"/>
      </w:pPr>
      <w:r>
        <w:rPr>
          <w:b/>
        </w:rPr>
        <w:t xml:space="preserve">Source basis: </w:t>
      </w:r>
      <w:r>
        <w:t>“Module 3 Assignment Quality notes.docx” and “Nexora Retail Nig LTD — Dashboard finalized QA Report, 14 October 2026”. Figures are reproduced from those project materials; no external data was added.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Data Quality, Preparation and Limitations  •  Dashboard data window: Jan 2025–Jun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NEXORA RETAIL NIGERIA LTD.  |  PORTFOLIO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6A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46A7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