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700"/>
        <w:jc w:val="center"/>
      </w:pPr>
      <w:r>
        <w:rPr>
          <w:b/>
          <w:color w:val="5C3FBF"/>
          <w:sz w:val="24"/>
        </w:rPr>
        <w:t>LEDGER SHERLOCK</w:t>
      </w:r>
    </w:p>
    <w:p>
      <w:pPr>
        <w:widowControl/>
        <w:jc w:val="center"/>
      </w:pPr>
      <w:r>
        <w:rPr>
          <w:b/>
          <w:color w:val="24213A"/>
          <w:sz w:val="56"/>
        </w:rPr>
        <w:t>Panel Demo</w:t>
        <w:br/>
        <w:t>Click-by-Click Walkthrough</w:t>
      </w:r>
    </w:p>
    <w:p>
      <w:pPr>
        <w:widowControl/>
        <w:jc w:val="center"/>
      </w:pPr>
      <w:r>
        <w:rPr>
          <w:color w:val="5A5A64"/>
          <w:sz w:val="24"/>
        </w:rPr>
        <w:t>Simple English speaking script + exact cursor and click instructions</w:t>
      </w:r>
    </w:p>
    <w:tbl>
      <w:tblPr>
        <w:tblW w:type="auto" w:w="0"/>
        <w:jc w:val="center"/>
        <w:tblLook w:firstColumn="1" w:firstRow="1" w:lastColumn="0" w:lastRow="0" w:noHBand="0" w:noVBand="1" w:val="04A0"/>
      </w:tblPr>
      <w:tblGrid>
        <w:gridCol w:w="10512"/>
      </w:tblGrid>
      <w:tr>
        <w:tc>
          <w:tcPr>
            <w:tcW w:type="dxa" w:w="10512"/>
            <w:shd w:fill="EAF5D8"/>
          </w:tcPr>
          <w:p>
            <w:pPr>
              <w:spacing w:after="40"/>
            </w:pPr>
            <w:r>
              <w:rPr>
                <w:b/>
                <w:sz w:val="20"/>
              </w:rPr>
              <w:t>The demo promise</w:t>
              <w:br/>
            </w:r>
            <w:r>
              <w:rPr>
                <w:sz w:val="18"/>
              </w:rPr>
              <w:t>Show the panel the decision path, not only the final number: evidence comes in, rules explain what is safe, AI sees only the unresolved cases, and a human remains in control.</w:t>
            </w:r>
          </w:p>
        </w:tc>
      </w:tr>
    </w:tbl>
    <w:p>
      <w:pPr>
        <w:widowControl/>
        <w:spacing w:after="40"/>
      </w:pPr>
    </w:p>
    <w:p>
      <w:pPr>
        <w:widowControl/>
        <w:spacing w:after="100" w:line="259" w:lineRule="auto"/>
      </w:pPr>
      <w:r>
        <w:t>Use this document while recording your screen. Read the “Say” line naturally, then follow the cursor instruction. Do not rush the clicks. After each click, wait until the page visibly changes before explaining the result.</w:t>
      </w:r>
    </w:p>
    <w:p>
      <w:pPr>
        <w:pStyle w:val="Heading1"/>
        <w:widowControl/>
        <w:spacing w:before="200" w:after="80"/>
      </w:pPr>
      <w:r>
        <w:t>1. Before you start</w:t>
      </w:r>
    </w:p>
    <w:tbl>
      <w:tblPr>
        <w:tblStyle w:val="TableGrid"/>
        <w:tblW w:type="auto" w:w="0"/>
        <w:jc w:val="center"/>
        <w:tblLook w:firstColumn="1" w:firstRow="1" w:lastColumn="0" w:lastRow="0" w:noHBand="0" w:noVBand="1" w:val="04A0"/>
      </w:tblPr>
      <w:tblGrid>
        <w:gridCol w:w="5256"/>
        <w:gridCol w:w="5256"/>
      </w:tblGrid>
      <w:tr>
        <w:tc>
          <w:tcPr>
            <w:tcW w:type="dxa" w:w="1728"/>
            <w:vAlign w:val="center"/>
            <w:shd w:fill="24213A"/>
          </w:tcPr>
          <w:p>
            <w:pPr>
              <w:spacing w:after="40"/>
            </w:pPr>
            <w:r/>
            <w:r>
              <w:rPr>
                <w:b/>
                <w:color w:val="FFFFFF"/>
                <w:sz w:val="17"/>
              </w:rPr>
              <w:t>Prepare</w:t>
            </w:r>
          </w:p>
        </w:tc>
        <w:tc>
          <w:tcPr>
            <w:tcW w:type="dxa" w:w="8352"/>
            <w:vAlign w:val="center"/>
            <w:shd w:fill="24213A"/>
          </w:tcPr>
          <w:p>
            <w:pPr>
              <w:spacing w:after="40"/>
            </w:pPr>
            <w:r/>
            <w:r>
              <w:rPr>
                <w:b/>
                <w:color w:val="FFFFFF"/>
                <w:sz w:val="17"/>
              </w:rPr>
              <w:t>What to do</w:t>
            </w:r>
          </w:p>
        </w:tc>
      </w:tr>
      <w:tr>
        <w:tc>
          <w:tcPr>
            <w:tcW w:type="dxa" w:w="1728"/>
            <w:vAlign w:val="center"/>
            <w:shd w:fill="F6F7FB"/>
          </w:tcPr>
          <w:p>
            <w:pPr>
              <w:spacing w:after="40"/>
            </w:pPr>
            <w:r/>
            <w:r>
              <w:rPr>
                <w:b w:val="0"/>
                <w:sz w:val="17"/>
              </w:rPr>
              <w:t>Browser</w:t>
            </w:r>
          </w:p>
        </w:tc>
        <w:tc>
          <w:tcPr>
            <w:tcW w:type="dxa" w:w="8352"/>
            <w:vAlign w:val="center"/>
            <w:shd w:fill="F6F7FB"/>
          </w:tcPr>
          <w:p>
            <w:pPr>
              <w:spacing w:after="40"/>
            </w:pPr>
            <w:r/>
            <w:r>
              <w:rPr>
                <w:b w:val="0"/>
                <w:sz w:val="17"/>
              </w:rPr>
              <w:t>Open the Ledger Sherlock website in a desktop browser at a readable zoom. Keep the left navigation visible.</w:t>
            </w:r>
          </w:p>
        </w:tc>
      </w:tr>
      <w:tr>
        <w:tc>
          <w:tcPr>
            <w:tcW w:type="dxa" w:w="1728"/>
            <w:vAlign w:val="center"/>
            <w:shd w:fill="FFFFFF"/>
          </w:tcPr>
          <w:p>
            <w:pPr>
              <w:spacing w:after="40"/>
            </w:pPr>
            <w:r/>
            <w:r>
              <w:rPr>
                <w:b w:val="0"/>
                <w:sz w:val="17"/>
              </w:rPr>
              <w:t>Recording</w:t>
            </w:r>
          </w:p>
        </w:tc>
        <w:tc>
          <w:tcPr>
            <w:tcW w:type="dxa" w:w="8352"/>
            <w:vAlign w:val="center"/>
            <w:shd w:fill="FFFFFF"/>
          </w:tcPr>
          <w:p>
            <w:pPr>
              <w:spacing w:after="40"/>
            </w:pPr>
            <w:r/>
            <w:r>
              <w:rPr>
                <w:b w:val="0"/>
                <w:sz w:val="17"/>
              </w:rPr>
              <w:t>Record the full browser window or screen. Do not show your face. Keep the cursor visible and move it slowly.</w:t>
            </w:r>
          </w:p>
        </w:tc>
      </w:tr>
      <w:tr>
        <w:tc>
          <w:tcPr>
            <w:tcW w:type="dxa" w:w="1728"/>
            <w:vAlign w:val="center"/>
            <w:shd w:fill="F6F7FB"/>
          </w:tcPr>
          <w:p>
            <w:pPr>
              <w:spacing w:after="40"/>
            </w:pPr>
            <w:r/>
            <w:r>
              <w:rPr>
                <w:b w:val="0"/>
                <w:sz w:val="17"/>
              </w:rPr>
              <w:t>Demo identity</w:t>
            </w:r>
          </w:p>
        </w:tc>
        <w:tc>
          <w:tcPr>
            <w:tcW w:type="dxa" w:w="8352"/>
            <w:vAlign w:val="center"/>
            <w:shd w:fill="F6F7FB"/>
          </w:tcPr>
          <w:p>
            <w:pPr>
              <w:spacing w:after="40"/>
            </w:pPr>
            <w:r/>
            <w:r>
              <w:rPr>
                <w:b w:val="0"/>
                <w:sz w:val="17"/>
              </w:rPr>
              <w:t>The workspace shows Owais Khan and the finance-operations workspace. Keep this visible when you introduce the product.</w:t>
            </w:r>
          </w:p>
        </w:tc>
      </w:tr>
      <w:tr>
        <w:tc>
          <w:tcPr>
            <w:tcW w:type="dxa" w:w="1728"/>
            <w:vAlign w:val="center"/>
            <w:shd w:fill="FFFFFF"/>
          </w:tcPr>
          <w:p>
            <w:pPr>
              <w:spacing w:after="40"/>
            </w:pPr>
            <w:r/>
            <w:r>
              <w:rPr>
                <w:b w:val="0"/>
                <w:sz w:val="17"/>
              </w:rPr>
              <w:t>Important truth</w:t>
            </w:r>
          </w:p>
        </w:tc>
        <w:tc>
          <w:tcPr>
            <w:tcW w:type="dxa" w:w="8352"/>
            <w:vAlign w:val="center"/>
            <w:shd w:fill="FFFFFF"/>
          </w:tcPr>
          <w:p>
            <w:pPr>
              <w:spacing w:after="40"/>
            </w:pPr>
            <w:r/>
            <w:r>
              <w:rPr>
                <w:b w:val="0"/>
                <w:sz w:val="17"/>
              </w:rPr>
              <w:t>The Track 4 run is a synthetic 60-case evaluation. Secure upload and metadata storage are real, but uploaded CSVs are not yet automatically parsed into the matcher.</w:t>
            </w:r>
          </w:p>
        </w:tc>
      </w:tr>
    </w:tbl>
    <w:p>
      <w:pPr>
        <w:widowControl/>
        <w:spacing w:after="40"/>
      </w:pPr>
    </w:p>
    <w:tbl>
      <w:tblPr>
        <w:tblW w:type="auto" w:w="0"/>
        <w:jc w:val="center"/>
        <w:tblLook w:firstColumn="1" w:firstRow="1" w:lastColumn="0" w:lastRow="0" w:noHBand="0" w:noVBand="1" w:val="04A0"/>
      </w:tblPr>
      <w:tblGrid>
        <w:gridCol w:w="10512"/>
      </w:tblGrid>
      <w:tr>
        <w:tc>
          <w:tcPr>
            <w:tcW w:type="dxa" w:w="10512"/>
            <w:shd w:fill="FFF3D6"/>
          </w:tcPr>
          <w:p>
            <w:pPr>
              <w:spacing w:after="40"/>
            </w:pPr>
            <w:r>
              <w:rPr>
                <w:b/>
                <w:sz w:val="20"/>
              </w:rPr>
              <w:t>Natural speaking rule</w:t>
              <w:br/>
            </w:r>
            <w:r>
              <w:rPr>
                <w:sz w:val="18"/>
              </w:rPr>
              <w:t>Speak in short sentences. After saying “Let me show you,” stop speaking for one beat, move the cursor, click once, and then describe what appeared.</w:t>
            </w:r>
          </w:p>
        </w:tc>
      </w:tr>
    </w:tbl>
    <w:p>
      <w:pPr>
        <w:widowControl/>
        <w:spacing w:after="40"/>
      </w:pPr>
    </w:p>
    <w:p>
      <w:pPr>
        <w:pStyle w:val="Heading1"/>
        <w:widowControl/>
        <w:spacing w:before="200" w:after="80"/>
      </w:pPr>
      <w:r>
        <w:t>2. Opening: make the panel understand the problem</w:t>
      </w:r>
    </w:p>
    <w:p>
      <w:pPr>
        <w:widowControl/>
        <w:spacing w:after="100" w:line="259" w:lineRule="auto"/>
      </w:pPr>
      <w:r>
        <w:t>Start on Overview. Keep the pointer near the center of the page while you give the context.</w:t>
      </w:r>
    </w:p>
    <w:tbl>
      <w:tblPr>
        <w:tblStyle w:val="TableGrid"/>
        <w:tblW w:type="auto" w:w="0"/>
        <w:jc w:val="center"/>
        <w:tblLook w:firstColumn="1" w:firstRow="1" w:lastColumn="0" w:lastRow="0" w:noHBand="0" w:noVBand="1" w:val="04A0"/>
      </w:tblPr>
      <w:tblGrid>
        <w:gridCol w:w="3504"/>
        <w:gridCol w:w="3504"/>
        <w:gridCol w:w="3504"/>
      </w:tblGrid>
      <w:tr>
        <w:tc>
          <w:tcPr>
            <w:tcW w:type="dxa" w:w="3888"/>
            <w:vAlign w:val="center"/>
            <w:shd w:fill="24213A"/>
          </w:tcPr>
          <w:p>
            <w:pPr>
              <w:spacing w:after="40"/>
            </w:pPr>
            <w:r/>
            <w:r>
              <w:rPr>
                <w:b/>
                <w:color w:val="FFFFFF"/>
                <w:sz w:val="17"/>
              </w:rPr>
              <w:t>Say this</w:t>
            </w:r>
          </w:p>
        </w:tc>
        <w:tc>
          <w:tcPr>
            <w:tcW w:type="dxa" w:w="3240"/>
            <w:vAlign w:val="center"/>
            <w:shd w:fill="24213A"/>
          </w:tcPr>
          <w:p>
            <w:pPr>
              <w:spacing w:after="40"/>
            </w:pPr>
            <w:r/>
            <w:r>
              <w:rPr>
                <w:b/>
                <w:color w:val="FFFFFF"/>
                <w:sz w:val="17"/>
              </w:rPr>
              <w:t>Cursor / action</w:t>
            </w:r>
          </w:p>
        </w:tc>
        <w:tc>
          <w:tcPr>
            <w:tcW w:type="dxa" w:w="2952"/>
            <w:vAlign w:val="center"/>
            <w:shd w:fill="24213A"/>
          </w:tcPr>
          <w:p>
            <w:pPr>
              <w:spacing w:after="40"/>
            </w:pPr>
            <w:r/>
            <w:r>
              <w:rPr>
                <w:b/>
                <w:color w:val="FFFFFF"/>
                <w:sz w:val="17"/>
              </w:rPr>
              <w:t>What the panel should notice</w:t>
            </w:r>
          </w:p>
        </w:tc>
      </w:tr>
      <w:tr>
        <w:tc>
          <w:tcPr>
            <w:tcW w:type="dxa" w:w="3888"/>
            <w:vAlign w:val="center"/>
            <w:shd w:fill="F6F7FB"/>
          </w:tcPr>
          <w:p>
            <w:pPr>
              <w:spacing w:after="40"/>
            </w:pPr>
            <w:r/>
            <w:r>
              <w:rPr>
                <w:b w:val="0"/>
                <w:sz w:val="17"/>
              </w:rPr>
              <w:t>“Hello everyone. I am presenting Ledger Sherlock, an explainable finance reconciliation controller for settlement operations.”</w:t>
            </w:r>
          </w:p>
        </w:tc>
        <w:tc>
          <w:tcPr>
            <w:tcW w:type="dxa" w:w="3240"/>
            <w:vAlign w:val="center"/>
            <w:shd w:fill="F6F7FB"/>
          </w:tcPr>
          <w:p>
            <w:pPr>
              <w:spacing w:after="40"/>
            </w:pPr>
            <w:r/>
            <w:r>
              <w:rPr>
                <w:b w:val="0"/>
                <w:sz w:val="17"/>
              </w:rPr>
              <w:t>Do not click yet. Place the cursor near the heading “Reconciliation, under control.”</w:t>
            </w:r>
          </w:p>
        </w:tc>
        <w:tc>
          <w:tcPr>
            <w:tcW w:type="dxa" w:w="2952"/>
            <w:vAlign w:val="center"/>
            <w:shd w:fill="F6F7FB"/>
          </w:tcPr>
          <w:p>
            <w:pPr>
              <w:spacing w:after="40"/>
            </w:pPr>
            <w:r/>
            <w:r>
              <w:rPr>
                <w:b w:val="0"/>
                <w:sz w:val="17"/>
              </w:rPr>
              <w:t>This is a finance-control product, not a generic AI chatbot.</w:t>
            </w:r>
          </w:p>
        </w:tc>
      </w:tr>
      <w:tr>
        <w:tc>
          <w:tcPr>
            <w:tcW w:type="dxa" w:w="3888"/>
            <w:vAlign w:val="center"/>
            <w:shd w:fill="FFFFFF"/>
          </w:tcPr>
          <w:p>
            <w:pPr>
              <w:spacing w:after="40"/>
            </w:pPr>
            <w:r/>
            <w:r>
              <w:rPr>
                <w:b w:val="0"/>
                <w:sz w:val="17"/>
              </w:rPr>
              <w:t>“A business receives settlement, bank, and ERP records. These sources often do not match because of fees, refunds, timing differences, missing credits, or duplicates.”</w:t>
            </w:r>
          </w:p>
        </w:tc>
        <w:tc>
          <w:tcPr>
            <w:tcW w:type="dxa" w:w="3240"/>
            <w:vAlign w:val="center"/>
            <w:shd w:fill="FFFFFF"/>
          </w:tcPr>
          <w:p>
            <w:pPr>
              <w:spacing w:after="40"/>
            </w:pPr>
            <w:r/>
            <w:r>
              <w:rPr>
                <w:b w:val="0"/>
                <w:sz w:val="17"/>
              </w:rPr>
              <w:t>Move slowly over the three source cards inside the large control canvas: Settlement export, Bank credits, ERP ledger.</w:t>
            </w:r>
          </w:p>
        </w:tc>
        <w:tc>
          <w:tcPr>
            <w:tcW w:type="dxa" w:w="2952"/>
            <w:vAlign w:val="center"/>
            <w:shd w:fill="FFFFFF"/>
          </w:tcPr>
          <w:p>
            <w:pPr>
              <w:spacing w:after="40"/>
            </w:pPr>
            <w:r/>
            <w:r>
              <w:rPr>
                <w:b w:val="0"/>
                <w:sz w:val="17"/>
              </w:rPr>
              <w:t>The product starts from three evidence sources.</w:t>
            </w:r>
          </w:p>
        </w:tc>
      </w:tr>
      <w:tr>
        <w:tc>
          <w:tcPr>
            <w:tcW w:type="dxa" w:w="3888"/>
            <w:vAlign w:val="center"/>
            <w:shd w:fill="F6F7FB"/>
          </w:tcPr>
          <w:p>
            <w:pPr>
              <w:spacing w:after="40"/>
            </w:pPr>
            <w:r/>
            <w:r>
              <w:rPr>
                <w:b w:val="0"/>
                <w:sz w:val="17"/>
              </w:rPr>
              <w:t>“The difficult part is not only finding a match. The team must also know why it matched and what evidence supports it.”</w:t>
            </w:r>
          </w:p>
        </w:tc>
        <w:tc>
          <w:tcPr>
            <w:tcW w:type="dxa" w:w="3240"/>
            <w:vAlign w:val="center"/>
            <w:shd w:fill="F6F7FB"/>
          </w:tcPr>
          <w:p>
            <w:pPr>
              <w:spacing w:after="40"/>
            </w:pPr>
            <w:r/>
            <w:r>
              <w:rPr>
                <w:b w:val="0"/>
                <w:sz w:val="17"/>
              </w:rPr>
              <w:t>Move the cursor to the middle Evidence Trace panel without clicking.</w:t>
            </w:r>
          </w:p>
        </w:tc>
        <w:tc>
          <w:tcPr>
            <w:tcW w:type="dxa" w:w="2952"/>
            <w:vAlign w:val="center"/>
            <w:shd w:fill="F6F7FB"/>
          </w:tcPr>
          <w:p>
            <w:pPr>
              <w:spacing w:after="40"/>
            </w:pPr>
            <w:r/>
            <w:r>
              <w:rPr>
                <w:b w:val="0"/>
                <w:sz w:val="17"/>
              </w:rPr>
              <w:t>The middle panel explains the decision instead of hiding it.</w:t>
            </w:r>
          </w:p>
        </w:tc>
      </w:tr>
    </w:tbl>
    <w:p>
      <w:pPr>
        <w:widowControl/>
        <w:spacing w:after="40"/>
      </w:pPr>
    </w:p>
    <w:p>
      <w:pPr>
        <w:pStyle w:val="Heading1"/>
        <w:widowControl/>
        <w:spacing w:before="200" w:after="80"/>
      </w:pPr>
      <w:r>
        <w:t>3. Overview: show the complete control path</w:t>
      </w:r>
    </w:p>
    <w:p>
      <w:pPr>
        <w:widowControl/>
        <w:spacing w:after="100" w:line="259" w:lineRule="auto"/>
      </w:pPr>
      <w:r>
        <w:t>This is the strongest opening screen. Use the pointer as a guide: left, center, then right. Do not click immediately; let the panel absorb the layout.</w:t>
      </w:r>
    </w:p>
    <w:tbl>
      <w:tblPr>
        <w:tblStyle w:val="TableGrid"/>
        <w:tblW w:type="auto" w:w="0"/>
        <w:jc w:val="center"/>
        <w:tblLook w:firstColumn="1" w:firstRow="1" w:lastColumn="0" w:lastRow="0" w:noHBand="0" w:noVBand="1" w:val="04A0"/>
      </w:tblPr>
      <w:tblGrid>
        <w:gridCol w:w="3504"/>
        <w:gridCol w:w="3504"/>
        <w:gridCol w:w="3504"/>
      </w:tblGrid>
      <w:tr>
        <w:tc>
          <w:tcPr>
            <w:tcW w:type="dxa" w:w="3672"/>
            <w:vAlign w:val="center"/>
            <w:shd w:fill="24213A"/>
          </w:tcPr>
          <w:p>
            <w:pPr>
              <w:spacing w:after="40"/>
            </w:pPr>
            <w:r/>
            <w:r>
              <w:rPr>
                <w:b/>
                <w:color w:val="FFFFFF"/>
                <w:sz w:val="17"/>
              </w:rPr>
              <w:t>Say this</w:t>
            </w:r>
          </w:p>
        </w:tc>
        <w:tc>
          <w:tcPr>
            <w:tcW w:type="dxa" w:w="3456"/>
            <w:vAlign w:val="center"/>
            <w:shd w:fill="24213A"/>
          </w:tcPr>
          <w:p>
            <w:pPr>
              <w:spacing w:after="40"/>
            </w:pPr>
            <w:r/>
            <w:r>
              <w:rPr>
                <w:b/>
                <w:color w:val="FFFFFF"/>
                <w:sz w:val="17"/>
              </w:rPr>
              <w:t>Cursor / action</w:t>
            </w:r>
          </w:p>
        </w:tc>
        <w:tc>
          <w:tcPr>
            <w:tcW w:type="dxa" w:w="2952"/>
            <w:vAlign w:val="center"/>
            <w:shd w:fill="24213A"/>
          </w:tcPr>
          <w:p>
            <w:pPr>
              <w:spacing w:after="40"/>
            </w:pPr>
            <w:r/>
            <w:r>
              <w:rPr>
                <w:b/>
                <w:color w:val="FFFFFF"/>
                <w:sz w:val="17"/>
              </w:rPr>
              <w:t>Expected explanation</w:t>
            </w:r>
          </w:p>
        </w:tc>
      </w:tr>
      <w:tr>
        <w:tc>
          <w:tcPr>
            <w:tcW w:type="dxa" w:w="3672"/>
            <w:vAlign w:val="center"/>
            <w:shd w:fill="F6F7FB"/>
          </w:tcPr>
          <w:p>
            <w:pPr>
              <w:spacing w:after="40"/>
            </w:pPr>
            <w:r/>
            <w:r>
              <w:rPr>
                <w:b w:val="0"/>
                <w:sz w:val="17"/>
              </w:rPr>
              <w:t>“This is the main control view. On the left are settlement, bank, and ERP evidence.”</w:t>
            </w:r>
          </w:p>
        </w:tc>
        <w:tc>
          <w:tcPr>
            <w:tcW w:type="dxa" w:w="3456"/>
            <w:vAlign w:val="center"/>
            <w:shd w:fill="F6F7FB"/>
          </w:tcPr>
          <w:p>
            <w:pPr>
              <w:spacing w:after="40"/>
            </w:pPr>
            <w:r/>
            <w:r>
              <w:rPr>
                <w:b w:val="0"/>
                <w:sz w:val="17"/>
              </w:rPr>
              <w:t>Hover over each left source card for one second: Settlement export → Bank credits → ERP ledger.</w:t>
            </w:r>
          </w:p>
        </w:tc>
        <w:tc>
          <w:tcPr>
            <w:tcW w:type="dxa" w:w="2952"/>
            <w:vAlign w:val="center"/>
            <w:shd w:fill="F6F7FB"/>
          </w:tcPr>
          <w:p>
            <w:pPr>
              <w:spacing w:after="40"/>
            </w:pPr>
            <w:r/>
            <w:r>
              <w:rPr>
                <w:b w:val="0"/>
                <w:sz w:val="17"/>
              </w:rPr>
              <w:t>The input evidence is visible and separated by source.</w:t>
            </w:r>
          </w:p>
        </w:tc>
      </w:tr>
      <w:tr>
        <w:tc>
          <w:tcPr>
            <w:tcW w:type="dxa" w:w="3672"/>
            <w:vAlign w:val="center"/>
            <w:shd w:fill="FFFFFF"/>
          </w:tcPr>
          <w:p>
            <w:pPr>
              <w:spacing w:after="40"/>
            </w:pPr>
            <w:r/>
            <w:r>
              <w:rPr>
                <w:b w:val="0"/>
                <w:sz w:val="17"/>
              </w:rPr>
              <w:t>“In the center is the evidence trace. On the right are the controlled outcomes: what can be cleared and what needs a human.”</w:t>
            </w:r>
          </w:p>
        </w:tc>
        <w:tc>
          <w:tcPr>
            <w:tcW w:type="dxa" w:w="3456"/>
            <w:vAlign w:val="center"/>
            <w:shd w:fill="FFFFFF"/>
          </w:tcPr>
          <w:p>
            <w:pPr>
              <w:spacing w:after="40"/>
            </w:pPr>
            <w:r/>
            <w:r>
              <w:rPr>
                <w:b w:val="0"/>
                <w:sz w:val="17"/>
              </w:rPr>
              <w:t>Move across the center trace, then hover over Cleared automatically and Human review on the right.</w:t>
            </w:r>
          </w:p>
        </w:tc>
        <w:tc>
          <w:tcPr>
            <w:tcW w:type="dxa" w:w="2952"/>
            <w:vAlign w:val="center"/>
            <w:shd w:fill="FFFFFF"/>
          </w:tcPr>
          <w:p>
            <w:pPr>
              <w:spacing w:after="40"/>
            </w:pPr>
            <w:r/>
            <w:r>
              <w:rPr>
                <w:b w:val="0"/>
                <w:sz w:val="17"/>
              </w:rPr>
              <w:t>The product separates evidence, matching logic, and outcomes.</w:t>
            </w:r>
          </w:p>
        </w:tc>
      </w:tr>
      <w:tr>
        <w:tc>
          <w:tcPr>
            <w:tcW w:type="dxa" w:w="3672"/>
            <w:vAlign w:val="center"/>
            <w:shd w:fill="F6F7FB"/>
          </w:tcPr>
          <w:p>
            <w:pPr>
              <w:spacing w:after="40"/>
            </w:pPr>
            <w:r/>
            <w:r>
              <w:rPr>
                <w:b w:val="0"/>
                <w:sz w:val="17"/>
              </w:rPr>
              <w:t>“This is not just a match number. It shows the decision path behind the number.”</w:t>
            </w:r>
          </w:p>
        </w:tc>
        <w:tc>
          <w:tcPr>
            <w:tcW w:type="dxa" w:w="3456"/>
            <w:vAlign w:val="center"/>
            <w:shd w:fill="F6F7FB"/>
          </w:tcPr>
          <w:p>
            <w:pPr>
              <w:spacing w:after="40"/>
            </w:pPr>
            <w:r/>
            <w:r>
              <w:rPr>
                <w:b w:val="0"/>
                <w:sz w:val="17"/>
              </w:rPr>
              <w:t>Place cursor over the green Resolved by rule box, then pause.</w:t>
            </w:r>
          </w:p>
        </w:tc>
        <w:tc>
          <w:tcPr>
            <w:tcW w:type="dxa" w:w="2952"/>
            <w:vAlign w:val="center"/>
            <w:shd w:fill="F6F7FB"/>
          </w:tcPr>
          <w:p>
            <w:pPr>
              <w:spacing w:after="40"/>
            </w:pPr>
            <w:r/>
            <w:r>
              <w:rPr>
                <w:b w:val="0"/>
                <w:sz w:val="17"/>
              </w:rPr>
              <w:t>The visible rule label makes the automatic decision explainable.</w:t>
            </w:r>
          </w:p>
        </w:tc>
      </w:tr>
      <w:tr>
        <w:tc>
          <w:tcPr>
            <w:tcW w:type="dxa" w:w="3672"/>
            <w:vAlign w:val="center"/>
            <w:shd w:fill="FFFFFF"/>
          </w:tcPr>
          <w:p>
            <w:pPr>
              <w:spacing w:after="40"/>
            </w:pPr>
            <w:r/>
            <w:r>
              <w:rPr>
                <w:b w:val="0"/>
                <w:sz w:val="17"/>
              </w:rPr>
              <w:t>“Notice the footer: three inputs verified and zero unsafe auto-actions.”</w:t>
            </w:r>
          </w:p>
        </w:tc>
        <w:tc>
          <w:tcPr>
            <w:tcW w:type="dxa" w:w="3456"/>
            <w:vAlign w:val="center"/>
            <w:shd w:fill="FFFFFF"/>
          </w:tcPr>
          <w:p>
            <w:pPr>
              <w:spacing w:after="40"/>
            </w:pPr>
            <w:r/>
            <w:r>
              <w:rPr>
                <w:b w:val="0"/>
                <w:sz w:val="17"/>
              </w:rPr>
              <w:t>Move to the proof-status footer at the bottom of the canvas.</w:t>
            </w:r>
          </w:p>
        </w:tc>
        <w:tc>
          <w:tcPr>
            <w:tcW w:type="dxa" w:w="2952"/>
            <w:vAlign w:val="center"/>
            <w:shd w:fill="FFFFFF"/>
          </w:tcPr>
          <w:p>
            <w:pPr>
              <w:spacing w:after="40"/>
            </w:pPr>
            <w:r/>
            <w:r>
              <w:rPr>
                <w:b w:val="0"/>
                <w:sz w:val="17"/>
              </w:rPr>
              <w:t>The demo emphasizes safety and traceability, not only speed.</w:t>
            </w:r>
          </w:p>
        </w:tc>
      </w:tr>
    </w:tbl>
    <w:p>
      <w:pPr>
        <w:widowControl/>
        <w:spacing w:after="40"/>
      </w:pPr>
    </w:p>
    <w:tbl>
      <w:tblPr>
        <w:tblW w:type="auto" w:w="0"/>
        <w:jc w:val="center"/>
        <w:tblLook w:firstColumn="1" w:firstRow="1" w:lastColumn="0" w:lastRow="0" w:noHBand="0" w:noVBand="1" w:val="04A0"/>
      </w:tblPr>
      <w:tblGrid>
        <w:gridCol w:w="10512"/>
      </w:tblGrid>
      <w:tr>
        <w:tc>
          <w:tcPr>
            <w:tcW w:type="dxa" w:w="10512"/>
            <w:shd w:fill="EAF5D8"/>
          </w:tcPr>
          <w:p>
            <w:pPr>
              <w:spacing w:after="40"/>
            </w:pPr>
            <w:r>
              <w:rPr>
                <w:b/>
                <w:sz w:val="20"/>
              </w:rPr>
              <w:t>Transition line</w:t>
              <w:br/>
            </w:r>
            <w:r>
              <w:rPr>
                <w:sz w:val="18"/>
              </w:rPr>
              <w:t>Say: “Let me show you what happens when I open the actual reconciliation workflow.” Then move to the left navigation.</w:t>
            </w:r>
          </w:p>
        </w:tc>
      </w:tr>
    </w:tbl>
    <w:p>
      <w:pPr>
        <w:widowControl/>
        <w:spacing w:after="40"/>
      </w:pPr>
    </w:p>
    <w:p>
      <w:pPr>
        <w:pStyle w:val="Heading1"/>
        <w:widowControl/>
        <w:spacing w:before="200" w:after="80"/>
      </w:pPr>
      <w:r>
        <w:t>4. Reconciliation: run the proof loop</w:t>
      </w:r>
    </w:p>
    <w:p>
      <w:pPr>
        <w:widowControl/>
        <w:spacing w:after="100" w:line="259" w:lineRule="auto"/>
      </w:pPr>
      <w:r>
        <w:t>This is the most important live interaction. Open it from the left rail, then run the measured batch. The panel should see a clear Ready → Running → Measured Result flow.</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504"/>
            <w:vAlign w:val="center"/>
            <w:shd w:fill="24213A"/>
          </w:tcPr>
          <w:p>
            <w:pPr>
              <w:spacing w:after="40"/>
            </w:pPr>
            <w:r/>
            <w:r>
              <w:rPr>
                <w:b/>
                <w:color w:val="FFFFFF"/>
                <w:sz w:val="17"/>
              </w:rPr>
              <w:t>Step</w:t>
            </w:r>
          </w:p>
        </w:tc>
        <w:tc>
          <w:tcPr>
            <w:tcW w:type="dxa" w:w="3096"/>
            <w:vAlign w:val="center"/>
            <w:shd w:fill="24213A"/>
          </w:tcPr>
          <w:p>
            <w:pPr>
              <w:spacing w:after="40"/>
            </w:pPr>
            <w:r/>
            <w:r>
              <w:rPr>
                <w:b/>
                <w:color w:val="FFFFFF"/>
                <w:sz w:val="17"/>
              </w:rPr>
              <w:t>Say this</w:t>
            </w:r>
          </w:p>
        </w:tc>
        <w:tc>
          <w:tcPr>
            <w:tcW w:type="dxa" w:w="3528"/>
            <w:vAlign w:val="center"/>
            <w:shd w:fill="24213A"/>
          </w:tcPr>
          <w:p>
            <w:pPr>
              <w:spacing w:after="40"/>
            </w:pPr>
            <w:r/>
            <w:r>
              <w:rPr>
                <w:b/>
                <w:color w:val="FFFFFF"/>
                <w:sz w:val="17"/>
              </w:rPr>
              <w:t>Cursor / click</w:t>
            </w:r>
          </w:p>
        </w:tc>
        <w:tc>
          <w:tcPr>
            <w:tcW w:type="dxa" w:w="2952"/>
            <w:vAlign w:val="center"/>
            <w:shd w:fill="24213A"/>
          </w:tcPr>
          <w:p>
            <w:pPr>
              <w:spacing w:after="40"/>
            </w:pPr>
            <w:r/>
            <w:r>
              <w:rPr>
                <w:b/>
                <w:color w:val="FFFFFF"/>
                <w:sz w:val="17"/>
              </w:rPr>
              <w:t>What happens</w:t>
            </w:r>
          </w:p>
        </w:tc>
      </w:tr>
      <w:tr>
        <w:tc>
          <w:tcPr>
            <w:tcW w:type="dxa" w:w="504"/>
            <w:vAlign w:val="center"/>
            <w:shd w:fill="F6F7FB"/>
          </w:tcPr>
          <w:p>
            <w:pPr>
              <w:spacing w:after="40"/>
            </w:pPr>
            <w:r/>
            <w:r>
              <w:rPr>
                <w:b w:val="0"/>
                <w:sz w:val="17"/>
              </w:rPr>
              <w:t>1</w:t>
            </w:r>
          </w:p>
        </w:tc>
        <w:tc>
          <w:tcPr>
            <w:tcW w:type="dxa" w:w="3096"/>
            <w:vAlign w:val="center"/>
            <w:shd w:fill="F6F7FB"/>
          </w:tcPr>
          <w:p>
            <w:pPr>
              <w:spacing w:after="40"/>
            </w:pPr>
            <w:r/>
            <w:r>
              <w:rPr>
                <w:b w:val="0"/>
                <w:sz w:val="17"/>
              </w:rPr>
              <w:t>“Let me show you the Reconciliation screen.”</w:t>
            </w:r>
          </w:p>
        </w:tc>
        <w:tc>
          <w:tcPr>
            <w:tcW w:type="dxa" w:w="3528"/>
            <w:vAlign w:val="center"/>
            <w:shd w:fill="F6F7FB"/>
          </w:tcPr>
          <w:p>
            <w:pPr>
              <w:spacing w:after="40"/>
            </w:pPr>
            <w:r/>
            <w:r>
              <w:rPr>
                <w:b w:val="0"/>
                <w:sz w:val="17"/>
              </w:rPr>
              <w:t>Move to left navigation → click Reconciliation.</w:t>
            </w:r>
          </w:p>
        </w:tc>
        <w:tc>
          <w:tcPr>
            <w:tcW w:type="dxa" w:w="2952"/>
            <w:vAlign w:val="center"/>
            <w:shd w:fill="F6F7FB"/>
          </w:tcPr>
          <w:p>
            <w:pPr>
              <w:spacing w:after="40"/>
            </w:pPr>
            <w:r/>
            <w:r>
              <w:rPr>
                <w:b w:val="0"/>
                <w:sz w:val="17"/>
              </w:rPr>
              <w:t>The Reconciliation page opens with the Track 4 evaluated finance-operations loop.</w:t>
            </w:r>
          </w:p>
        </w:tc>
      </w:tr>
      <w:tr>
        <w:tc>
          <w:tcPr>
            <w:tcW w:type="dxa" w:w="504"/>
            <w:vAlign w:val="center"/>
            <w:shd w:fill="FFFFFF"/>
          </w:tcPr>
          <w:p>
            <w:pPr>
              <w:spacing w:after="40"/>
            </w:pPr>
            <w:r/>
            <w:r>
              <w:rPr>
                <w:b w:val="0"/>
                <w:sz w:val="17"/>
              </w:rPr>
              <w:t>2</w:t>
            </w:r>
          </w:p>
        </w:tc>
        <w:tc>
          <w:tcPr>
            <w:tcW w:type="dxa" w:w="3096"/>
            <w:vAlign w:val="center"/>
            <w:shd w:fill="FFFFFF"/>
          </w:tcPr>
          <w:p>
            <w:pPr>
              <w:spacing w:after="40"/>
            </w:pPr>
            <w:r/>
            <w:r>
              <w:rPr>
                <w:b w:val="0"/>
                <w:sz w:val="17"/>
              </w:rPr>
              <w:t>“Here are the three inputs for this controlled evaluation.”</w:t>
            </w:r>
          </w:p>
        </w:tc>
        <w:tc>
          <w:tcPr>
            <w:tcW w:type="dxa" w:w="3528"/>
            <w:vAlign w:val="center"/>
            <w:shd w:fill="FFFFFF"/>
          </w:tcPr>
          <w:p>
            <w:pPr>
              <w:spacing w:after="40"/>
            </w:pPr>
            <w:r/>
            <w:r>
              <w:rPr>
                <w:b w:val="0"/>
                <w:sz w:val="17"/>
              </w:rPr>
              <w:t>Hover over Settlement export, Bank-credit window, and ERP ledger source cards.</w:t>
            </w:r>
          </w:p>
        </w:tc>
        <w:tc>
          <w:tcPr>
            <w:tcW w:type="dxa" w:w="2952"/>
            <w:vAlign w:val="center"/>
            <w:shd w:fill="FFFFFF"/>
          </w:tcPr>
          <w:p>
            <w:pPr>
              <w:spacing w:after="40"/>
            </w:pPr>
            <w:r/>
            <w:r>
              <w:rPr>
                <w:b w:val="0"/>
                <w:sz w:val="17"/>
              </w:rPr>
              <w:t>The source cards show the evidence types used in the test.</w:t>
            </w:r>
          </w:p>
        </w:tc>
      </w:tr>
      <w:tr>
        <w:tc>
          <w:tcPr>
            <w:tcW w:type="dxa" w:w="504"/>
            <w:vAlign w:val="center"/>
            <w:shd w:fill="F6F7FB"/>
          </w:tcPr>
          <w:p>
            <w:pPr>
              <w:spacing w:after="40"/>
            </w:pPr>
            <w:r/>
            <w:r>
              <w:rPr>
                <w:b w:val="0"/>
                <w:sz w:val="17"/>
              </w:rPr>
              <w:t>3</w:t>
            </w:r>
          </w:p>
        </w:tc>
        <w:tc>
          <w:tcPr>
            <w:tcW w:type="dxa" w:w="3096"/>
            <w:vAlign w:val="center"/>
            <w:shd w:fill="F6F7FB"/>
          </w:tcPr>
          <w:p>
            <w:pPr>
              <w:spacing w:after="40"/>
            </w:pPr>
            <w:r/>
            <w:r>
              <w:rPr>
                <w:b w:val="0"/>
                <w:sz w:val="17"/>
              </w:rPr>
              <w:t>“I will now run the measured batch.”</w:t>
            </w:r>
          </w:p>
        </w:tc>
        <w:tc>
          <w:tcPr>
            <w:tcW w:type="dxa" w:w="3528"/>
            <w:vAlign w:val="center"/>
            <w:shd w:fill="F6F7FB"/>
          </w:tcPr>
          <w:p>
            <w:pPr>
              <w:spacing w:after="40"/>
            </w:pPr>
            <w:r/>
            <w:r>
              <w:rPr>
                <w:b w:val="0"/>
                <w:sz w:val="17"/>
              </w:rPr>
              <w:t>Move to the top-right button Run evaluated batch → click once.</w:t>
            </w:r>
          </w:p>
        </w:tc>
        <w:tc>
          <w:tcPr>
            <w:tcW w:type="dxa" w:w="2952"/>
            <w:vAlign w:val="center"/>
            <w:shd w:fill="F6F7FB"/>
          </w:tcPr>
          <w:p>
            <w:pPr>
              <w:spacing w:after="40"/>
            </w:pPr>
            <w:r/>
            <w:r>
              <w:rPr>
                <w:b w:val="0"/>
                <w:sz w:val="17"/>
              </w:rPr>
              <w:t>The proof panel scrolls or becomes active. Do not click again while it is running.</w:t>
            </w:r>
          </w:p>
        </w:tc>
      </w:tr>
      <w:tr>
        <w:tc>
          <w:tcPr>
            <w:tcW w:type="dxa" w:w="504"/>
            <w:vAlign w:val="center"/>
            <w:shd w:fill="FFFFFF"/>
          </w:tcPr>
          <w:p>
            <w:pPr>
              <w:spacing w:after="40"/>
            </w:pPr>
            <w:r/>
            <w:r>
              <w:rPr>
                <w:b w:val="0"/>
                <w:sz w:val="17"/>
              </w:rPr>
              <w:t>4</w:t>
            </w:r>
          </w:p>
        </w:tc>
        <w:tc>
          <w:tcPr>
            <w:tcW w:type="dxa" w:w="3096"/>
            <w:vAlign w:val="center"/>
            <w:shd w:fill="FFFFFF"/>
          </w:tcPr>
          <w:p>
            <w:pPr>
              <w:spacing w:after="40"/>
            </w:pPr>
            <w:r/>
            <w:r>
              <w:rPr>
                <w:b w:val="0"/>
                <w:sz w:val="17"/>
              </w:rPr>
              <w:t>“While it is running, the system is applying deterministic finance rules first.”</w:t>
            </w:r>
          </w:p>
        </w:tc>
        <w:tc>
          <w:tcPr>
            <w:tcW w:type="dxa" w:w="3528"/>
            <w:vAlign w:val="center"/>
            <w:shd w:fill="FFFFFF"/>
          </w:tcPr>
          <w:p>
            <w:pPr>
              <w:spacing w:after="40"/>
            </w:pPr>
            <w:r/>
            <w:r>
              <w:rPr>
                <w:b w:val="0"/>
                <w:sz w:val="17"/>
              </w:rPr>
              <w:t>Keep the cursor over the running status or progress area.</w:t>
            </w:r>
          </w:p>
        </w:tc>
        <w:tc>
          <w:tcPr>
            <w:tcW w:type="dxa" w:w="2952"/>
            <w:vAlign w:val="center"/>
            <w:shd w:fill="FFFFFF"/>
          </w:tcPr>
          <w:p>
            <w:pPr>
              <w:spacing w:after="40"/>
            </w:pPr>
            <w:r/>
            <w:r>
              <w:rPr>
                <w:b w:val="0"/>
                <w:sz w:val="17"/>
              </w:rPr>
              <w:t>The panel sees that the system is not sending everything directly to AI.</w:t>
            </w:r>
          </w:p>
        </w:tc>
      </w:tr>
      <w:tr>
        <w:tc>
          <w:tcPr>
            <w:tcW w:type="dxa" w:w="504"/>
            <w:vAlign w:val="center"/>
            <w:shd w:fill="F6F7FB"/>
          </w:tcPr>
          <w:p>
            <w:pPr>
              <w:spacing w:after="40"/>
            </w:pPr>
            <w:r/>
            <w:r>
              <w:rPr>
                <w:b w:val="0"/>
                <w:sz w:val="17"/>
              </w:rPr>
              <w:t>5</w:t>
            </w:r>
          </w:p>
        </w:tc>
        <w:tc>
          <w:tcPr>
            <w:tcW w:type="dxa" w:w="3096"/>
            <w:vAlign w:val="center"/>
            <w:shd w:fill="F6F7FB"/>
          </w:tcPr>
          <w:p>
            <w:pPr>
              <w:spacing w:after="40"/>
            </w:pPr>
            <w:r/>
            <w:r>
              <w:rPr>
                <w:b w:val="0"/>
                <w:sz w:val="17"/>
              </w:rPr>
              <w:t>“The result is measured against known ground truth. It is not a production claim.”</w:t>
            </w:r>
          </w:p>
        </w:tc>
        <w:tc>
          <w:tcPr>
            <w:tcW w:type="dxa" w:w="3528"/>
            <w:vAlign w:val="center"/>
            <w:shd w:fill="F6F7FB"/>
          </w:tcPr>
          <w:p>
            <w:pPr>
              <w:spacing w:after="40"/>
            </w:pPr>
            <w:r/>
            <w:r>
              <w:rPr>
                <w:b w:val="0"/>
                <w:sz w:val="17"/>
              </w:rPr>
              <w:t>When complete, slowly point to the result cards and metric values.</w:t>
            </w:r>
          </w:p>
        </w:tc>
        <w:tc>
          <w:tcPr>
            <w:tcW w:type="dxa" w:w="2952"/>
            <w:vAlign w:val="center"/>
            <w:shd w:fill="F6F7FB"/>
          </w:tcPr>
          <w:p>
            <w:pPr>
              <w:spacing w:after="40"/>
            </w:pPr>
            <w:r/>
            <w:r>
              <w:rPr>
                <w:b w:val="0"/>
                <w:sz w:val="17"/>
              </w:rPr>
              <w:t>The result explains automatic closures, monitored timing cases, unresolved cases, and safety metrics.</w:t>
            </w:r>
          </w:p>
        </w:tc>
      </w:tr>
      <w:tr>
        <w:tc>
          <w:tcPr>
            <w:tcW w:type="dxa" w:w="504"/>
            <w:vAlign w:val="center"/>
            <w:shd w:fill="FFFFFF"/>
          </w:tcPr>
          <w:p>
            <w:pPr>
              <w:spacing w:after="40"/>
            </w:pPr>
            <w:r/>
            <w:r>
              <w:rPr>
                <w:b w:val="0"/>
                <w:sz w:val="17"/>
              </w:rPr>
              <w:t>6</w:t>
            </w:r>
          </w:p>
        </w:tc>
        <w:tc>
          <w:tcPr>
            <w:tcW w:type="dxa" w:w="3096"/>
            <w:vAlign w:val="center"/>
            <w:shd w:fill="FFFFFF"/>
          </w:tcPr>
          <w:p>
            <w:pPr>
              <w:spacing w:after="40"/>
            </w:pPr>
            <w:r/>
            <w:r>
              <w:rPr>
                <w:b w:val="0"/>
                <w:sz w:val="17"/>
              </w:rPr>
              <w:t>“The important safety question is how many unsafe cases were closed automatically.”</w:t>
            </w:r>
          </w:p>
        </w:tc>
        <w:tc>
          <w:tcPr>
            <w:tcW w:type="dxa" w:w="3528"/>
            <w:vAlign w:val="center"/>
            <w:shd w:fill="FFFFFF"/>
          </w:tcPr>
          <w:p>
            <w:pPr>
              <w:spacing w:after="40"/>
            </w:pPr>
            <w:r/>
            <w:r>
              <w:rPr>
                <w:b w:val="0"/>
                <w:sz w:val="17"/>
              </w:rPr>
              <w:t>Point to the false-positive or unsafe auto-resolution metric, then pause.</w:t>
            </w:r>
          </w:p>
        </w:tc>
        <w:tc>
          <w:tcPr>
            <w:tcW w:type="dxa" w:w="2952"/>
            <w:vAlign w:val="center"/>
            <w:shd w:fill="FFFFFF"/>
          </w:tcPr>
          <w:p>
            <w:pPr>
              <w:spacing w:after="40"/>
            </w:pPr>
            <w:r/>
            <w:r>
              <w:rPr>
                <w:b w:val="0"/>
                <w:sz w:val="17"/>
              </w:rPr>
              <w:t>The product treats false positives as a control metric.</w:t>
            </w:r>
          </w:p>
        </w:tc>
      </w:tr>
    </w:tbl>
    <w:p>
      <w:pPr>
        <w:widowControl/>
        <w:spacing w:after="40"/>
      </w:pPr>
    </w:p>
    <w:tbl>
      <w:tblPr>
        <w:tblW w:type="auto" w:w="0"/>
        <w:jc w:val="center"/>
        <w:tblLook w:firstColumn="1" w:firstRow="1" w:lastColumn="0" w:lastRow="0" w:noHBand="0" w:noVBand="1" w:val="04A0"/>
      </w:tblPr>
      <w:tblGrid>
        <w:gridCol w:w="10512"/>
      </w:tblGrid>
      <w:tr>
        <w:tc>
          <w:tcPr>
            <w:tcW w:type="dxa" w:w="10512"/>
            <w:shd w:fill="FFF3D6"/>
          </w:tcPr>
          <w:p>
            <w:pPr>
              <w:spacing w:after="40"/>
            </w:pPr>
            <w:r>
              <w:rPr>
                <w:b/>
                <w:sz w:val="20"/>
              </w:rPr>
              <w:t>Do not overclaim</w:t>
              <w:br/>
            </w:r>
            <w:r>
              <w:rPr>
                <w:sz w:val="18"/>
              </w:rPr>
              <w:t>Say “In this synthetic 60-case evaluation” before quoting any number. Never call these production metrics or live merchant results.</w:t>
            </w:r>
          </w:p>
        </w:tc>
      </w:tr>
    </w:tbl>
    <w:p>
      <w:pPr>
        <w:widowControl/>
        <w:spacing w:after="40"/>
      </w:pPr>
    </w:p>
    <w:p>
      <w:pPr>
        <w:pStyle w:val="Heading1"/>
        <w:widowControl/>
        <w:spacing w:before="200" w:after="80"/>
      </w:pPr>
      <w:r>
        <w:t>5. Exceptions: show what still needs attention</w:t>
      </w:r>
    </w:p>
    <w:tbl>
      <w:tblPr>
        <w:tblStyle w:val="TableGrid"/>
        <w:tblW w:type="auto" w:w="0"/>
        <w:jc w:val="center"/>
        <w:tblLook w:firstColumn="1" w:firstRow="1" w:lastColumn="0" w:lastRow="0" w:noHBand="0" w:noVBand="1" w:val="04A0"/>
      </w:tblPr>
      <w:tblGrid>
        <w:gridCol w:w="3504"/>
        <w:gridCol w:w="3504"/>
        <w:gridCol w:w="3504"/>
      </w:tblGrid>
      <w:tr>
        <w:tc>
          <w:tcPr>
            <w:tcW w:type="dxa" w:w="3888"/>
            <w:vAlign w:val="center"/>
            <w:shd w:fill="24213A"/>
          </w:tcPr>
          <w:p>
            <w:pPr>
              <w:spacing w:after="40"/>
            </w:pPr>
            <w:r/>
            <w:r>
              <w:rPr>
                <w:b/>
                <w:color w:val="FFFFFF"/>
                <w:sz w:val="17"/>
              </w:rPr>
              <w:t>Say this</w:t>
            </w:r>
          </w:p>
        </w:tc>
        <w:tc>
          <w:tcPr>
            <w:tcW w:type="dxa" w:w="3168"/>
            <w:vAlign w:val="center"/>
            <w:shd w:fill="24213A"/>
          </w:tcPr>
          <w:p>
            <w:pPr>
              <w:spacing w:after="40"/>
            </w:pPr>
            <w:r/>
            <w:r>
              <w:rPr>
                <w:b/>
                <w:color w:val="FFFFFF"/>
                <w:sz w:val="17"/>
              </w:rPr>
              <w:t>Cursor / click</w:t>
            </w:r>
          </w:p>
        </w:tc>
        <w:tc>
          <w:tcPr>
            <w:tcW w:type="dxa" w:w="3024"/>
            <w:vAlign w:val="center"/>
            <w:shd w:fill="24213A"/>
          </w:tcPr>
          <w:p>
            <w:pPr>
              <w:spacing w:after="40"/>
            </w:pPr>
            <w:r/>
            <w:r>
              <w:rPr>
                <w:b/>
                <w:color w:val="FFFFFF"/>
                <w:sz w:val="17"/>
              </w:rPr>
              <w:t>What changes / meaning</w:t>
            </w:r>
          </w:p>
        </w:tc>
      </w:tr>
      <w:tr>
        <w:tc>
          <w:tcPr>
            <w:tcW w:type="dxa" w:w="3888"/>
            <w:vAlign w:val="center"/>
            <w:shd w:fill="F6F7FB"/>
          </w:tcPr>
          <w:p>
            <w:pPr>
              <w:spacing w:after="40"/>
            </w:pPr>
            <w:r/>
            <w:r>
              <w:rPr>
                <w:b w:val="0"/>
                <w:sz w:val="17"/>
              </w:rPr>
              <w:t>“Now I will open Exceptions. This is the residual queue after the clear cases have been handled.”</w:t>
            </w:r>
          </w:p>
        </w:tc>
        <w:tc>
          <w:tcPr>
            <w:tcW w:type="dxa" w:w="3168"/>
            <w:vAlign w:val="center"/>
            <w:shd w:fill="F6F7FB"/>
          </w:tcPr>
          <w:p>
            <w:pPr>
              <w:spacing w:after="40"/>
            </w:pPr>
            <w:r/>
            <w:r>
              <w:rPr>
                <w:b w:val="0"/>
                <w:sz w:val="17"/>
              </w:rPr>
              <w:t>Left navigation → click Exceptions.</w:t>
            </w:r>
          </w:p>
        </w:tc>
        <w:tc>
          <w:tcPr>
            <w:tcW w:type="dxa" w:w="3024"/>
            <w:vAlign w:val="center"/>
            <w:shd w:fill="F6F7FB"/>
          </w:tcPr>
          <w:p>
            <w:pPr>
              <w:spacing w:after="40"/>
            </w:pPr>
            <w:r/>
            <w:r>
              <w:rPr>
                <w:b w:val="0"/>
                <w:sz w:val="17"/>
              </w:rPr>
              <w:t>The Exceptions page opens with filters, search, summary metrics, and the exception table.</w:t>
            </w:r>
          </w:p>
        </w:tc>
      </w:tr>
      <w:tr>
        <w:tc>
          <w:tcPr>
            <w:tcW w:type="dxa" w:w="3888"/>
            <w:vAlign w:val="center"/>
            <w:shd w:fill="FFFFFF"/>
          </w:tcPr>
          <w:p>
            <w:pPr>
              <w:spacing w:after="40"/>
            </w:pPr>
            <w:r/>
            <w:r>
              <w:rPr>
                <w:b w:val="0"/>
                <w:sz w:val="17"/>
              </w:rPr>
              <w:t>“I can filter by Fee variance, Duplicate settlement, Partial refund, or Timing delay.”</w:t>
            </w:r>
          </w:p>
        </w:tc>
        <w:tc>
          <w:tcPr>
            <w:tcW w:type="dxa" w:w="3168"/>
            <w:vAlign w:val="center"/>
            <w:shd w:fill="FFFFFF"/>
          </w:tcPr>
          <w:p>
            <w:pPr>
              <w:spacing w:after="40"/>
            </w:pPr>
            <w:r/>
            <w:r>
              <w:rPr>
                <w:b w:val="0"/>
                <w:sz w:val="17"/>
              </w:rPr>
              <w:t>Move across the filter pills. Click one filter, for example Timing delay, then wait.</w:t>
            </w:r>
          </w:p>
        </w:tc>
        <w:tc>
          <w:tcPr>
            <w:tcW w:type="dxa" w:w="3024"/>
            <w:vAlign w:val="center"/>
            <w:shd w:fill="FFFFFF"/>
          </w:tcPr>
          <w:p>
            <w:pPr>
              <w:spacing w:after="40"/>
            </w:pPr>
            <w:r/>
            <w:r>
              <w:rPr>
                <w:b w:val="0"/>
                <w:sz w:val="17"/>
              </w:rPr>
              <w:t>The table updates to the selected category.</w:t>
            </w:r>
          </w:p>
        </w:tc>
      </w:tr>
      <w:tr>
        <w:tc>
          <w:tcPr>
            <w:tcW w:type="dxa" w:w="3888"/>
            <w:vAlign w:val="center"/>
            <w:shd w:fill="F6F7FB"/>
          </w:tcPr>
          <w:p>
            <w:pPr>
              <w:spacing w:after="40"/>
            </w:pPr>
            <w:r/>
            <w:r>
              <w:rPr>
                <w:b w:val="0"/>
                <w:sz w:val="17"/>
              </w:rPr>
              <w:t>“I can search for a record instead of scanning the full queue.”</w:t>
            </w:r>
          </w:p>
        </w:tc>
        <w:tc>
          <w:tcPr>
            <w:tcW w:type="dxa" w:w="3168"/>
            <w:vAlign w:val="center"/>
            <w:shd w:fill="F6F7FB"/>
          </w:tcPr>
          <w:p>
            <w:pPr>
              <w:spacing w:after="40"/>
            </w:pPr>
            <w:r/>
            <w:r>
              <w:rPr>
                <w:b w:val="0"/>
                <w:sz w:val="17"/>
              </w:rPr>
              <w:t>Click Search records, type a case ID or visible identifier, then point to the filtered row.</w:t>
            </w:r>
          </w:p>
        </w:tc>
        <w:tc>
          <w:tcPr>
            <w:tcW w:type="dxa" w:w="3024"/>
            <w:vAlign w:val="center"/>
            <w:shd w:fill="F6F7FB"/>
          </w:tcPr>
          <w:p>
            <w:pPr>
              <w:spacing w:after="40"/>
            </w:pPr>
            <w:r/>
            <w:r>
              <w:rPr>
                <w:b w:val="0"/>
                <w:sz w:val="17"/>
              </w:rPr>
              <w:t>The operator can narrow the investigation quickly.</w:t>
            </w:r>
          </w:p>
        </w:tc>
      </w:tr>
      <w:tr>
        <w:tc>
          <w:tcPr>
            <w:tcW w:type="dxa" w:w="3888"/>
            <w:vAlign w:val="center"/>
            <w:shd w:fill="FFFFFF"/>
          </w:tcPr>
          <w:p>
            <w:pPr>
              <w:spacing w:after="40"/>
            </w:pPr>
            <w:r/>
            <w:r>
              <w:rPr>
                <w:b w:val="0"/>
                <w:sz w:val="17"/>
              </w:rPr>
              <w:t>“When I select a record, I can inspect its evidence instead of guessing.”</w:t>
            </w:r>
          </w:p>
        </w:tc>
        <w:tc>
          <w:tcPr>
            <w:tcW w:type="dxa" w:w="3168"/>
            <w:vAlign w:val="center"/>
            <w:shd w:fill="FFFFFF"/>
          </w:tcPr>
          <w:p>
            <w:pPr>
              <w:spacing w:after="40"/>
            </w:pPr>
            <w:r/>
            <w:r>
              <w:rPr>
                <w:b w:val="0"/>
                <w:sz w:val="17"/>
              </w:rPr>
              <w:t>Click a visible exception row once.</w:t>
            </w:r>
          </w:p>
        </w:tc>
        <w:tc>
          <w:tcPr>
            <w:tcW w:type="dxa" w:w="3024"/>
            <w:vAlign w:val="center"/>
            <w:shd w:fill="FFFFFF"/>
          </w:tcPr>
          <w:p>
            <w:pPr>
              <w:spacing w:after="40"/>
            </w:pPr>
            <w:r/>
            <w:r>
              <w:rPr>
                <w:b w:val="0"/>
                <w:sz w:val="17"/>
              </w:rPr>
              <w:t>A detail drawer or selected state opens with case evidence and next-action context.</w:t>
            </w:r>
          </w:p>
        </w:tc>
      </w:tr>
      <w:tr>
        <w:tc>
          <w:tcPr>
            <w:tcW w:type="dxa" w:w="3888"/>
            <w:vAlign w:val="center"/>
            <w:shd w:fill="F6F7FB"/>
          </w:tcPr>
          <w:p>
            <w:pPr>
              <w:spacing w:after="40"/>
            </w:pPr>
            <w:r/>
            <w:r>
              <w:rPr>
                <w:b w:val="0"/>
                <w:sz w:val="17"/>
              </w:rPr>
              <w:t>“This is where the human reviewer spends time—only on the uncertain cases.”</w:t>
            </w:r>
          </w:p>
        </w:tc>
        <w:tc>
          <w:tcPr>
            <w:tcW w:type="dxa" w:w="3168"/>
            <w:vAlign w:val="center"/>
            <w:shd w:fill="F6F7FB"/>
          </w:tcPr>
          <w:p>
            <w:pPr>
              <w:spacing w:after="40"/>
            </w:pPr>
            <w:r/>
            <w:r>
              <w:rPr>
                <w:b w:val="0"/>
                <w:sz w:val="17"/>
              </w:rPr>
              <w:t>Move to the amount-under-review and AI-classified summary values.</w:t>
            </w:r>
          </w:p>
        </w:tc>
        <w:tc>
          <w:tcPr>
            <w:tcW w:type="dxa" w:w="3024"/>
            <w:vAlign w:val="center"/>
            <w:shd w:fill="F6F7FB"/>
          </w:tcPr>
          <w:p>
            <w:pPr>
              <w:spacing w:after="40"/>
            </w:pPr>
            <w:r/>
            <w:r>
              <w:rPr>
                <w:b w:val="0"/>
                <w:sz w:val="17"/>
              </w:rPr>
              <w:t>The queue is focused and operationally useful.</w:t>
            </w:r>
          </w:p>
        </w:tc>
      </w:tr>
    </w:tbl>
    <w:p>
      <w:pPr>
        <w:widowControl/>
        <w:spacing w:after="40"/>
      </w:pPr>
    </w:p>
    <w:p>
      <w:pPr>
        <w:pStyle w:val="Heading1"/>
        <w:widowControl/>
        <w:spacing w:before="200" w:after="80"/>
      </w:pPr>
      <w:r>
        <w:t>6. AI Investigation: explain why AI is bounded</w:t>
      </w:r>
    </w:p>
    <w:tbl>
      <w:tblPr>
        <w:tblStyle w:val="TableGrid"/>
        <w:tblW w:type="auto" w:w="0"/>
        <w:jc w:val="center"/>
        <w:tblLook w:firstColumn="1" w:firstRow="1" w:lastColumn="0" w:lastRow="0" w:noHBand="0" w:noVBand="1" w:val="04A0"/>
      </w:tblPr>
      <w:tblGrid>
        <w:gridCol w:w="3504"/>
        <w:gridCol w:w="3504"/>
        <w:gridCol w:w="3504"/>
      </w:tblGrid>
      <w:tr>
        <w:tc>
          <w:tcPr>
            <w:tcW w:type="dxa" w:w="3888"/>
            <w:vAlign w:val="center"/>
            <w:shd w:fill="24213A"/>
          </w:tcPr>
          <w:p>
            <w:pPr>
              <w:spacing w:after="40"/>
            </w:pPr>
            <w:r/>
            <w:r>
              <w:rPr>
                <w:b/>
                <w:color w:val="FFFFFF"/>
                <w:sz w:val="17"/>
              </w:rPr>
              <w:t>Say this</w:t>
            </w:r>
          </w:p>
        </w:tc>
        <w:tc>
          <w:tcPr>
            <w:tcW w:type="dxa" w:w="3168"/>
            <w:vAlign w:val="center"/>
            <w:shd w:fill="24213A"/>
          </w:tcPr>
          <w:p>
            <w:pPr>
              <w:spacing w:after="40"/>
            </w:pPr>
            <w:r/>
            <w:r>
              <w:rPr>
                <w:b/>
                <w:color w:val="FFFFFF"/>
                <w:sz w:val="17"/>
              </w:rPr>
              <w:t>Cursor / click</w:t>
            </w:r>
          </w:p>
        </w:tc>
        <w:tc>
          <w:tcPr>
            <w:tcW w:type="dxa" w:w="3024"/>
            <w:vAlign w:val="center"/>
            <w:shd w:fill="24213A"/>
          </w:tcPr>
          <w:p>
            <w:pPr>
              <w:spacing w:after="40"/>
            </w:pPr>
            <w:r/>
            <w:r>
              <w:rPr>
                <w:b/>
                <w:color w:val="FFFFFF"/>
                <w:sz w:val="17"/>
              </w:rPr>
              <w:t>What the panel should understand</w:t>
            </w:r>
          </w:p>
        </w:tc>
      </w:tr>
      <w:tr>
        <w:tc>
          <w:tcPr>
            <w:tcW w:type="dxa" w:w="3888"/>
            <w:vAlign w:val="center"/>
            <w:shd w:fill="F6F7FB"/>
          </w:tcPr>
          <w:p>
            <w:pPr>
              <w:spacing w:after="40"/>
            </w:pPr>
            <w:r/>
            <w:r>
              <w:rPr>
                <w:b w:val="0"/>
                <w:sz w:val="17"/>
              </w:rPr>
              <w:t>“Now I will open AI Investigation. AI is used here, but only after deterministic matching.”</w:t>
            </w:r>
          </w:p>
        </w:tc>
        <w:tc>
          <w:tcPr>
            <w:tcW w:type="dxa" w:w="3168"/>
            <w:vAlign w:val="center"/>
            <w:shd w:fill="F6F7FB"/>
          </w:tcPr>
          <w:p>
            <w:pPr>
              <w:spacing w:after="40"/>
            </w:pPr>
            <w:r/>
            <w:r>
              <w:rPr>
                <w:b w:val="0"/>
                <w:sz w:val="17"/>
              </w:rPr>
              <w:t>Left navigation → click AI Investigation.</w:t>
            </w:r>
          </w:p>
        </w:tc>
        <w:tc>
          <w:tcPr>
            <w:tcW w:type="dxa" w:w="3024"/>
            <w:vAlign w:val="center"/>
            <w:shd w:fill="F6F7FB"/>
          </w:tcPr>
          <w:p>
            <w:pPr>
              <w:spacing w:after="40"/>
            </w:pPr>
            <w:r/>
            <w:r>
              <w:rPr>
                <w:b w:val="0"/>
                <w:sz w:val="17"/>
              </w:rPr>
              <w:t>AI is an investigation layer, not the first matching layer.</w:t>
            </w:r>
          </w:p>
        </w:tc>
      </w:tr>
      <w:tr>
        <w:tc>
          <w:tcPr>
            <w:tcW w:type="dxa" w:w="3888"/>
            <w:vAlign w:val="center"/>
            <w:shd w:fill="FFFFFF"/>
          </w:tcPr>
          <w:p>
            <w:pPr>
              <w:spacing w:after="40"/>
            </w:pPr>
            <w:r/>
            <w:r>
              <w:rPr>
                <w:b w:val="0"/>
                <w:sz w:val="17"/>
              </w:rPr>
              <w:t>“A general AI tool may give a confident answer without complete evidence or a company approval policy.”</w:t>
            </w:r>
          </w:p>
        </w:tc>
        <w:tc>
          <w:tcPr>
            <w:tcW w:type="dxa" w:w="3168"/>
            <w:vAlign w:val="center"/>
            <w:shd w:fill="FFFFFF"/>
          </w:tcPr>
          <w:p>
            <w:pPr>
              <w:spacing w:after="40"/>
            </w:pPr>
            <w:r/>
            <w:r>
              <w:rPr>
                <w:b w:val="0"/>
                <w:sz w:val="17"/>
              </w:rPr>
              <w:t>Hover over the AI Exception Classifier card and then the confidence signal card.</w:t>
            </w:r>
          </w:p>
        </w:tc>
        <w:tc>
          <w:tcPr>
            <w:tcW w:type="dxa" w:w="3024"/>
            <w:vAlign w:val="center"/>
            <w:shd w:fill="FFFFFF"/>
          </w:tcPr>
          <w:p>
            <w:pPr>
              <w:spacing w:after="40"/>
            </w:pPr>
            <w:r/>
            <w:r>
              <w:rPr>
                <w:b w:val="0"/>
                <w:sz w:val="17"/>
              </w:rPr>
              <w:t>The interface exposes confidence and its basis instead of hiding it.</w:t>
            </w:r>
          </w:p>
        </w:tc>
      </w:tr>
      <w:tr>
        <w:tc>
          <w:tcPr>
            <w:tcW w:type="dxa" w:w="3888"/>
            <w:vAlign w:val="center"/>
            <w:shd w:fill="F6F7FB"/>
          </w:tcPr>
          <w:p>
            <w:pPr>
              <w:spacing w:after="40"/>
            </w:pPr>
            <w:r/>
            <w:r>
              <w:rPr>
                <w:b w:val="0"/>
                <w:sz w:val="17"/>
              </w:rPr>
              <w:t>“Ledger Sherlock sends only unresolved cases to AI. It returns a classification, confidence, reasoning, and suggested owner.”</w:t>
            </w:r>
          </w:p>
        </w:tc>
        <w:tc>
          <w:tcPr>
            <w:tcW w:type="dxa" w:w="3168"/>
            <w:vAlign w:val="center"/>
            <w:shd w:fill="F6F7FB"/>
          </w:tcPr>
          <w:p>
            <w:pPr>
              <w:spacing w:after="40"/>
            </w:pPr>
            <w:r/>
            <w:r>
              <w:rPr>
                <w:b w:val="0"/>
                <w:sz w:val="17"/>
              </w:rPr>
              <w:t>Point to the classifier result and the Based on evidence list.</w:t>
            </w:r>
          </w:p>
        </w:tc>
        <w:tc>
          <w:tcPr>
            <w:tcW w:type="dxa" w:w="3024"/>
            <w:vAlign w:val="center"/>
            <w:shd w:fill="F6F7FB"/>
          </w:tcPr>
          <w:p>
            <w:pPr>
              <w:spacing w:after="40"/>
            </w:pPr>
            <w:r/>
            <w:r>
              <w:rPr>
                <w:b w:val="0"/>
                <w:sz w:val="17"/>
              </w:rPr>
              <w:t>The AI output is structured and evidence-linked.</w:t>
            </w:r>
          </w:p>
        </w:tc>
      </w:tr>
      <w:tr>
        <w:tc>
          <w:tcPr>
            <w:tcW w:type="dxa" w:w="3888"/>
            <w:vAlign w:val="center"/>
            <w:shd w:fill="FFFFFF"/>
          </w:tcPr>
          <w:p>
            <w:pPr>
              <w:spacing w:after="40"/>
            </w:pPr>
            <w:r/>
            <w:r>
              <w:rPr>
                <w:b w:val="0"/>
                <w:sz w:val="17"/>
              </w:rPr>
              <w:t>“AI cannot silently close a transaction. A human still gives the final approval.”</w:t>
            </w:r>
          </w:p>
        </w:tc>
        <w:tc>
          <w:tcPr>
            <w:tcW w:type="dxa" w:w="3168"/>
            <w:vAlign w:val="center"/>
            <w:shd w:fill="FFFFFF"/>
          </w:tcPr>
          <w:p>
            <w:pPr>
              <w:spacing w:after="40"/>
            </w:pPr>
            <w:r/>
            <w:r>
              <w:rPr>
                <w:b w:val="0"/>
                <w:sz w:val="17"/>
              </w:rPr>
              <w:t>Move to the Human approval required card and point to Policy: &gt; ₹5,000.</w:t>
            </w:r>
          </w:p>
        </w:tc>
        <w:tc>
          <w:tcPr>
            <w:tcW w:type="dxa" w:w="3024"/>
            <w:vAlign w:val="center"/>
            <w:shd w:fill="FFFFFF"/>
          </w:tcPr>
          <w:p>
            <w:pPr>
              <w:spacing w:after="40"/>
            </w:pPr>
            <w:r/>
            <w:r>
              <w:rPr>
                <w:b w:val="0"/>
                <w:sz w:val="17"/>
              </w:rPr>
              <w:t>The approval gate is visible and policy-controlled.</w:t>
            </w:r>
          </w:p>
        </w:tc>
      </w:tr>
      <w:tr>
        <w:tc>
          <w:tcPr>
            <w:tcW w:type="dxa" w:w="3888"/>
            <w:vAlign w:val="center"/>
            <w:shd w:fill="F6F7FB"/>
          </w:tcPr>
          <w:p>
            <w:pPr>
              <w:spacing w:after="40"/>
            </w:pPr>
            <w:r/>
            <w:r>
              <w:rPr>
                <w:b w:val="0"/>
                <w:sz w:val="17"/>
              </w:rPr>
              <w:t>“That is what makes the product different: AI is inside a finance-control workflow, not floating outside it.”</w:t>
            </w:r>
          </w:p>
        </w:tc>
        <w:tc>
          <w:tcPr>
            <w:tcW w:type="dxa" w:w="3168"/>
            <w:vAlign w:val="center"/>
            <w:shd w:fill="F6F7FB"/>
          </w:tcPr>
          <w:p>
            <w:pPr>
              <w:spacing w:after="40"/>
            </w:pPr>
            <w:r/>
            <w:r>
              <w:rPr>
                <w:b w:val="0"/>
                <w:sz w:val="17"/>
              </w:rPr>
              <w:t>Keep the cursor still over the control gate.</w:t>
            </w:r>
          </w:p>
        </w:tc>
        <w:tc>
          <w:tcPr>
            <w:tcW w:type="dxa" w:w="3024"/>
            <w:vAlign w:val="center"/>
            <w:shd w:fill="F6F7FB"/>
          </w:tcPr>
          <w:p>
            <w:pPr>
              <w:spacing w:after="40"/>
            </w:pPr>
            <w:r/>
            <w:r>
              <w:rPr>
                <w:b w:val="0"/>
                <w:sz w:val="17"/>
              </w:rPr>
              <w:t>The product’s uniqueness is explainability plus control.</w:t>
            </w:r>
          </w:p>
        </w:tc>
      </w:tr>
    </w:tbl>
    <w:p>
      <w:pPr>
        <w:widowControl/>
        <w:spacing w:after="40"/>
      </w:pPr>
    </w:p>
    <w:tbl>
      <w:tblPr>
        <w:tblW w:type="auto" w:w="0"/>
        <w:jc w:val="center"/>
        <w:tblLook w:firstColumn="1" w:firstRow="1" w:lastColumn="0" w:lastRow="0" w:noHBand="0" w:noVBand="1" w:val="04A0"/>
      </w:tblPr>
      <w:tblGrid>
        <w:gridCol w:w="10512"/>
      </w:tblGrid>
      <w:tr>
        <w:tc>
          <w:tcPr>
            <w:tcW w:type="dxa" w:w="10512"/>
            <w:shd w:fill="EAF5D8"/>
          </w:tcPr>
          <w:p>
            <w:pPr>
              <w:spacing w:after="40"/>
            </w:pPr>
            <w:r>
              <w:rPr>
                <w:b/>
                <w:sz w:val="20"/>
              </w:rPr>
              <w:t>Simple panel answer: Why not just use AI?</w:t>
              <w:br/>
            </w:r>
            <w:r>
              <w:rPr>
                <w:sz w:val="18"/>
              </w:rPr>
              <w:t>“Because reconciliation has money, policy, and audit consequences. AI can help investigate context, but deterministic checks, policy boundaries, and human approval make the final action safer and explainable.”</w:t>
            </w:r>
          </w:p>
        </w:tc>
      </w:tr>
    </w:tbl>
    <w:p>
      <w:pPr>
        <w:widowControl/>
        <w:spacing w:after="40"/>
      </w:pPr>
    </w:p>
    <w:p>
      <w:pPr>
        <w:pStyle w:val="Heading1"/>
        <w:widowControl/>
        <w:spacing w:before="200" w:after="80"/>
      </w:pPr>
      <w:r>
        <w:t>7. Validation: show input and model discipline</w:t>
      </w:r>
    </w:p>
    <w:tbl>
      <w:tblPr>
        <w:tblStyle w:val="TableGrid"/>
        <w:tblW w:type="auto" w:w="0"/>
        <w:jc w:val="center"/>
        <w:tblLook w:firstColumn="1" w:firstRow="1" w:lastColumn="0" w:lastRow="0" w:noHBand="0" w:noVBand="1" w:val="04A0"/>
      </w:tblPr>
      <w:tblGrid>
        <w:gridCol w:w="3504"/>
        <w:gridCol w:w="3504"/>
        <w:gridCol w:w="3504"/>
      </w:tblGrid>
      <w:tr>
        <w:tc>
          <w:tcPr>
            <w:tcW w:type="dxa" w:w="3960"/>
            <w:vAlign w:val="center"/>
            <w:shd w:fill="24213A"/>
          </w:tcPr>
          <w:p>
            <w:pPr>
              <w:spacing w:after="40"/>
            </w:pPr>
            <w:r/>
            <w:r>
              <w:rPr>
                <w:b/>
                <w:color w:val="FFFFFF"/>
                <w:sz w:val="17"/>
              </w:rPr>
              <w:t>Say this</w:t>
            </w:r>
          </w:p>
        </w:tc>
        <w:tc>
          <w:tcPr>
            <w:tcW w:type="dxa" w:w="3168"/>
            <w:vAlign w:val="center"/>
            <w:shd w:fill="24213A"/>
          </w:tcPr>
          <w:p>
            <w:pPr>
              <w:spacing w:after="40"/>
            </w:pPr>
            <w:r/>
            <w:r>
              <w:rPr>
                <w:b/>
                <w:color w:val="FFFFFF"/>
                <w:sz w:val="17"/>
              </w:rPr>
              <w:t>Cursor / click</w:t>
            </w:r>
          </w:p>
        </w:tc>
        <w:tc>
          <w:tcPr>
            <w:tcW w:type="dxa" w:w="2952"/>
            <w:vAlign w:val="center"/>
            <w:shd w:fill="24213A"/>
          </w:tcPr>
          <w:p>
            <w:pPr>
              <w:spacing w:after="40"/>
            </w:pPr>
            <w:r/>
            <w:r>
              <w:rPr>
                <w:b/>
                <w:color w:val="FFFFFF"/>
                <w:sz w:val="17"/>
              </w:rPr>
              <w:t>Meaning</w:t>
            </w:r>
          </w:p>
        </w:tc>
      </w:tr>
      <w:tr>
        <w:tc>
          <w:tcPr>
            <w:tcW w:type="dxa" w:w="3960"/>
            <w:vAlign w:val="center"/>
            <w:shd w:fill="F6F7FB"/>
          </w:tcPr>
          <w:p>
            <w:pPr>
              <w:spacing w:after="40"/>
            </w:pPr>
            <w:r/>
            <w:r>
              <w:rPr>
                <w:b w:val="0"/>
                <w:sz w:val="17"/>
              </w:rPr>
              <w:t>“Validation checks whether the inputs and classifications are reliable before we trust the outcome.”</w:t>
            </w:r>
          </w:p>
        </w:tc>
        <w:tc>
          <w:tcPr>
            <w:tcW w:type="dxa" w:w="3168"/>
            <w:vAlign w:val="center"/>
            <w:shd w:fill="F6F7FB"/>
          </w:tcPr>
          <w:p>
            <w:pPr>
              <w:spacing w:after="40"/>
            </w:pPr>
            <w:r/>
            <w:r>
              <w:rPr>
                <w:b w:val="0"/>
                <w:sz w:val="17"/>
              </w:rPr>
              <w:t>Left navigation → click Validation.</w:t>
            </w:r>
          </w:p>
        </w:tc>
        <w:tc>
          <w:tcPr>
            <w:tcW w:type="dxa" w:w="2952"/>
            <w:vAlign w:val="center"/>
            <w:shd w:fill="F6F7FB"/>
          </w:tcPr>
          <w:p>
            <w:pPr>
              <w:spacing w:after="40"/>
            </w:pPr>
            <w:r/>
            <w:r>
              <w:rPr>
                <w:b w:val="0"/>
                <w:sz w:val="17"/>
              </w:rPr>
              <w:t>The page shows measured metrics, ground-truth comparison, and a category scorecard.</w:t>
            </w:r>
          </w:p>
        </w:tc>
      </w:tr>
      <w:tr>
        <w:tc>
          <w:tcPr>
            <w:tcW w:type="dxa" w:w="3960"/>
            <w:vAlign w:val="center"/>
            <w:shd w:fill="FFFFFF"/>
          </w:tcPr>
          <w:p>
            <w:pPr>
              <w:spacing w:after="40"/>
            </w:pPr>
            <w:r/>
            <w:r>
              <w:rPr>
                <w:b w:val="0"/>
                <w:sz w:val="17"/>
              </w:rPr>
              <w:t>“These metrics are calculated from a labeled test set; they are not self-reported AI confidence.”</w:t>
            </w:r>
          </w:p>
        </w:tc>
        <w:tc>
          <w:tcPr>
            <w:tcW w:type="dxa" w:w="3168"/>
            <w:vAlign w:val="center"/>
            <w:shd w:fill="FFFFFF"/>
          </w:tcPr>
          <w:p>
            <w:pPr>
              <w:spacing w:after="40"/>
            </w:pPr>
            <w:r/>
            <w:r>
              <w:rPr>
                <w:b w:val="0"/>
                <w:sz w:val="17"/>
              </w:rPr>
              <w:t>Point to the validation disclaimer below the chart.</w:t>
            </w:r>
          </w:p>
        </w:tc>
        <w:tc>
          <w:tcPr>
            <w:tcW w:type="dxa" w:w="2952"/>
            <w:vAlign w:val="center"/>
            <w:shd w:fill="FFFFFF"/>
          </w:tcPr>
          <w:p>
            <w:pPr>
              <w:spacing w:after="40"/>
            </w:pPr>
            <w:r/>
            <w:r>
              <w:rPr>
                <w:b w:val="0"/>
                <w:sz w:val="17"/>
              </w:rPr>
              <w:t>The product separates measured performance from model language.</w:t>
            </w:r>
          </w:p>
        </w:tc>
      </w:tr>
      <w:tr>
        <w:tc>
          <w:tcPr>
            <w:tcW w:type="dxa" w:w="3960"/>
            <w:vAlign w:val="center"/>
            <w:shd w:fill="F6F7FB"/>
          </w:tcPr>
          <w:p>
            <w:pPr>
              <w:spacing w:after="40"/>
            </w:pPr>
            <w:r/>
            <w:r>
              <w:rPr>
                <w:b w:val="0"/>
                <w:sz w:val="17"/>
              </w:rPr>
              <w:t>“The architecture comparison explains why deterministic matching comes before AI.”</w:t>
            </w:r>
          </w:p>
        </w:tc>
        <w:tc>
          <w:tcPr>
            <w:tcW w:type="dxa" w:w="3168"/>
            <w:vAlign w:val="center"/>
            <w:shd w:fill="F6F7FB"/>
          </w:tcPr>
          <w:p>
            <w:pPr>
              <w:spacing w:after="40"/>
            </w:pPr>
            <w:r/>
            <w:r>
              <w:rPr>
                <w:b w:val="0"/>
                <w:sz w:val="17"/>
              </w:rPr>
              <w:t>Scroll to or point to Naive LLM approach versus Ledger Sherlock.</w:t>
            </w:r>
          </w:p>
        </w:tc>
        <w:tc>
          <w:tcPr>
            <w:tcW w:type="dxa" w:w="2952"/>
            <w:vAlign w:val="center"/>
            <w:shd w:fill="F6F7FB"/>
          </w:tcPr>
          <w:p>
            <w:pPr>
              <w:spacing w:after="40"/>
            </w:pPr>
            <w:r/>
            <w:r>
              <w:rPr>
                <w:b w:val="0"/>
                <w:sz w:val="17"/>
              </w:rPr>
              <w:t>The layered design is the core technical argument.</w:t>
            </w:r>
          </w:p>
        </w:tc>
      </w:tr>
    </w:tbl>
    <w:p>
      <w:pPr>
        <w:widowControl/>
        <w:spacing w:after="40"/>
      </w:pPr>
    </w:p>
    <w:p>
      <w:pPr>
        <w:pStyle w:val="Heading1"/>
        <w:widowControl/>
        <w:spacing w:before="200" w:after="80"/>
      </w:pPr>
      <w:r>
        <w:t>8. Policy Engine: show where the system must stop</w:t>
      </w:r>
    </w:p>
    <w:tbl>
      <w:tblPr>
        <w:tblStyle w:val="TableGrid"/>
        <w:tblW w:type="auto" w:w="0"/>
        <w:jc w:val="center"/>
        <w:tblLook w:firstColumn="1" w:firstRow="1" w:lastColumn="0" w:lastRow="0" w:noHBand="0" w:noVBand="1" w:val="04A0"/>
      </w:tblPr>
      <w:tblGrid>
        <w:gridCol w:w="3504"/>
        <w:gridCol w:w="3504"/>
        <w:gridCol w:w="3504"/>
      </w:tblGrid>
      <w:tr>
        <w:tc>
          <w:tcPr>
            <w:tcW w:type="dxa" w:w="3960"/>
            <w:vAlign w:val="center"/>
            <w:shd w:fill="24213A"/>
          </w:tcPr>
          <w:p>
            <w:pPr>
              <w:spacing w:after="40"/>
            </w:pPr>
            <w:r/>
            <w:r>
              <w:rPr>
                <w:b/>
                <w:color w:val="FFFFFF"/>
                <w:sz w:val="17"/>
              </w:rPr>
              <w:t>Say this</w:t>
            </w:r>
          </w:p>
        </w:tc>
        <w:tc>
          <w:tcPr>
            <w:tcW w:type="dxa" w:w="3168"/>
            <w:vAlign w:val="center"/>
            <w:shd w:fill="24213A"/>
          </w:tcPr>
          <w:p>
            <w:pPr>
              <w:spacing w:after="40"/>
            </w:pPr>
            <w:r/>
            <w:r>
              <w:rPr>
                <w:b/>
                <w:color w:val="FFFFFF"/>
                <w:sz w:val="17"/>
              </w:rPr>
              <w:t>Cursor / click</w:t>
            </w:r>
          </w:p>
        </w:tc>
        <w:tc>
          <w:tcPr>
            <w:tcW w:type="dxa" w:w="2952"/>
            <w:vAlign w:val="center"/>
            <w:shd w:fill="24213A"/>
          </w:tcPr>
          <w:p>
            <w:pPr>
              <w:spacing w:after="40"/>
            </w:pPr>
            <w:r/>
            <w:r>
              <w:rPr>
                <w:b/>
                <w:color w:val="FFFFFF"/>
                <w:sz w:val="17"/>
              </w:rPr>
              <w:t>Meaning</w:t>
            </w:r>
          </w:p>
        </w:tc>
      </w:tr>
      <w:tr>
        <w:tc>
          <w:tcPr>
            <w:tcW w:type="dxa" w:w="3960"/>
            <w:vAlign w:val="center"/>
            <w:shd w:fill="F6F7FB"/>
          </w:tcPr>
          <w:p>
            <w:pPr>
              <w:spacing w:after="40"/>
            </w:pPr>
            <w:r/>
            <w:r>
              <w:rPr>
                <w:b w:val="0"/>
                <w:sz w:val="17"/>
              </w:rPr>
              <w:t>“Policy Engine defines what the system is allowed to resolve automatically.”</w:t>
            </w:r>
          </w:p>
        </w:tc>
        <w:tc>
          <w:tcPr>
            <w:tcW w:type="dxa" w:w="3168"/>
            <w:vAlign w:val="center"/>
            <w:shd w:fill="F6F7FB"/>
          </w:tcPr>
          <w:p>
            <w:pPr>
              <w:spacing w:after="40"/>
            </w:pPr>
            <w:r/>
            <w:r>
              <w:rPr>
                <w:b w:val="0"/>
                <w:sz w:val="17"/>
              </w:rPr>
              <w:t>Left navigation → click Policy Engine.</w:t>
            </w:r>
          </w:p>
        </w:tc>
        <w:tc>
          <w:tcPr>
            <w:tcW w:type="dxa" w:w="2952"/>
            <w:vAlign w:val="center"/>
            <w:shd w:fill="F6F7FB"/>
          </w:tcPr>
          <w:p>
            <w:pPr>
              <w:spacing w:after="40"/>
            </w:pPr>
            <w:r/>
            <w:r>
              <w:rPr>
                <w:b w:val="0"/>
                <w:sz w:val="17"/>
              </w:rPr>
              <w:t>The control page opens with active rules.</w:t>
            </w:r>
          </w:p>
        </w:tc>
      </w:tr>
      <w:tr>
        <w:tc>
          <w:tcPr>
            <w:tcW w:type="dxa" w:w="3960"/>
            <w:vAlign w:val="center"/>
            <w:shd w:fill="FFFFFF"/>
          </w:tcPr>
          <w:p>
            <w:pPr>
              <w:spacing w:after="40"/>
            </w:pPr>
            <w:r/>
            <w:r>
              <w:rPr>
                <w:b w:val="0"/>
                <w:sz w:val="17"/>
              </w:rPr>
              <w:t>“Small differences may follow an automatic rule. Medium differences can require review. High-risk cases must go to a human.”</w:t>
            </w:r>
          </w:p>
        </w:tc>
        <w:tc>
          <w:tcPr>
            <w:tcW w:type="dxa" w:w="3168"/>
            <w:vAlign w:val="center"/>
            <w:shd w:fill="FFFFFF"/>
          </w:tcPr>
          <w:p>
            <w:pPr>
              <w:spacing w:after="40"/>
            </w:pPr>
            <w:r/>
            <w:r>
              <w:rPr>
                <w:b w:val="0"/>
                <w:sz w:val="17"/>
              </w:rPr>
              <w:t>Hover over the three policy cards: low-value, medium-value, and high-value mismatch.</w:t>
            </w:r>
          </w:p>
        </w:tc>
        <w:tc>
          <w:tcPr>
            <w:tcW w:type="dxa" w:w="2952"/>
            <w:vAlign w:val="center"/>
            <w:shd w:fill="FFFFFF"/>
          </w:tcPr>
          <w:p>
            <w:pPr>
              <w:spacing w:after="40"/>
            </w:pPr>
            <w:r/>
            <w:r>
              <w:rPr>
                <w:b w:val="0"/>
                <w:sz w:val="17"/>
              </w:rPr>
              <w:t>Risk and amount determine the next action.</w:t>
            </w:r>
          </w:p>
        </w:tc>
      </w:tr>
      <w:tr>
        <w:tc>
          <w:tcPr>
            <w:tcW w:type="dxa" w:w="3960"/>
            <w:vAlign w:val="center"/>
            <w:shd w:fill="F6F7FB"/>
          </w:tcPr>
          <w:p>
            <w:pPr>
              <w:spacing w:after="40"/>
            </w:pPr>
            <w:r/>
            <w:r>
              <w:rPr>
                <w:b w:val="0"/>
                <w:sz w:val="17"/>
              </w:rPr>
              <w:t>“This is important because good automation must know when to stop.”</w:t>
            </w:r>
          </w:p>
        </w:tc>
        <w:tc>
          <w:tcPr>
            <w:tcW w:type="dxa" w:w="3168"/>
            <w:vAlign w:val="center"/>
            <w:shd w:fill="F6F7FB"/>
          </w:tcPr>
          <w:p>
            <w:pPr>
              <w:spacing w:after="40"/>
            </w:pPr>
            <w:r/>
            <w:r>
              <w:rPr>
                <w:b w:val="0"/>
                <w:sz w:val="17"/>
              </w:rPr>
              <w:t>Point to the review or human-approval action on the high-value card.</w:t>
            </w:r>
          </w:p>
        </w:tc>
        <w:tc>
          <w:tcPr>
            <w:tcW w:type="dxa" w:w="2952"/>
            <w:vAlign w:val="center"/>
            <w:shd w:fill="F6F7FB"/>
          </w:tcPr>
          <w:p>
            <w:pPr>
              <w:spacing w:after="40"/>
            </w:pPr>
            <w:r/>
            <w:r>
              <w:rPr>
                <w:b w:val="0"/>
                <w:sz w:val="17"/>
              </w:rPr>
              <w:t>Policy prevents uncontrolled automation.</w:t>
            </w:r>
          </w:p>
        </w:tc>
      </w:tr>
      <w:tr>
        <w:tc>
          <w:tcPr>
            <w:tcW w:type="dxa" w:w="3960"/>
            <w:vAlign w:val="center"/>
            <w:shd w:fill="FFFFFF"/>
          </w:tcPr>
          <w:p>
            <w:pPr>
              <w:spacing w:after="40"/>
            </w:pPr>
            <w:r/>
            <w:r>
              <w:rPr>
                <w:b w:val="0"/>
                <w:sz w:val="17"/>
              </w:rPr>
              <w:t>“I can open a policy editor, but I will not pretend this demo has a live policy backend.”</w:t>
            </w:r>
          </w:p>
        </w:tc>
        <w:tc>
          <w:tcPr>
            <w:tcW w:type="dxa" w:w="3168"/>
            <w:vAlign w:val="center"/>
            <w:shd w:fill="FFFFFF"/>
          </w:tcPr>
          <w:p>
            <w:pPr>
              <w:spacing w:after="40"/>
            </w:pPr>
            <w:r/>
            <w:r>
              <w:rPr>
                <w:b w:val="0"/>
                <w:sz w:val="17"/>
              </w:rPr>
              <w:t>Optional: hover Add policy; click only if you want to show the toast, then close it.</w:t>
            </w:r>
          </w:p>
        </w:tc>
        <w:tc>
          <w:tcPr>
            <w:tcW w:type="dxa" w:w="2952"/>
            <w:vAlign w:val="center"/>
            <w:shd w:fill="FFFFFF"/>
          </w:tcPr>
          <w:p>
            <w:pPr>
              <w:spacing w:after="40"/>
            </w:pPr>
            <w:r/>
            <w:r>
              <w:rPr>
                <w:b w:val="0"/>
                <w:sz w:val="17"/>
              </w:rPr>
              <w:t>Be clear about what is implemented versus future backend work.</w:t>
            </w:r>
          </w:p>
        </w:tc>
      </w:tr>
    </w:tbl>
    <w:p>
      <w:pPr>
        <w:widowControl/>
        <w:spacing w:after="40"/>
      </w:pPr>
    </w:p>
    <w:p>
      <w:pPr>
        <w:pStyle w:val="Heading1"/>
        <w:widowControl/>
        <w:spacing w:before="200" w:after="80"/>
      </w:pPr>
      <w:r>
        <w:t>9. Audit Trail: show accountability</w:t>
      </w:r>
    </w:p>
    <w:tbl>
      <w:tblPr>
        <w:tblStyle w:val="TableGrid"/>
        <w:tblW w:type="auto" w:w="0"/>
        <w:jc w:val="center"/>
        <w:tblLook w:firstColumn="1" w:firstRow="1" w:lastColumn="0" w:lastRow="0" w:noHBand="0" w:noVBand="1" w:val="04A0"/>
      </w:tblPr>
      <w:tblGrid>
        <w:gridCol w:w="3504"/>
        <w:gridCol w:w="3504"/>
        <w:gridCol w:w="3504"/>
      </w:tblGrid>
      <w:tr>
        <w:tc>
          <w:tcPr>
            <w:tcW w:type="dxa" w:w="3960"/>
            <w:vAlign w:val="center"/>
            <w:shd w:fill="24213A"/>
          </w:tcPr>
          <w:p>
            <w:pPr>
              <w:spacing w:after="40"/>
            </w:pPr>
            <w:r/>
            <w:r>
              <w:rPr>
                <w:b/>
                <w:color w:val="FFFFFF"/>
                <w:sz w:val="17"/>
              </w:rPr>
              <w:t>Say this</w:t>
            </w:r>
          </w:p>
        </w:tc>
        <w:tc>
          <w:tcPr>
            <w:tcW w:type="dxa" w:w="3168"/>
            <w:vAlign w:val="center"/>
            <w:shd w:fill="24213A"/>
          </w:tcPr>
          <w:p>
            <w:pPr>
              <w:spacing w:after="40"/>
            </w:pPr>
            <w:r/>
            <w:r>
              <w:rPr>
                <w:b/>
                <w:color w:val="FFFFFF"/>
                <w:sz w:val="17"/>
              </w:rPr>
              <w:t>Cursor / click</w:t>
            </w:r>
          </w:p>
        </w:tc>
        <w:tc>
          <w:tcPr>
            <w:tcW w:type="dxa" w:w="2952"/>
            <w:vAlign w:val="center"/>
            <w:shd w:fill="24213A"/>
          </w:tcPr>
          <w:p>
            <w:pPr>
              <w:spacing w:after="40"/>
            </w:pPr>
            <w:r/>
            <w:r>
              <w:rPr>
                <w:b/>
                <w:color w:val="FFFFFF"/>
                <w:sz w:val="17"/>
              </w:rPr>
              <w:t>Meaning</w:t>
            </w:r>
          </w:p>
        </w:tc>
      </w:tr>
      <w:tr>
        <w:tc>
          <w:tcPr>
            <w:tcW w:type="dxa" w:w="3960"/>
            <w:vAlign w:val="center"/>
            <w:shd w:fill="F6F7FB"/>
          </w:tcPr>
          <w:p>
            <w:pPr>
              <w:spacing w:after="40"/>
            </w:pPr>
            <w:r/>
            <w:r>
              <w:rPr>
                <w:b w:val="0"/>
                <w:sz w:val="17"/>
              </w:rPr>
              <w:t>“Audit Trail records the path from source record to policy decision.”</w:t>
            </w:r>
          </w:p>
        </w:tc>
        <w:tc>
          <w:tcPr>
            <w:tcW w:type="dxa" w:w="3168"/>
            <w:vAlign w:val="center"/>
            <w:shd w:fill="F6F7FB"/>
          </w:tcPr>
          <w:p>
            <w:pPr>
              <w:spacing w:after="40"/>
            </w:pPr>
            <w:r/>
            <w:r>
              <w:rPr>
                <w:b w:val="0"/>
                <w:sz w:val="17"/>
              </w:rPr>
              <w:t>Left navigation → click Audit Trail.</w:t>
            </w:r>
          </w:p>
        </w:tc>
        <w:tc>
          <w:tcPr>
            <w:tcW w:type="dxa" w:w="2952"/>
            <w:vAlign w:val="center"/>
            <w:shd w:fill="F6F7FB"/>
          </w:tcPr>
          <w:p>
            <w:pPr>
              <w:spacing w:after="40"/>
            </w:pPr>
            <w:r/>
            <w:r>
              <w:rPr>
                <w:b w:val="0"/>
                <w:sz w:val="17"/>
              </w:rPr>
              <w:t>The audit view opens with event history and traceability details.</w:t>
            </w:r>
          </w:p>
        </w:tc>
      </w:tr>
      <w:tr>
        <w:tc>
          <w:tcPr>
            <w:tcW w:type="dxa" w:w="3960"/>
            <w:vAlign w:val="center"/>
            <w:shd w:fill="FFFFFF"/>
          </w:tcPr>
          <w:p>
            <w:pPr>
              <w:spacing w:after="40"/>
            </w:pPr>
            <w:r/>
            <w:r>
              <w:rPr>
                <w:b w:val="0"/>
                <w:sz w:val="17"/>
              </w:rPr>
              <w:t>“I can see what arrived, which rule ran, what decision was made, and who approved the action.”</w:t>
            </w:r>
          </w:p>
        </w:tc>
        <w:tc>
          <w:tcPr>
            <w:tcW w:type="dxa" w:w="3168"/>
            <w:vAlign w:val="center"/>
            <w:shd w:fill="FFFFFF"/>
          </w:tcPr>
          <w:p>
            <w:pPr>
              <w:spacing w:after="40"/>
            </w:pPr>
            <w:r/>
            <w:r>
              <w:rPr>
                <w:b w:val="0"/>
                <w:sz w:val="17"/>
              </w:rPr>
              <w:t>Move down the event rows from newest to older entries.</w:t>
            </w:r>
          </w:p>
        </w:tc>
        <w:tc>
          <w:tcPr>
            <w:tcW w:type="dxa" w:w="2952"/>
            <w:vAlign w:val="center"/>
            <w:shd w:fill="FFFFFF"/>
          </w:tcPr>
          <w:p>
            <w:pPr>
              <w:spacing w:after="40"/>
            </w:pPr>
            <w:r/>
            <w:r>
              <w:rPr>
                <w:b w:val="0"/>
                <w:sz w:val="17"/>
              </w:rPr>
              <w:t>The team can reconstruct the decision later.</w:t>
            </w:r>
          </w:p>
        </w:tc>
      </w:tr>
      <w:tr>
        <w:tc>
          <w:tcPr>
            <w:tcW w:type="dxa" w:w="3960"/>
            <w:vAlign w:val="center"/>
            <w:shd w:fill="F6F7FB"/>
          </w:tcPr>
          <w:p>
            <w:pPr>
              <w:spacing w:after="40"/>
            </w:pPr>
            <w:r/>
            <w:r>
              <w:rPr>
                <w:b w:val="0"/>
                <w:sz w:val="17"/>
              </w:rPr>
              <w:t>“I can export the log if the investigation needs to be shared.”</w:t>
            </w:r>
          </w:p>
        </w:tc>
        <w:tc>
          <w:tcPr>
            <w:tcW w:type="dxa" w:w="3168"/>
            <w:vAlign w:val="center"/>
            <w:shd w:fill="F6F7FB"/>
          </w:tcPr>
          <w:p>
            <w:pPr>
              <w:spacing w:after="40"/>
            </w:pPr>
            <w:r/>
            <w:r>
              <w:rPr>
                <w:b w:val="0"/>
                <w:sz w:val="17"/>
              </w:rPr>
              <w:t>Move to Export log → click once if you want to show the toast.</w:t>
            </w:r>
          </w:p>
        </w:tc>
        <w:tc>
          <w:tcPr>
            <w:tcW w:type="dxa" w:w="2952"/>
            <w:vAlign w:val="center"/>
            <w:shd w:fill="F6F7FB"/>
          </w:tcPr>
          <w:p>
            <w:pPr>
              <w:spacing w:after="40"/>
            </w:pPr>
            <w:r/>
            <w:r>
              <w:rPr>
                <w:b w:val="0"/>
                <w:sz w:val="17"/>
              </w:rPr>
              <w:t>The user gets an export action without inventing a live external workflow.</w:t>
            </w:r>
          </w:p>
        </w:tc>
      </w:tr>
    </w:tbl>
    <w:p>
      <w:pPr>
        <w:widowControl/>
        <w:spacing w:after="40"/>
      </w:pPr>
    </w:p>
    <w:p>
      <w:pPr>
        <w:pStyle w:val="Heading1"/>
        <w:widowControl/>
        <w:spacing w:before="200" w:after="80"/>
      </w:pPr>
      <w:r>
        <w:t>10. Data Sources: explain the honest upload boundary</w:t>
      </w:r>
    </w:p>
    <w:tbl>
      <w:tblPr>
        <w:tblStyle w:val="TableGrid"/>
        <w:tblW w:type="auto" w:w="0"/>
        <w:jc w:val="center"/>
        <w:tblLook w:firstColumn="1" w:firstRow="1" w:lastColumn="0" w:lastRow="0" w:noHBand="0" w:noVBand="1" w:val="04A0"/>
      </w:tblPr>
      <w:tblGrid>
        <w:gridCol w:w="3504"/>
        <w:gridCol w:w="3504"/>
        <w:gridCol w:w="3504"/>
      </w:tblGrid>
      <w:tr>
        <w:tc>
          <w:tcPr>
            <w:tcW w:type="dxa" w:w="3960"/>
            <w:vAlign w:val="center"/>
            <w:shd w:fill="24213A"/>
          </w:tcPr>
          <w:p>
            <w:pPr>
              <w:spacing w:after="40"/>
            </w:pPr>
            <w:r/>
            <w:r>
              <w:rPr>
                <w:b/>
                <w:color w:val="FFFFFF"/>
                <w:sz w:val="17"/>
              </w:rPr>
              <w:t>Say this</w:t>
            </w:r>
          </w:p>
        </w:tc>
        <w:tc>
          <w:tcPr>
            <w:tcW w:type="dxa" w:w="3168"/>
            <w:vAlign w:val="center"/>
            <w:shd w:fill="24213A"/>
          </w:tcPr>
          <w:p>
            <w:pPr>
              <w:spacing w:after="40"/>
            </w:pPr>
            <w:r/>
            <w:r>
              <w:rPr>
                <w:b/>
                <w:color w:val="FFFFFF"/>
                <w:sz w:val="17"/>
              </w:rPr>
              <w:t>Cursor / click</w:t>
            </w:r>
          </w:p>
        </w:tc>
        <w:tc>
          <w:tcPr>
            <w:tcW w:type="dxa" w:w="2952"/>
            <w:vAlign w:val="center"/>
            <w:shd w:fill="24213A"/>
          </w:tcPr>
          <w:p>
            <w:pPr>
              <w:spacing w:after="40"/>
            </w:pPr>
            <w:r/>
            <w:r>
              <w:rPr>
                <w:b/>
                <w:color w:val="FFFFFF"/>
                <w:sz w:val="17"/>
              </w:rPr>
              <w:t>Meaning</w:t>
            </w:r>
          </w:p>
        </w:tc>
      </w:tr>
      <w:tr>
        <w:tc>
          <w:tcPr>
            <w:tcW w:type="dxa" w:w="3960"/>
            <w:vAlign w:val="center"/>
            <w:shd w:fill="F6F7FB"/>
          </w:tcPr>
          <w:p>
            <w:pPr>
              <w:spacing w:after="40"/>
            </w:pPr>
            <w:r/>
            <w:r>
              <w:rPr>
                <w:b w:val="0"/>
                <w:sz w:val="17"/>
              </w:rPr>
              <w:t>“Data Sources is where settlement, bank, and ERP evidence is prepared.”</w:t>
            </w:r>
          </w:p>
        </w:tc>
        <w:tc>
          <w:tcPr>
            <w:tcW w:type="dxa" w:w="3168"/>
            <w:vAlign w:val="center"/>
            <w:shd w:fill="F6F7FB"/>
          </w:tcPr>
          <w:p>
            <w:pPr>
              <w:spacing w:after="40"/>
            </w:pPr>
            <w:r/>
            <w:r>
              <w:rPr>
                <w:b w:val="0"/>
                <w:sz w:val="17"/>
              </w:rPr>
              <w:t>Left navigation → click Data Sources.</w:t>
            </w:r>
          </w:p>
        </w:tc>
        <w:tc>
          <w:tcPr>
            <w:tcW w:type="dxa" w:w="2952"/>
            <w:vAlign w:val="center"/>
            <w:shd w:fill="F6F7FB"/>
          </w:tcPr>
          <w:p>
            <w:pPr>
              <w:spacing w:after="40"/>
            </w:pPr>
            <w:r/>
            <w:r>
              <w:rPr>
                <w:b w:val="0"/>
                <w:sz w:val="17"/>
              </w:rPr>
              <w:t>The source list and upload area are visible.</w:t>
            </w:r>
          </w:p>
        </w:tc>
      </w:tr>
      <w:tr>
        <w:tc>
          <w:tcPr>
            <w:tcW w:type="dxa" w:w="3960"/>
            <w:vAlign w:val="center"/>
            <w:shd w:fill="FFFFFF"/>
          </w:tcPr>
          <w:p>
            <w:pPr>
              <w:spacing w:after="40"/>
            </w:pPr>
            <w:r/>
            <w:r>
              <w:rPr>
                <w:b w:val="0"/>
                <w:sz w:val="17"/>
              </w:rPr>
              <w:t>“The upload flow is protected by authentication, and the system stores file metadata securely.”</w:t>
            </w:r>
          </w:p>
        </w:tc>
        <w:tc>
          <w:tcPr>
            <w:tcW w:type="dxa" w:w="3168"/>
            <w:vAlign w:val="center"/>
            <w:shd w:fill="FFFFFF"/>
          </w:tcPr>
          <w:p>
            <w:pPr>
              <w:spacing w:after="40"/>
            </w:pPr>
            <w:r/>
            <w:r>
              <w:rPr>
                <w:b w:val="0"/>
                <w:sz w:val="17"/>
              </w:rPr>
              <w:t>Point to the source rows and the Open live uploader button.</w:t>
            </w:r>
          </w:p>
        </w:tc>
        <w:tc>
          <w:tcPr>
            <w:tcW w:type="dxa" w:w="2952"/>
            <w:vAlign w:val="center"/>
            <w:shd w:fill="FFFFFF"/>
          </w:tcPr>
          <w:p>
            <w:pPr>
              <w:spacing w:after="40"/>
            </w:pPr>
            <w:r/>
            <w:r>
              <w:rPr>
                <w:b w:val="0"/>
                <w:sz w:val="17"/>
              </w:rPr>
              <w:t>Actual storage remains account-protected.</w:t>
            </w:r>
          </w:p>
        </w:tc>
      </w:tr>
      <w:tr>
        <w:tc>
          <w:tcPr>
            <w:tcW w:type="dxa" w:w="3960"/>
            <w:vAlign w:val="center"/>
            <w:shd w:fill="F6F7FB"/>
          </w:tcPr>
          <w:p>
            <w:pPr>
              <w:spacing w:after="40"/>
            </w:pPr>
            <w:r/>
            <w:r>
              <w:rPr>
                <w:b w:val="0"/>
                <w:sz w:val="17"/>
              </w:rPr>
              <w:t>“In this current build, the secure upload and metadata flow is real, but uploaded CSVs are not yet automatically parsed into the matching engine.”</w:t>
            </w:r>
          </w:p>
        </w:tc>
        <w:tc>
          <w:tcPr>
            <w:tcW w:type="dxa" w:w="3168"/>
            <w:vAlign w:val="center"/>
            <w:shd w:fill="F6F7FB"/>
          </w:tcPr>
          <w:p>
            <w:pPr>
              <w:spacing w:after="40"/>
            </w:pPr>
            <w:r/>
            <w:r>
              <w:rPr>
                <w:b w:val="0"/>
                <w:sz w:val="17"/>
              </w:rPr>
              <w:t>Keep the cursor still. Do not claim that an uploaded file has been matched live.</w:t>
            </w:r>
          </w:p>
        </w:tc>
        <w:tc>
          <w:tcPr>
            <w:tcW w:type="dxa" w:w="2952"/>
            <w:vAlign w:val="center"/>
            <w:shd w:fill="F6F7FB"/>
          </w:tcPr>
          <w:p>
            <w:pPr>
              <w:spacing w:after="40"/>
            </w:pPr>
            <w:r/>
            <w:r>
              <w:rPr>
                <w:b w:val="0"/>
                <w:sz w:val="17"/>
              </w:rPr>
              <w:t>This honest boundary builds trust with technical judges.</w:t>
            </w:r>
          </w:p>
        </w:tc>
      </w:tr>
      <w:tr>
        <w:tc>
          <w:tcPr>
            <w:tcW w:type="dxa" w:w="3960"/>
            <w:vAlign w:val="center"/>
            <w:shd w:fill="FFFFFF"/>
          </w:tcPr>
          <w:p>
            <w:pPr>
              <w:spacing w:after="40"/>
            </w:pPr>
            <w:r/>
            <w:r>
              <w:rPr>
                <w:b w:val="0"/>
                <w:sz w:val="17"/>
              </w:rPr>
              <w:t>“The Track 4 result I showed came from the separate synthetic evaluation corpus.”</w:t>
            </w:r>
          </w:p>
        </w:tc>
        <w:tc>
          <w:tcPr>
            <w:tcW w:type="dxa" w:w="3168"/>
            <w:vAlign w:val="center"/>
            <w:shd w:fill="FFFFFF"/>
          </w:tcPr>
          <w:p>
            <w:pPr>
              <w:spacing w:after="40"/>
            </w:pPr>
            <w:r/>
            <w:r>
              <w:rPr>
                <w:b w:val="0"/>
                <w:sz w:val="17"/>
              </w:rPr>
              <w:t>Point back to the source/evaluation language if visible, or leave the cursor still.</w:t>
            </w:r>
          </w:p>
        </w:tc>
        <w:tc>
          <w:tcPr>
            <w:tcW w:type="dxa" w:w="2952"/>
            <w:vAlign w:val="center"/>
            <w:shd w:fill="FFFFFF"/>
          </w:tcPr>
          <w:p>
            <w:pPr>
              <w:spacing w:after="40"/>
            </w:pPr>
            <w:r/>
            <w:r>
              <w:rPr>
                <w:b w:val="0"/>
                <w:sz w:val="17"/>
              </w:rPr>
              <w:t>The panel understands demo data versus future ingestion work.</w:t>
            </w:r>
          </w:p>
        </w:tc>
      </w:tr>
      <w:tr>
        <w:tc>
          <w:tcPr>
            <w:tcW w:type="dxa" w:w="3960"/>
            <w:vAlign w:val="center"/>
            <w:shd w:fill="F6F7FB"/>
          </w:tcPr>
          <w:p>
            <w:pPr>
              <w:spacing w:after="40"/>
            </w:pPr>
            <w:r/>
            <w:r>
              <w:rPr>
                <w:b w:val="0"/>
                <w:sz w:val="17"/>
              </w:rPr>
              <w:t>“If I click Open live uploader, the upload screen opens. I can select files, but actual storage requires sign-in.”</w:t>
            </w:r>
          </w:p>
        </w:tc>
        <w:tc>
          <w:tcPr>
            <w:tcW w:type="dxa" w:w="3168"/>
            <w:vAlign w:val="center"/>
            <w:shd w:fill="F6F7FB"/>
          </w:tcPr>
          <w:p>
            <w:pPr>
              <w:spacing w:after="40"/>
            </w:pPr>
            <w:r/>
            <w:r>
              <w:rPr>
                <w:b w:val="0"/>
                <w:sz w:val="17"/>
              </w:rPr>
              <w:t>Click Open live uploader only if you want to show the protected intake path.</w:t>
            </w:r>
          </w:p>
        </w:tc>
        <w:tc>
          <w:tcPr>
            <w:tcW w:type="dxa" w:w="2952"/>
            <w:vAlign w:val="center"/>
            <w:shd w:fill="F6F7FB"/>
          </w:tcPr>
          <w:p>
            <w:pPr>
              <w:spacing w:after="40"/>
            </w:pPr>
            <w:r/>
            <w:r>
              <w:rPr>
                <w:b w:val="0"/>
                <w:sz w:val="17"/>
              </w:rPr>
              <w:t>The UI remains available before login while backend mutation stays protected.</w:t>
            </w:r>
          </w:p>
        </w:tc>
      </w:tr>
    </w:tbl>
    <w:p>
      <w:pPr>
        <w:widowControl/>
        <w:spacing w:after="40"/>
      </w:pPr>
    </w:p>
    <w:tbl>
      <w:tblPr>
        <w:tblW w:type="auto" w:w="0"/>
        <w:jc w:val="center"/>
        <w:tblLook w:firstColumn="1" w:firstRow="1" w:lastColumn="0" w:lastRow="0" w:noHBand="0" w:noVBand="1" w:val="04A0"/>
      </w:tblPr>
      <w:tblGrid>
        <w:gridCol w:w="10512"/>
      </w:tblGrid>
      <w:tr>
        <w:tc>
          <w:tcPr>
            <w:tcW w:type="dxa" w:w="10512"/>
            <w:shd w:fill="FFF3D6"/>
          </w:tcPr>
          <w:p>
            <w:pPr>
              <w:spacing w:after="40"/>
            </w:pPr>
            <w:r>
              <w:rPr>
                <w:b/>
                <w:sz w:val="20"/>
              </w:rPr>
              <w:t>Best credibility moment</w:t>
              <w:br/>
            </w:r>
            <w:r>
              <w:rPr>
                <w:sz w:val="18"/>
              </w:rPr>
              <w:t>Do not hide the CSV boundary. Say it confidently: “I have implemented secure intake and storage; the next integration is mapping parsed CSV rows into the deterministic matcher.”</w:t>
            </w:r>
          </w:p>
        </w:tc>
      </w:tr>
    </w:tbl>
    <w:p>
      <w:pPr>
        <w:widowControl/>
        <w:spacing w:after="40"/>
      </w:pPr>
    </w:p>
    <w:p>
      <w:pPr>
        <w:pStyle w:val="Heading1"/>
        <w:widowControl/>
        <w:spacing w:before="200" w:after="80"/>
      </w:pPr>
      <w:r>
        <w:t>11. Analytics: connect the product to operations</w:t>
      </w:r>
    </w:p>
    <w:tbl>
      <w:tblPr>
        <w:tblStyle w:val="TableGrid"/>
        <w:tblW w:type="auto" w:w="0"/>
        <w:jc w:val="center"/>
        <w:tblLook w:firstColumn="1" w:firstRow="1" w:lastColumn="0" w:lastRow="0" w:noHBand="0" w:noVBand="1" w:val="04A0"/>
      </w:tblPr>
      <w:tblGrid>
        <w:gridCol w:w="3504"/>
        <w:gridCol w:w="3504"/>
        <w:gridCol w:w="3504"/>
      </w:tblGrid>
      <w:tr>
        <w:tc>
          <w:tcPr>
            <w:tcW w:type="dxa" w:w="3960"/>
            <w:vAlign w:val="center"/>
            <w:shd w:fill="24213A"/>
          </w:tcPr>
          <w:p>
            <w:pPr>
              <w:spacing w:after="40"/>
            </w:pPr>
            <w:r/>
            <w:r>
              <w:rPr>
                <w:b/>
                <w:color w:val="FFFFFF"/>
                <w:sz w:val="17"/>
              </w:rPr>
              <w:t>Say this</w:t>
            </w:r>
          </w:p>
        </w:tc>
        <w:tc>
          <w:tcPr>
            <w:tcW w:type="dxa" w:w="3168"/>
            <w:vAlign w:val="center"/>
            <w:shd w:fill="24213A"/>
          </w:tcPr>
          <w:p>
            <w:pPr>
              <w:spacing w:after="40"/>
            </w:pPr>
            <w:r/>
            <w:r>
              <w:rPr>
                <w:b/>
                <w:color w:val="FFFFFF"/>
                <w:sz w:val="17"/>
              </w:rPr>
              <w:t>Cursor / click</w:t>
            </w:r>
          </w:p>
        </w:tc>
        <w:tc>
          <w:tcPr>
            <w:tcW w:type="dxa" w:w="2952"/>
            <w:vAlign w:val="center"/>
            <w:shd w:fill="24213A"/>
          </w:tcPr>
          <w:p>
            <w:pPr>
              <w:spacing w:after="40"/>
            </w:pPr>
            <w:r/>
            <w:r>
              <w:rPr>
                <w:b/>
                <w:color w:val="FFFFFF"/>
                <w:sz w:val="17"/>
              </w:rPr>
              <w:t>Meaning</w:t>
            </w:r>
          </w:p>
        </w:tc>
      </w:tr>
      <w:tr>
        <w:tc>
          <w:tcPr>
            <w:tcW w:type="dxa" w:w="3960"/>
            <w:vAlign w:val="center"/>
            <w:shd w:fill="F6F7FB"/>
          </w:tcPr>
          <w:p>
            <w:pPr>
              <w:spacing w:after="40"/>
            </w:pPr>
            <w:r/>
            <w:r>
              <w:rPr>
                <w:b w:val="0"/>
                <w:sz w:val="17"/>
              </w:rPr>
              <w:t>“Analytics turns the reconciliation result into an operations view.”</w:t>
            </w:r>
          </w:p>
        </w:tc>
        <w:tc>
          <w:tcPr>
            <w:tcW w:type="dxa" w:w="3168"/>
            <w:vAlign w:val="center"/>
            <w:shd w:fill="F6F7FB"/>
          </w:tcPr>
          <w:p>
            <w:pPr>
              <w:spacing w:after="40"/>
            </w:pPr>
            <w:r/>
            <w:r>
              <w:rPr>
                <w:b w:val="0"/>
                <w:sz w:val="17"/>
              </w:rPr>
              <w:t>Left navigation → click Analytics.</w:t>
            </w:r>
          </w:p>
        </w:tc>
        <w:tc>
          <w:tcPr>
            <w:tcW w:type="dxa" w:w="2952"/>
            <w:vAlign w:val="center"/>
            <w:shd w:fill="F6F7FB"/>
          </w:tcPr>
          <w:p>
            <w:pPr>
              <w:spacing w:after="40"/>
            </w:pPr>
            <w:r/>
            <w:r>
              <w:rPr>
                <w:b w:val="0"/>
                <w:sz w:val="17"/>
              </w:rPr>
              <w:t>The page opens with volume, match, exception, and review-workload visuals.</w:t>
            </w:r>
          </w:p>
        </w:tc>
      </w:tr>
      <w:tr>
        <w:tc>
          <w:tcPr>
            <w:tcW w:type="dxa" w:w="3960"/>
            <w:vAlign w:val="center"/>
            <w:shd w:fill="FFFFFF"/>
          </w:tcPr>
          <w:p>
            <w:pPr>
              <w:spacing w:after="40"/>
            </w:pPr>
            <w:r/>
            <w:r>
              <w:rPr>
                <w:b w:val="0"/>
                <w:sz w:val="17"/>
              </w:rPr>
              <w:t>“A finance lead can use this to see where review work is concentrated.”</w:t>
            </w:r>
          </w:p>
        </w:tc>
        <w:tc>
          <w:tcPr>
            <w:tcW w:type="dxa" w:w="3168"/>
            <w:vAlign w:val="center"/>
            <w:shd w:fill="FFFFFF"/>
          </w:tcPr>
          <w:p>
            <w:pPr>
              <w:spacing w:after="40"/>
            </w:pPr>
            <w:r/>
            <w:r>
              <w:rPr>
                <w:b w:val="0"/>
                <w:sz w:val="17"/>
              </w:rPr>
              <w:t>Move across the largest chart or summary values without clicking.</w:t>
            </w:r>
          </w:p>
        </w:tc>
        <w:tc>
          <w:tcPr>
            <w:tcW w:type="dxa" w:w="2952"/>
            <w:vAlign w:val="center"/>
            <w:shd w:fill="FFFFFF"/>
          </w:tcPr>
          <w:p>
            <w:pPr>
              <w:spacing w:after="40"/>
            </w:pPr>
            <w:r/>
            <w:r>
              <w:rPr>
                <w:b w:val="0"/>
                <w:sz w:val="17"/>
              </w:rPr>
              <w:t>The product supports operational prioritization.</w:t>
            </w:r>
          </w:p>
        </w:tc>
      </w:tr>
    </w:tbl>
    <w:p>
      <w:pPr>
        <w:widowControl/>
        <w:spacing w:after="40"/>
      </w:pPr>
    </w:p>
    <w:p>
      <w:pPr>
        <w:pStyle w:val="Heading1"/>
        <w:widowControl/>
        <w:spacing w:before="200" w:after="80"/>
      </w:pPr>
      <w:r>
        <w:t>12. Settings: close the navigation loop</w:t>
      </w:r>
    </w:p>
    <w:tbl>
      <w:tblPr>
        <w:tblStyle w:val="TableGrid"/>
        <w:tblW w:type="auto" w:w="0"/>
        <w:jc w:val="center"/>
        <w:tblLook w:firstColumn="1" w:firstRow="1" w:lastColumn="0" w:lastRow="0" w:noHBand="0" w:noVBand="1" w:val="04A0"/>
      </w:tblPr>
      <w:tblGrid>
        <w:gridCol w:w="3504"/>
        <w:gridCol w:w="3504"/>
        <w:gridCol w:w="3504"/>
      </w:tblGrid>
      <w:tr>
        <w:tc>
          <w:tcPr>
            <w:tcW w:type="dxa" w:w="3960"/>
            <w:vAlign w:val="center"/>
            <w:shd w:fill="24213A"/>
          </w:tcPr>
          <w:p>
            <w:pPr>
              <w:spacing w:after="40"/>
            </w:pPr>
            <w:r/>
            <w:r>
              <w:rPr>
                <w:b/>
                <w:color w:val="FFFFFF"/>
                <w:sz w:val="17"/>
              </w:rPr>
              <w:t>Say this</w:t>
            </w:r>
          </w:p>
        </w:tc>
        <w:tc>
          <w:tcPr>
            <w:tcW w:type="dxa" w:w="3168"/>
            <w:vAlign w:val="center"/>
            <w:shd w:fill="24213A"/>
          </w:tcPr>
          <w:p>
            <w:pPr>
              <w:spacing w:after="40"/>
            </w:pPr>
            <w:r/>
            <w:r>
              <w:rPr>
                <w:b/>
                <w:color w:val="FFFFFF"/>
                <w:sz w:val="17"/>
              </w:rPr>
              <w:t>Cursor / click</w:t>
            </w:r>
          </w:p>
        </w:tc>
        <w:tc>
          <w:tcPr>
            <w:tcW w:type="dxa" w:w="2952"/>
            <w:vAlign w:val="center"/>
            <w:shd w:fill="24213A"/>
          </w:tcPr>
          <w:p>
            <w:pPr>
              <w:spacing w:after="40"/>
            </w:pPr>
            <w:r/>
            <w:r>
              <w:rPr>
                <w:b/>
                <w:color w:val="FFFFFF"/>
                <w:sz w:val="17"/>
              </w:rPr>
              <w:t>Meaning</w:t>
            </w:r>
          </w:p>
        </w:tc>
      </w:tr>
      <w:tr>
        <w:tc>
          <w:tcPr>
            <w:tcW w:type="dxa" w:w="3960"/>
            <w:vAlign w:val="center"/>
            <w:shd w:fill="F6F7FB"/>
          </w:tcPr>
          <w:p>
            <w:pPr>
              <w:spacing w:after="40"/>
            </w:pPr>
            <w:r/>
            <w:r>
              <w:rPr>
                <w:b w:val="0"/>
                <w:sz w:val="17"/>
              </w:rPr>
              <w:t>“Settings contains workspace and operator controls. I am opening it to show the complete product surface.”</w:t>
            </w:r>
          </w:p>
        </w:tc>
        <w:tc>
          <w:tcPr>
            <w:tcW w:type="dxa" w:w="3168"/>
            <w:vAlign w:val="center"/>
            <w:shd w:fill="F6F7FB"/>
          </w:tcPr>
          <w:p>
            <w:pPr>
              <w:spacing w:after="40"/>
            </w:pPr>
            <w:r/>
            <w:r>
              <w:rPr>
                <w:b w:val="0"/>
                <w:sz w:val="17"/>
              </w:rPr>
              <w:t>Left navigation → click Settings.</w:t>
            </w:r>
          </w:p>
        </w:tc>
        <w:tc>
          <w:tcPr>
            <w:tcW w:type="dxa" w:w="2952"/>
            <w:vAlign w:val="center"/>
            <w:shd w:fill="F6F7FB"/>
          </w:tcPr>
          <w:p>
            <w:pPr>
              <w:spacing w:after="40"/>
            </w:pPr>
            <w:r/>
            <w:r>
              <w:rPr>
                <w:b w:val="0"/>
                <w:sz w:val="17"/>
              </w:rPr>
              <w:t>Settings opens; do not spend time on unfinished controls.</w:t>
            </w:r>
          </w:p>
        </w:tc>
      </w:tr>
      <w:tr>
        <w:tc>
          <w:tcPr>
            <w:tcW w:type="dxa" w:w="3960"/>
            <w:vAlign w:val="center"/>
            <w:shd w:fill="FFFFFF"/>
          </w:tcPr>
          <w:p>
            <w:pPr>
              <w:spacing w:after="40"/>
            </w:pPr>
            <w:r/>
            <w:r>
              <w:rPr>
                <w:b w:val="0"/>
                <w:sz w:val="17"/>
              </w:rPr>
              <w:t>“The important workflow is already complete: evidence, reconciliation, exceptions, AI investigation, policy, audit, and operations.”</w:t>
            </w:r>
          </w:p>
        </w:tc>
        <w:tc>
          <w:tcPr>
            <w:tcW w:type="dxa" w:w="3168"/>
            <w:vAlign w:val="center"/>
            <w:shd w:fill="FFFFFF"/>
          </w:tcPr>
          <w:p>
            <w:pPr>
              <w:spacing w:after="40"/>
            </w:pPr>
            <w:r/>
            <w:r>
              <w:rPr>
                <w:b w:val="0"/>
                <w:sz w:val="17"/>
              </w:rPr>
              <w:t>Move the cursor back toward the left navigation.</w:t>
            </w:r>
          </w:p>
        </w:tc>
        <w:tc>
          <w:tcPr>
            <w:tcW w:type="dxa" w:w="2952"/>
            <w:vAlign w:val="center"/>
            <w:shd w:fill="FFFFFF"/>
          </w:tcPr>
          <w:p>
            <w:pPr>
              <w:spacing w:after="40"/>
            </w:pPr>
            <w:r/>
            <w:r>
              <w:rPr>
                <w:b w:val="0"/>
                <w:sz w:val="17"/>
              </w:rPr>
              <w:t>This brings the panel back to the product story.</w:t>
            </w:r>
          </w:p>
        </w:tc>
      </w:tr>
    </w:tbl>
    <w:p>
      <w:pPr>
        <w:widowControl/>
        <w:spacing w:after="40"/>
      </w:pPr>
    </w:p>
    <w:p>
      <w:pPr>
        <w:pStyle w:val="Heading1"/>
        <w:widowControl/>
        <w:spacing w:before="200" w:after="80"/>
      </w:pPr>
      <w:r>
        <w:t>13. Closing: deliver the selection argument</w:t>
      </w:r>
    </w:p>
    <w:tbl>
      <w:tblPr>
        <w:tblStyle w:val="TableGrid"/>
        <w:tblW w:type="auto" w:w="0"/>
        <w:jc w:val="center"/>
        <w:tblLook w:firstColumn="1" w:firstRow="1" w:lastColumn="0" w:lastRow="0" w:noHBand="0" w:noVBand="1" w:val="04A0"/>
      </w:tblPr>
      <w:tblGrid>
        <w:gridCol w:w="3504"/>
        <w:gridCol w:w="3504"/>
        <w:gridCol w:w="3504"/>
      </w:tblGrid>
      <w:tr>
        <w:tc>
          <w:tcPr>
            <w:tcW w:type="dxa" w:w="3960"/>
            <w:vAlign w:val="center"/>
            <w:shd w:fill="24213A"/>
          </w:tcPr>
          <w:p>
            <w:pPr>
              <w:spacing w:after="40"/>
            </w:pPr>
            <w:r/>
            <w:r>
              <w:rPr>
                <w:b/>
                <w:color w:val="FFFFFF"/>
                <w:sz w:val="17"/>
              </w:rPr>
              <w:t>Say this</w:t>
            </w:r>
          </w:p>
        </w:tc>
        <w:tc>
          <w:tcPr>
            <w:tcW w:type="dxa" w:w="3168"/>
            <w:vAlign w:val="center"/>
            <w:shd w:fill="24213A"/>
          </w:tcPr>
          <w:p>
            <w:pPr>
              <w:spacing w:after="40"/>
            </w:pPr>
            <w:r/>
            <w:r>
              <w:rPr>
                <w:b/>
                <w:color w:val="FFFFFF"/>
                <w:sz w:val="17"/>
              </w:rPr>
              <w:t>Cursor / action</w:t>
            </w:r>
          </w:p>
        </w:tc>
        <w:tc>
          <w:tcPr>
            <w:tcW w:type="dxa" w:w="2952"/>
            <w:vAlign w:val="center"/>
            <w:shd w:fill="24213A"/>
          </w:tcPr>
          <w:p>
            <w:pPr>
              <w:spacing w:after="40"/>
            </w:pPr>
            <w:r/>
            <w:r>
              <w:rPr>
                <w:b/>
                <w:color w:val="FFFFFF"/>
                <w:sz w:val="17"/>
              </w:rPr>
              <w:t>Why it works</w:t>
            </w:r>
          </w:p>
        </w:tc>
      </w:tr>
      <w:tr>
        <w:tc>
          <w:tcPr>
            <w:tcW w:type="dxa" w:w="3960"/>
            <w:vAlign w:val="center"/>
            <w:shd w:fill="F6F7FB"/>
          </w:tcPr>
          <w:p>
            <w:pPr>
              <w:spacing w:after="40"/>
            </w:pPr>
            <w:r/>
            <w:r>
              <w:rPr>
                <w:b w:val="0"/>
                <w:sz w:val="17"/>
              </w:rPr>
              <w:t>“So, in one sentence, Ledger Sherlock receives financial evidence, validates it, applies explainable rules, sends only uncertain cases to bounded AI review, keeps a human approval gate, and creates an audit-ready trail.”</w:t>
            </w:r>
          </w:p>
        </w:tc>
        <w:tc>
          <w:tcPr>
            <w:tcW w:type="dxa" w:w="3168"/>
            <w:vAlign w:val="center"/>
            <w:shd w:fill="F6F7FB"/>
          </w:tcPr>
          <w:p>
            <w:pPr>
              <w:spacing w:after="40"/>
            </w:pPr>
            <w:r/>
            <w:r>
              <w:rPr>
                <w:b w:val="0"/>
                <w:sz w:val="17"/>
              </w:rPr>
              <w:t>Return to Overview by clicking the left navigation → Overview.</w:t>
            </w:r>
          </w:p>
        </w:tc>
        <w:tc>
          <w:tcPr>
            <w:tcW w:type="dxa" w:w="2952"/>
            <w:vAlign w:val="center"/>
            <w:shd w:fill="F6F7FB"/>
          </w:tcPr>
          <w:p>
            <w:pPr>
              <w:spacing w:after="40"/>
            </w:pPr>
            <w:r/>
            <w:r>
              <w:rPr>
                <w:b w:val="0"/>
                <w:sz w:val="17"/>
              </w:rPr>
              <w:t>The panel sees the full story again.</w:t>
            </w:r>
          </w:p>
        </w:tc>
      </w:tr>
      <w:tr>
        <w:tc>
          <w:tcPr>
            <w:tcW w:type="dxa" w:w="3960"/>
            <w:vAlign w:val="center"/>
            <w:shd w:fill="FFFFFF"/>
          </w:tcPr>
          <w:p>
            <w:pPr>
              <w:spacing w:after="40"/>
            </w:pPr>
            <w:r/>
            <w:r>
              <w:rPr>
                <w:b w:val="0"/>
                <w:sz w:val="17"/>
              </w:rPr>
              <w:t>“Many tools can add AI to a finance screen. Ledger Sherlock is different because it focuses on evidence, safe decisions, and human control.”</w:t>
            </w:r>
          </w:p>
        </w:tc>
        <w:tc>
          <w:tcPr>
            <w:tcW w:type="dxa" w:w="3168"/>
            <w:vAlign w:val="center"/>
            <w:shd w:fill="FFFFFF"/>
          </w:tcPr>
          <w:p>
            <w:pPr>
              <w:spacing w:after="40"/>
            </w:pPr>
            <w:r/>
            <w:r>
              <w:rPr>
                <w:b w:val="0"/>
                <w:sz w:val="17"/>
              </w:rPr>
              <w:t>Move across the Overview canvas: evidence → trace → outcomes.</w:t>
            </w:r>
          </w:p>
        </w:tc>
        <w:tc>
          <w:tcPr>
            <w:tcW w:type="dxa" w:w="2952"/>
            <w:vAlign w:val="center"/>
            <w:shd w:fill="FFFFFF"/>
          </w:tcPr>
          <w:p>
            <w:pPr>
              <w:spacing w:after="40"/>
            </w:pPr>
            <w:r/>
            <w:r>
              <w:rPr>
                <w:b w:val="0"/>
                <w:sz w:val="17"/>
              </w:rPr>
              <w:t>This is the differentiation statement.</w:t>
            </w:r>
          </w:p>
        </w:tc>
      </w:tr>
      <w:tr>
        <w:tc>
          <w:tcPr>
            <w:tcW w:type="dxa" w:w="3960"/>
            <w:vAlign w:val="center"/>
            <w:shd w:fill="F6F7FB"/>
          </w:tcPr>
          <w:p>
            <w:pPr>
              <w:spacing w:after="40"/>
            </w:pPr>
            <w:r/>
            <w:r>
              <w:rPr>
                <w:b w:val="0"/>
                <w:sz w:val="17"/>
              </w:rPr>
              <w:t>“AI is useful here, but it is not allowed to become an invisible decision-maker.”</w:t>
            </w:r>
          </w:p>
        </w:tc>
        <w:tc>
          <w:tcPr>
            <w:tcW w:type="dxa" w:w="3168"/>
            <w:vAlign w:val="center"/>
            <w:shd w:fill="F6F7FB"/>
          </w:tcPr>
          <w:p>
            <w:pPr>
              <w:spacing w:after="40"/>
            </w:pPr>
            <w:r/>
            <w:r>
              <w:rPr>
                <w:b w:val="0"/>
                <w:sz w:val="17"/>
              </w:rPr>
              <w:t>Point to Human review, then the proof-status footer.</w:t>
            </w:r>
          </w:p>
        </w:tc>
        <w:tc>
          <w:tcPr>
            <w:tcW w:type="dxa" w:w="2952"/>
            <w:vAlign w:val="center"/>
            <w:shd w:fill="F6F7FB"/>
          </w:tcPr>
          <w:p>
            <w:pPr>
              <w:spacing w:after="40"/>
            </w:pPr>
            <w:r/>
            <w:r>
              <w:rPr>
                <w:b w:val="0"/>
                <w:sz w:val="17"/>
              </w:rPr>
              <w:t>This directly answers why the architecture matters.</w:t>
            </w:r>
          </w:p>
        </w:tc>
      </w:tr>
      <w:tr>
        <w:tc>
          <w:tcPr>
            <w:tcW w:type="dxa" w:w="3960"/>
            <w:vAlign w:val="center"/>
            <w:shd w:fill="FFFFFF"/>
          </w:tcPr>
          <w:p>
            <w:pPr>
              <w:spacing w:after="40"/>
            </w:pPr>
            <w:r/>
            <w:r>
              <w:rPr>
                <w:b w:val="0"/>
                <w:sz w:val="17"/>
              </w:rPr>
              <w:t>“That is the value for the AI Finance Controller track: faster reconciliation, clearer explanations, safer automation, and better control for the finance team. Thank you.”</w:t>
            </w:r>
          </w:p>
        </w:tc>
        <w:tc>
          <w:tcPr>
            <w:tcW w:type="dxa" w:w="3168"/>
            <w:vAlign w:val="center"/>
            <w:shd w:fill="FFFFFF"/>
          </w:tcPr>
          <w:p>
            <w:pPr>
              <w:spacing w:after="40"/>
            </w:pPr>
            <w:r/>
            <w:r>
              <w:rPr>
                <w:b w:val="0"/>
                <w:sz w:val="17"/>
              </w:rPr>
              <w:t>Stop moving the cursor. End on the Overview screen.</w:t>
            </w:r>
          </w:p>
        </w:tc>
        <w:tc>
          <w:tcPr>
            <w:tcW w:type="dxa" w:w="2952"/>
            <w:vAlign w:val="center"/>
            <w:shd w:fill="FFFFFF"/>
          </w:tcPr>
          <w:p>
            <w:pPr>
              <w:spacing w:after="40"/>
            </w:pPr>
            <w:r/>
            <w:r>
              <w:rPr>
                <w:b w:val="0"/>
                <w:sz w:val="17"/>
              </w:rPr>
              <w:t>A still final frame feels confident and easy to remember.</w:t>
            </w:r>
          </w:p>
        </w:tc>
      </w:tr>
    </w:tbl>
    <w:p>
      <w:pPr>
        <w:widowControl/>
        <w:spacing w:after="40"/>
      </w:pPr>
    </w:p>
    <w:p>
      <w:pPr>
        <w:pStyle w:val="Heading1"/>
        <w:widowControl/>
        <w:spacing w:before="200" w:after="80"/>
      </w:pPr>
      <w:r>
        <w:t>14. Quick rehearsal checklist</w:t>
      </w:r>
    </w:p>
    <w:tbl>
      <w:tblPr>
        <w:tblStyle w:val="TableGrid"/>
        <w:tblW w:type="auto" w:w="0"/>
        <w:jc w:val="center"/>
        <w:tblLook w:firstColumn="1" w:firstRow="1" w:lastColumn="0" w:lastRow="0" w:noHBand="0" w:noVBand="1" w:val="04A0"/>
      </w:tblPr>
      <w:tblGrid>
        <w:gridCol w:w="3504"/>
        <w:gridCol w:w="3504"/>
        <w:gridCol w:w="3504"/>
      </w:tblGrid>
      <w:tr>
        <w:tc>
          <w:tcPr>
            <w:tcW w:type="dxa" w:w="3096"/>
            <w:vAlign w:val="center"/>
            <w:shd w:fill="24213A"/>
          </w:tcPr>
          <w:p>
            <w:pPr>
              <w:spacing w:after="40"/>
            </w:pPr>
            <w:r/>
            <w:r>
              <w:rPr>
                <w:b/>
                <w:color w:val="FFFFFF"/>
                <w:sz w:val="17"/>
              </w:rPr>
              <w:t>Before recording</w:t>
            </w:r>
          </w:p>
        </w:tc>
        <w:tc>
          <w:tcPr>
            <w:tcW w:type="dxa" w:w="3672"/>
            <w:vAlign w:val="center"/>
            <w:shd w:fill="24213A"/>
          </w:tcPr>
          <w:p>
            <w:pPr>
              <w:spacing w:after="40"/>
            </w:pPr>
            <w:r/>
            <w:r>
              <w:rPr>
                <w:b/>
                <w:color w:val="FFFFFF"/>
                <w:sz w:val="17"/>
              </w:rPr>
              <w:t>During recording</w:t>
            </w:r>
          </w:p>
        </w:tc>
        <w:tc>
          <w:tcPr>
            <w:tcW w:type="dxa" w:w="3312"/>
            <w:vAlign w:val="center"/>
            <w:shd w:fill="24213A"/>
          </w:tcPr>
          <w:p>
            <w:pPr>
              <w:spacing w:after="40"/>
            </w:pPr>
            <w:r/>
            <w:r>
              <w:rPr>
                <w:b/>
                <w:color w:val="FFFFFF"/>
                <w:sz w:val="17"/>
              </w:rPr>
              <w:t>Avoid</w:t>
            </w:r>
          </w:p>
        </w:tc>
      </w:tr>
      <w:tr>
        <w:tc>
          <w:tcPr>
            <w:tcW w:type="dxa" w:w="3096"/>
            <w:vAlign w:val="center"/>
            <w:shd w:fill="F6F7FB"/>
          </w:tcPr>
          <w:p>
            <w:pPr>
              <w:spacing w:after="40"/>
            </w:pPr>
            <w:r/>
            <w:r>
              <w:rPr>
                <w:b w:val="0"/>
                <w:sz w:val="17"/>
              </w:rPr>
              <w:t>Open Overview and verify the left navigation is visible.</w:t>
            </w:r>
          </w:p>
        </w:tc>
        <w:tc>
          <w:tcPr>
            <w:tcW w:type="dxa" w:w="3672"/>
            <w:vAlign w:val="center"/>
            <w:shd w:fill="F6F7FB"/>
          </w:tcPr>
          <w:p>
            <w:pPr>
              <w:spacing w:after="40"/>
            </w:pPr>
            <w:r/>
            <w:r>
              <w:rPr>
                <w:b w:val="0"/>
                <w:sz w:val="17"/>
              </w:rPr>
              <w:t>Move the cursor slowly and click once per instruction.</w:t>
            </w:r>
          </w:p>
        </w:tc>
        <w:tc>
          <w:tcPr>
            <w:tcW w:type="dxa" w:w="3312"/>
            <w:vAlign w:val="center"/>
            <w:shd w:fill="F6F7FB"/>
          </w:tcPr>
          <w:p>
            <w:pPr>
              <w:spacing w:after="40"/>
            </w:pPr>
            <w:r/>
            <w:r>
              <w:rPr>
                <w:b w:val="0"/>
                <w:sz w:val="17"/>
              </w:rPr>
              <w:t>Do not click Run evaluated batch twice.</w:t>
            </w:r>
          </w:p>
        </w:tc>
      </w:tr>
      <w:tr>
        <w:tc>
          <w:tcPr>
            <w:tcW w:type="dxa" w:w="3096"/>
            <w:vAlign w:val="center"/>
            <w:shd w:fill="FFFFFF"/>
          </w:tcPr>
          <w:p>
            <w:pPr>
              <w:spacing w:after="40"/>
            </w:pPr>
            <w:r/>
            <w:r>
              <w:rPr>
                <w:b w:val="0"/>
                <w:sz w:val="17"/>
              </w:rPr>
              <w:t>Know the three source names: settlement, bank, ERP.</w:t>
            </w:r>
          </w:p>
        </w:tc>
        <w:tc>
          <w:tcPr>
            <w:tcW w:type="dxa" w:w="3672"/>
            <w:vAlign w:val="center"/>
            <w:shd w:fill="FFFFFF"/>
          </w:tcPr>
          <w:p>
            <w:pPr>
              <w:spacing w:after="40"/>
            </w:pPr>
            <w:r/>
            <w:r>
              <w:rPr>
                <w:b w:val="0"/>
                <w:sz w:val="17"/>
              </w:rPr>
              <w:t>After every “Let me show you,” pause, click, and wait for the state change.</w:t>
            </w:r>
          </w:p>
        </w:tc>
        <w:tc>
          <w:tcPr>
            <w:tcW w:type="dxa" w:w="3312"/>
            <w:vAlign w:val="center"/>
            <w:shd w:fill="FFFFFF"/>
          </w:tcPr>
          <w:p>
            <w:pPr>
              <w:spacing w:after="40"/>
            </w:pPr>
            <w:r/>
            <w:r>
              <w:rPr>
                <w:b w:val="0"/>
                <w:sz w:val="17"/>
              </w:rPr>
              <w:t>Do not call synthetic metrics production results.</w:t>
            </w:r>
          </w:p>
        </w:tc>
      </w:tr>
      <w:tr>
        <w:tc>
          <w:tcPr>
            <w:tcW w:type="dxa" w:w="3096"/>
            <w:vAlign w:val="center"/>
            <w:shd w:fill="F6F7FB"/>
          </w:tcPr>
          <w:p>
            <w:pPr>
              <w:spacing w:after="40"/>
            </w:pPr>
            <w:r/>
            <w:r>
              <w:rPr>
                <w:b w:val="0"/>
                <w:sz w:val="17"/>
              </w:rPr>
              <w:t>Keep the Track 4 boundary ready: synthetic corpus, secure upload, CSV parser future integration.</w:t>
            </w:r>
          </w:p>
        </w:tc>
        <w:tc>
          <w:tcPr>
            <w:tcW w:type="dxa" w:w="3672"/>
            <w:vAlign w:val="center"/>
            <w:shd w:fill="F6F7FB"/>
          </w:tcPr>
          <w:p>
            <w:pPr>
              <w:spacing w:after="40"/>
            </w:pPr>
            <w:r/>
            <w:r>
              <w:rPr>
                <w:b w:val="0"/>
                <w:sz w:val="17"/>
              </w:rPr>
              <w:t>Use the words “evidence,” “rule,” “human approval,” and “audit trail.”</w:t>
            </w:r>
          </w:p>
        </w:tc>
        <w:tc>
          <w:tcPr>
            <w:tcW w:type="dxa" w:w="3312"/>
            <w:vAlign w:val="center"/>
            <w:shd w:fill="F6F7FB"/>
          </w:tcPr>
          <w:p>
            <w:pPr>
              <w:spacing w:after="40"/>
            </w:pPr>
            <w:r/>
            <w:r>
              <w:rPr>
                <w:b w:val="0"/>
                <w:sz w:val="17"/>
              </w:rPr>
              <w:t>Do not say the uploaded CSV has already entered the matcher.</w:t>
            </w:r>
          </w:p>
        </w:tc>
      </w:tr>
      <w:tr>
        <w:tc>
          <w:tcPr>
            <w:tcW w:type="dxa" w:w="3096"/>
            <w:vAlign w:val="center"/>
            <w:shd w:fill="FFFFFF"/>
          </w:tcPr>
          <w:p>
            <w:pPr>
              <w:spacing w:after="40"/>
            </w:pPr>
            <w:r/>
            <w:r>
              <w:rPr>
                <w:b w:val="0"/>
                <w:sz w:val="17"/>
              </w:rPr>
              <w:t>Use a calm voice; do not memorize every word exactly.</w:t>
            </w:r>
          </w:p>
        </w:tc>
        <w:tc>
          <w:tcPr>
            <w:tcW w:type="dxa" w:w="3672"/>
            <w:vAlign w:val="center"/>
            <w:shd w:fill="FFFFFF"/>
          </w:tcPr>
          <w:p>
            <w:pPr>
              <w:spacing w:after="40"/>
            </w:pPr>
            <w:r/>
            <w:r>
              <w:rPr>
                <w:b w:val="0"/>
                <w:sz w:val="17"/>
              </w:rPr>
              <w:t>If a toast appears, acknowledge it once and continue.</w:t>
            </w:r>
          </w:p>
        </w:tc>
        <w:tc>
          <w:tcPr>
            <w:tcW w:type="dxa" w:w="3312"/>
            <w:vAlign w:val="center"/>
            <w:shd w:fill="FFFFFF"/>
          </w:tcPr>
          <w:p>
            <w:pPr>
              <w:spacing w:after="40"/>
            </w:pPr>
            <w:r/>
            <w:r>
              <w:rPr>
                <w:b w:val="0"/>
                <w:sz w:val="17"/>
              </w:rPr>
              <w:t>Do not rush through Exceptions or AI Investigation.</w:t>
            </w:r>
          </w:p>
        </w:tc>
      </w:tr>
    </w:tbl>
    <w:p>
      <w:pPr>
        <w:widowControl/>
        <w:spacing w:after="40"/>
      </w:pPr>
    </w:p>
    <w:tbl>
      <w:tblPr>
        <w:tblW w:type="auto" w:w="0"/>
        <w:jc w:val="center"/>
        <w:tblLook w:firstColumn="1" w:firstRow="1" w:lastColumn="0" w:lastRow="0" w:noHBand="0" w:noVBand="1" w:val="04A0"/>
      </w:tblPr>
      <w:tblGrid>
        <w:gridCol w:w="10512"/>
      </w:tblGrid>
      <w:tr>
        <w:tc>
          <w:tcPr>
            <w:tcW w:type="dxa" w:w="10512"/>
            <w:shd w:fill="EAF5D8"/>
          </w:tcPr>
          <w:p>
            <w:pPr>
              <w:spacing w:after="40"/>
            </w:pPr>
            <w:r>
              <w:rPr>
                <w:b/>
                <w:sz w:val="20"/>
              </w:rPr>
              <w:t>One-line memory aid</w:t>
              <w:br/>
            </w:r>
            <w:r>
              <w:rPr>
                <w:sz w:val="18"/>
              </w:rPr>
              <w:t>“First show the evidence. Then show the rule. Then show the exception. Then show why AI is bounded by policy and human approval.”</w:t>
            </w:r>
          </w:p>
        </w:tc>
      </w:tr>
    </w:tbl>
    <w:p>
      <w:pPr>
        <w:widowControl/>
        <w:spacing w:after="40"/>
      </w:pPr>
    </w:p>
    <w:p>
      <w:pPr>
        <w:pStyle w:val="Heading1"/>
        <w:widowControl/>
        <w:spacing w:before="200" w:after="80"/>
      </w:pPr>
      <w:r>
        <w:t>15. Panel questions: short answers</w:t>
      </w:r>
    </w:p>
    <w:tbl>
      <w:tblPr>
        <w:tblStyle w:val="TableGrid"/>
        <w:tblW w:type="auto" w:w="0"/>
        <w:jc w:val="center"/>
        <w:tblLook w:firstColumn="1" w:firstRow="1" w:lastColumn="0" w:lastRow="0" w:noHBand="0" w:noVBand="1" w:val="04A0"/>
      </w:tblPr>
      <w:tblGrid>
        <w:gridCol w:w="5256"/>
        <w:gridCol w:w="5256"/>
      </w:tblGrid>
      <w:tr>
        <w:tc>
          <w:tcPr>
            <w:tcW w:type="dxa" w:w="2880"/>
            <w:vAlign w:val="center"/>
            <w:shd w:fill="24213A"/>
          </w:tcPr>
          <w:p>
            <w:pPr>
              <w:spacing w:after="40"/>
            </w:pPr>
            <w:r/>
            <w:r>
              <w:rPr>
                <w:b/>
                <w:color w:val="FFFFFF"/>
                <w:sz w:val="17"/>
              </w:rPr>
              <w:t>Question</w:t>
            </w:r>
          </w:p>
        </w:tc>
        <w:tc>
          <w:tcPr>
            <w:tcW w:type="dxa" w:w="7200"/>
            <w:vAlign w:val="center"/>
            <w:shd w:fill="24213A"/>
          </w:tcPr>
          <w:p>
            <w:pPr>
              <w:spacing w:after="40"/>
            </w:pPr>
            <w:r/>
            <w:r>
              <w:rPr>
                <w:b/>
                <w:color w:val="FFFFFF"/>
                <w:sz w:val="17"/>
              </w:rPr>
              <w:t>Answer to say</w:t>
            </w:r>
          </w:p>
        </w:tc>
      </w:tr>
      <w:tr>
        <w:tc>
          <w:tcPr>
            <w:tcW w:type="dxa" w:w="2880"/>
            <w:vAlign w:val="center"/>
            <w:shd w:fill="F6F7FB"/>
          </w:tcPr>
          <w:p>
            <w:pPr>
              <w:spacing w:after="40"/>
            </w:pPr>
            <w:r/>
            <w:r>
              <w:rPr>
                <w:b w:val="0"/>
                <w:sz w:val="17"/>
              </w:rPr>
              <w:t>What is unique here?</w:t>
            </w:r>
          </w:p>
        </w:tc>
        <w:tc>
          <w:tcPr>
            <w:tcW w:type="dxa" w:w="7200"/>
            <w:vAlign w:val="center"/>
            <w:shd w:fill="F6F7FB"/>
          </w:tcPr>
          <w:p>
            <w:pPr>
              <w:spacing w:after="40"/>
            </w:pPr>
            <w:r/>
            <w:r>
              <w:rPr>
                <w:b w:val="0"/>
                <w:sz w:val="17"/>
              </w:rPr>
              <w:t>Ledger Sherlock does not use AI as an unexplained matcher. It combines deterministic finance rules, evidence traces, bounded AI investigation, policy gates, human approval, and audit history.</w:t>
            </w:r>
          </w:p>
        </w:tc>
      </w:tr>
      <w:tr>
        <w:tc>
          <w:tcPr>
            <w:tcW w:type="dxa" w:w="2880"/>
            <w:vAlign w:val="center"/>
            <w:shd w:fill="FFFFFF"/>
          </w:tcPr>
          <w:p>
            <w:pPr>
              <w:spacing w:after="40"/>
            </w:pPr>
            <w:r/>
            <w:r>
              <w:rPr>
                <w:b w:val="0"/>
                <w:sz w:val="17"/>
              </w:rPr>
              <w:t>Why cannot a general AI tool do this alone?</w:t>
            </w:r>
          </w:p>
        </w:tc>
        <w:tc>
          <w:tcPr>
            <w:tcW w:type="dxa" w:w="7200"/>
            <w:vAlign w:val="center"/>
            <w:shd w:fill="FFFFFF"/>
          </w:tcPr>
          <w:p>
            <w:pPr>
              <w:spacing w:after="40"/>
            </w:pPr>
            <w:r/>
            <w:r>
              <w:rPr>
                <w:b w:val="0"/>
                <w:sz w:val="17"/>
              </w:rPr>
              <w:t>A general model may not have complete evidence or the company’s policy, and it can be confidently wrong. Ledger Sherlock gives AI only unresolved context and keeps final control with the finance process.</w:t>
            </w:r>
          </w:p>
        </w:tc>
      </w:tr>
      <w:tr>
        <w:tc>
          <w:tcPr>
            <w:tcW w:type="dxa" w:w="2880"/>
            <w:vAlign w:val="center"/>
            <w:shd w:fill="F6F7FB"/>
          </w:tcPr>
          <w:p>
            <w:pPr>
              <w:spacing w:after="40"/>
            </w:pPr>
            <w:r/>
            <w:r>
              <w:rPr>
                <w:b w:val="0"/>
                <w:sz w:val="17"/>
              </w:rPr>
              <w:t>Are the 60 cases live merchant data?</w:t>
            </w:r>
          </w:p>
        </w:tc>
        <w:tc>
          <w:tcPr>
            <w:tcW w:type="dxa" w:w="7200"/>
            <w:vAlign w:val="center"/>
            <w:shd w:fill="F6F7FB"/>
          </w:tcPr>
          <w:p>
            <w:pPr>
              <w:spacing w:after="40"/>
            </w:pPr>
            <w:r/>
            <w:r>
              <w:rPr>
                <w:b w:val="0"/>
                <w:sz w:val="17"/>
              </w:rPr>
              <w:t>No. They are a versioned synthetic evaluation corpus used to measure the proof loop honestly. Live CSV parsing into the matcher is the next integration.</w:t>
            </w:r>
          </w:p>
        </w:tc>
      </w:tr>
      <w:tr>
        <w:tc>
          <w:tcPr>
            <w:tcW w:type="dxa" w:w="2880"/>
            <w:vAlign w:val="center"/>
            <w:shd w:fill="FFFFFF"/>
          </w:tcPr>
          <w:p>
            <w:pPr>
              <w:spacing w:after="40"/>
            </w:pPr>
            <w:r/>
            <w:r>
              <w:rPr>
                <w:b w:val="0"/>
                <w:sz w:val="17"/>
              </w:rPr>
              <w:t>What happens to an uncertain case?</w:t>
            </w:r>
          </w:p>
        </w:tc>
        <w:tc>
          <w:tcPr>
            <w:tcW w:type="dxa" w:w="7200"/>
            <w:vAlign w:val="center"/>
            <w:shd w:fill="FFFFFF"/>
          </w:tcPr>
          <w:p>
            <w:pPr>
              <w:spacing w:after="40"/>
            </w:pPr>
            <w:r/>
            <w:r>
              <w:rPr>
                <w:b w:val="0"/>
                <w:sz w:val="17"/>
              </w:rPr>
              <w:t>It remains in Exceptions, receives structured AI context if appropriate, and stays behind a human approval gate.</w:t>
            </w:r>
          </w:p>
        </w:tc>
      </w:tr>
      <w:tr>
        <w:tc>
          <w:tcPr>
            <w:tcW w:type="dxa" w:w="2880"/>
            <w:vAlign w:val="center"/>
            <w:shd w:fill="F6F7FB"/>
          </w:tcPr>
          <w:p>
            <w:pPr>
              <w:spacing w:after="40"/>
            </w:pPr>
            <w:r/>
            <w:r>
              <w:rPr>
                <w:b w:val="0"/>
                <w:sz w:val="17"/>
              </w:rPr>
              <w:t>What would you build next?</w:t>
            </w:r>
          </w:p>
        </w:tc>
        <w:tc>
          <w:tcPr>
            <w:tcW w:type="dxa" w:w="7200"/>
            <w:vAlign w:val="center"/>
            <w:shd w:fill="F6F7FB"/>
          </w:tcPr>
          <w:p>
            <w:pPr>
              <w:spacing w:after="40"/>
            </w:pPr>
            <w:r/>
            <w:r>
              <w:rPr>
                <w:b w:val="0"/>
                <w:sz w:val="17"/>
              </w:rPr>
              <w:t>Parse uploaded CSV rows into a canonical transaction model, connect them to the deterministic matcher, and persist live audit events per workspace.</w:t>
            </w:r>
          </w:p>
        </w:tc>
      </w:tr>
    </w:tbl>
    <w:p>
      <w:pPr>
        <w:widowControl/>
        <w:spacing w:after="40"/>
      </w:pPr>
    </w:p>
    <w:p>
      <w:pPr>
        <w:pStyle w:val="Heading1"/>
        <w:widowControl/>
        <w:spacing w:before="200" w:after="80"/>
      </w:pPr>
      <w:r>
        <w:t>Final confidence note</w:t>
      </w:r>
    </w:p>
    <w:p>
      <w:pPr>
        <w:widowControl/>
        <w:spacing w:after="100" w:line="259" w:lineRule="auto"/>
      </w:pPr>
      <w:r>
        <w:t>The panel does not need to remember every button. They need to remember the product logic: Ledger Sherlock makes financial decisions explainable, safe, and reviewable. Keep returning to that idea while you click through the screens.</w:t>
      </w:r>
    </w:p>
    <w:sectPr w:rsidR="00FC693F" w:rsidRPr="0006063C" w:rsidSect="00034616">
      <w:headerReference w:type="default" r:id="rId9"/>
      <w:footerReference w:type="default" r:id="rId10"/>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Ledger Sherlock  •  Owais Khan  •  Panel rehearsal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C3FBF"/>
        <w:sz w:val="16"/>
      </w:rPr>
      <w:t>LEDGER SHERLOCK  /  PANEL WALKTHROUGH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24213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5C3FB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24213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Ledger Sherlock Panel Demo Click-by-Click Walkthrough</dc:title>
  <dc:subject>English panel script and live product demonstration guide</dc:subject>
  <dc:creator>Manus AI</dc:creator>
  <cp:keywords>Ledger Sherlock, reconciliation, Razorpay AI Finance Controller, panel demo</cp:keywords>
  <dc:description>generated by python-docx</dc:description>
  <cp:lastModifiedBy/>
  <cp:revision>1</cp:revision>
  <dcterms:created xsi:type="dcterms:W3CDTF">2013-12-23T23:15:00Z</dcterms:created>
  <dcterms:modified xsi:type="dcterms:W3CDTF">2013-12-23T23:15:00Z</dcterms:modified>
  <cp:category/>
</cp:coreProperties>
</file>