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AD004" w14:textId="77777777" w:rsidR="00DF3040" w:rsidRDefault="00DF3040">
      <w:pPr>
        <w:widowControl/>
        <w:spacing w:line="360" w:lineRule="auto"/>
        <w:jc w:val="center"/>
        <w:rPr>
          <w:rFonts w:ascii="黑体" w:eastAsia="黑体" w:hAnsi="黑体" w:cs="黑体" w:hint="eastAsia"/>
          <w:kern w:val="0"/>
          <w:szCs w:val="36"/>
        </w:rPr>
      </w:pPr>
    </w:p>
    <w:p w14:paraId="072AD005" w14:textId="77777777" w:rsidR="00DF3040" w:rsidRDefault="007E4424">
      <w:pPr>
        <w:widowControl/>
        <w:spacing w:line="360" w:lineRule="auto"/>
        <w:jc w:val="center"/>
        <w:outlineLvl w:val="0"/>
        <w:rPr>
          <w:rFonts w:ascii="黑体" w:eastAsia="黑体" w:hAnsi="黑体" w:cs="黑体" w:hint="eastAsia"/>
          <w:kern w:val="0"/>
          <w:sz w:val="36"/>
          <w:szCs w:val="36"/>
        </w:rPr>
      </w:pPr>
      <w:bookmarkStart w:id="0" w:name="_Toc8165"/>
      <w:r>
        <w:rPr>
          <w:rFonts w:ascii="黑体" w:eastAsia="黑体" w:hAnsi="黑体" w:cs="黑体" w:hint="eastAsia"/>
          <w:kern w:val="0"/>
          <w:sz w:val="36"/>
          <w:szCs w:val="36"/>
          <w14:ligatures w14:val="none"/>
        </w:rPr>
        <w:t>第十七章 药物经济学评价指南</w:t>
      </w:r>
      <w:bookmarkEnd w:id="0"/>
    </w:p>
    <w:p w14:paraId="072AD006" w14:textId="77777777" w:rsidR="00DF3040" w:rsidRDefault="007E4424">
      <w:pPr>
        <w:widowControl/>
        <w:spacing w:line="360" w:lineRule="auto"/>
        <w:jc w:val="center"/>
        <w:outlineLvl w:val="0"/>
        <w:rPr>
          <w:rFonts w:ascii="黑体" w:eastAsia="黑体" w:hAnsi="黑体" w:cs="黑体" w:hint="eastAsia"/>
          <w:kern w:val="0"/>
          <w:sz w:val="32"/>
          <w:szCs w:val="32"/>
        </w:rPr>
      </w:pPr>
      <w:bookmarkStart w:id="1" w:name="_Toc18913"/>
      <w:r>
        <w:rPr>
          <w:rFonts w:ascii="黑体" w:eastAsia="黑体" w:hAnsi="黑体" w:cs="黑体" w:hint="eastAsia"/>
          <w:kern w:val="0"/>
          <w:sz w:val="32"/>
          <w:szCs w:val="32"/>
          <w14:ligatures w14:val="none"/>
        </w:rPr>
        <w:t>第一节 药物经济学评价指南概述</w:t>
      </w:r>
      <w:bookmarkEnd w:id="1"/>
    </w:p>
    <w:p w14:paraId="40298B89" w14:textId="77777777" w:rsidR="007E4424" w:rsidRPr="007E4424" w:rsidRDefault="007E4424" w:rsidP="007E4424">
      <w:pPr>
        <w:widowControl/>
        <w:shd w:val="clear" w:color="auto" w:fill="FFFFFF"/>
        <w:spacing w:line="360" w:lineRule="auto"/>
        <w:ind w:firstLineChars="200" w:firstLine="420"/>
        <w:rPr>
          <w:rFonts w:ascii="Times New Roman" w:eastAsia="宋体" w:hAnsi="Times New Roman" w:cs="Times New Roman"/>
          <w:color w:val="0F1115"/>
          <w:szCs w:val="21"/>
          <w:shd w:val="clear" w:color="auto" w:fill="FFFFFF"/>
        </w:rPr>
      </w:pPr>
      <w:bookmarkStart w:id="2" w:name="_Toc1762"/>
      <w:r w:rsidRPr="007E4424">
        <w:rPr>
          <w:rFonts w:ascii="Times New Roman" w:eastAsia="宋体" w:hAnsi="Times New Roman" w:cs="Times New Roman" w:hint="eastAsia"/>
          <w:color w:val="0F1115"/>
          <w:szCs w:val="21"/>
          <w:shd w:val="clear" w:color="auto" w:fill="FFFFFF"/>
        </w:rPr>
        <w:t>随着医疗技术的快速发展和人口结构的变化，全球范围内卫生费用持续增长，如何高效、公平地配置与利用有限的药物资源，成为政策制定者、医疗机构和社会公众共同关注的核心议题。药物经济学评价通过系统比较不同干预方案的成本与健康产出，为资源的优化配置提供了重要的科学依据和决策支持。</w:t>
      </w:r>
      <w:r w:rsidRPr="007E4424">
        <w:rPr>
          <w:rFonts w:ascii="Times New Roman" w:eastAsia="宋体" w:hAnsi="Times New Roman" w:cs="Times New Roman" w:hint="eastAsia"/>
          <w:color w:val="0F1115"/>
          <w:szCs w:val="21"/>
          <w:shd w:val="clear" w:color="auto" w:fill="FFFFFF"/>
        </w:rPr>
        <w:t xml:space="preserve"> </w:t>
      </w:r>
      <w:r w:rsidRPr="007E4424">
        <w:rPr>
          <w:rFonts w:ascii="Times New Roman" w:eastAsia="宋体" w:hAnsi="Times New Roman" w:cs="Times New Roman" w:hint="eastAsia"/>
          <w:color w:val="0F1115"/>
          <w:szCs w:val="21"/>
          <w:shd w:val="clear" w:color="auto" w:fill="FFFFFF"/>
        </w:rPr>
        <w:t>然而，药物经济学研究在设计、方法、数据来源等方面存在差异，其质量与可信度直接影响其在政策与实践中的应用价值。为规范研究过程、提升研究结果的科学性、透明性和可比性，各国及相关组织逐步制定药物经济学评价指南。这些指南不仅为研究者提供了方法学标准与技术指导，也为决策者评估研究证据、制定药品相关政策奠定了规范性基础。</w:t>
      </w:r>
    </w:p>
    <w:p w14:paraId="14DAD8E5" w14:textId="77777777" w:rsidR="007E4424" w:rsidRPr="007E4424" w:rsidRDefault="007E4424" w:rsidP="007E4424">
      <w:pPr>
        <w:widowControl/>
        <w:shd w:val="clear" w:color="auto" w:fill="FFFFFF"/>
        <w:spacing w:line="360" w:lineRule="auto"/>
        <w:ind w:firstLineChars="200" w:firstLine="602"/>
        <w:outlineLvl w:val="0"/>
        <w:rPr>
          <w:rFonts w:ascii="黑体" w:eastAsia="黑体" w:hAnsi="黑体" w:cs="黑体" w:hint="eastAsia"/>
          <w:b/>
          <w:bCs/>
          <w:color w:val="0F1115"/>
          <w:sz w:val="30"/>
          <w:szCs w:val="30"/>
          <w:shd w:val="clear" w:color="auto" w:fill="FFFFFF"/>
        </w:rPr>
      </w:pPr>
      <w:bookmarkStart w:id="3" w:name="_Toc5795"/>
      <w:r w:rsidRPr="007E4424">
        <w:rPr>
          <w:rFonts w:ascii="黑体" w:eastAsia="黑体" w:hAnsi="黑体" w:cs="黑体" w:hint="eastAsia"/>
          <w:b/>
          <w:bCs/>
          <w:color w:val="0F1115"/>
          <w:sz w:val="30"/>
          <w:szCs w:val="30"/>
          <w:shd w:val="clear" w:color="auto" w:fill="FFFFFF"/>
        </w:rPr>
        <w:t>一、药物经济学评价指南的概念与特征</w:t>
      </w:r>
      <w:bookmarkEnd w:id="3"/>
    </w:p>
    <w:p w14:paraId="2ABF8E0D" w14:textId="77777777" w:rsidR="007E4424" w:rsidRPr="007E4424" w:rsidRDefault="007E4424" w:rsidP="007E4424">
      <w:pPr>
        <w:widowControl/>
        <w:shd w:val="clear" w:color="auto" w:fill="FFFFFF"/>
        <w:spacing w:line="360" w:lineRule="auto"/>
        <w:ind w:firstLineChars="200" w:firstLine="560"/>
        <w:outlineLvl w:val="1"/>
        <w:rPr>
          <w:rFonts w:ascii="Times New Roman" w:eastAsia="宋体" w:hAnsi="Times New Roman" w:cs="Times New Roman"/>
          <w:color w:val="0F1115"/>
          <w:sz w:val="28"/>
          <w:szCs w:val="28"/>
          <w:shd w:val="clear" w:color="auto" w:fill="FFFFFF"/>
        </w:rPr>
      </w:pPr>
      <w:bookmarkStart w:id="4" w:name="_Toc12973"/>
      <w:r w:rsidRPr="007E4424">
        <w:rPr>
          <w:rFonts w:ascii="Times New Roman" w:eastAsia="宋体" w:hAnsi="Times New Roman" w:cs="Times New Roman" w:hint="eastAsia"/>
          <w:color w:val="0F1115"/>
          <w:sz w:val="28"/>
          <w:szCs w:val="28"/>
          <w:shd w:val="clear" w:color="auto" w:fill="FFFFFF"/>
        </w:rPr>
        <w:t>（一）</w:t>
      </w:r>
      <w:r w:rsidRPr="007E4424">
        <w:rPr>
          <w:rFonts w:ascii="Times New Roman" w:eastAsia="宋体" w:hAnsi="Times New Roman" w:cs="Times New Roman"/>
          <w:color w:val="0F1115"/>
          <w:sz w:val="28"/>
          <w:szCs w:val="28"/>
          <w:shd w:val="clear" w:color="auto" w:fill="FFFFFF"/>
        </w:rPr>
        <w:t>药物经济学评价指南</w:t>
      </w:r>
      <w:r w:rsidRPr="007E4424">
        <w:rPr>
          <w:rFonts w:ascii="Times New Roman" w:eastAsia="宋体" w:hAnsi="Times New Roman" w:cs="Times New Roman" w:hint="eastAsia"/>
          <w:color w:val="0F1115"/>
          <w:sz w:val="28"/>
          <w:szCs w:val="28"/>
          <w:shd w:val="clear" w:color="auto" w:fill="FFFFFF"/>
        </w:rPr>
        <w:t>的概念</w:t>
      </w:r>
      <w:bookmarkEnd w:id="4"/>
    </w:p>
    <w:p w14:paraId="11B95FCB" w14:textId="77777777" w:rsidR="007E4424" w:rsidRPr="007E4424" w:rsidRDefault="007E4424" w:rsidP="007E4424">
      <w:pPr>
        <w:widowControl/>
        <w:shd w:val="clear" w:color="auto" w:fill="FFFFFF"/>
        <w:spacing w:line="360" w:lineRule="auto"/>
        <w:ind w:firstLineChars="200" w:firstLine="420"/>
        <w:rPr>
          <w:rFonts w:ascii="Times New Roman" w:eastAsia="宋体" w:hAnsi="Times New Roman" w:cs="Times New Roman"/>
          <w:color w:val="0F1115"/>
          <w:szCs w:val="21"/>
          <w:shd w:val="clear" w:color="auto" w:fill="FFFFFF"/>
        </w:rPr>
      </w:pPr>
      <w:r w:rsidRPr="007E4424">
        <w:rPr>
          <w:rFonts w:ascii="Times New Roman" w:eastAsia="宋体" w:hAnsi="Times New Roman" w:cs="Times New Roman" w:hint="eastAsia"/>
          <w:color w:val="0F1115"/>
          <w:szCs w:val="21"/>
          <w:shd w:val="clear" w:color="auto" w:fill="FFFFFF"/>
        </w:rPr>
        <w:t>药物经济学评价指南是指由国家、地区或行业组织制定和发布的，用于指导和规范药物经济学研究与评价工作的一般规范。它基于药物经济学的基本理论与方法，结合本国或本地区的实际情况，对研究视角、成本与收益的识别与计量、评价指标与方法的选择、贴现率的确定等关键环节提出统一的要求和建议，旨在提升药物经济学研究的规范性、科学性和可比性，为药品相关决策提供可靠的经济学依据。</w:t>
      </w:r>
    </w:p>
    <w:p w14:paraId="0F9CA4C6" w14:textId="77777777" w:rsidR="007E4424" w:rsidRPr="007E4424" w:rsidRDefault="007E4424" w:rsidP="007E4424">
      <w:pPr>
        <w:widowControl/>
        <w:shd w:val="clear" w:color="auto" w:fill="FFFFFF"/>
        <w:spacing w:line="360" w:lineRule="auto"/>
        <w:ind w:firstLineChars="200" w:firstLine="560"/>
        <w:outlineLvl w:val="1"/>
        <w:rPr>
          <w:rFonts w:ascii="Times New Roman" w:eastAsia="宋体" w:hAnsi="Times New Roman" w:cs="Times New Roman"/>
          <w:color w:val="0F1115"/>
          <w:sz w:val="28"/>
          <w:szCs w:val="28"/>
          <w:shd w:val="clear" w:color="auto" w:fill="FFFFFF"/>
        </w:rPr>
      </w:pPr>
      <w:bookmarkStart w:id="5" w:name="_Toc28756"/>
      <w:r w:rsidRPr="007E4424">
        <w:rPr>
          <w:rFonts w:ascii="Times New Roman" w:eastAsia="宋体" w:hAnsi="Times New Roman" w:cs="Times New Roman" w:hint="eastAsia"/>
          <w:color w:val="0F1115"/>
          <w:sz w:val="28"/>
          <w:szCs w:val="28"/>
          <w:shd w:val="clear" w:color="auto" w:fill="FFFFFF"/>
        </w:rPr>
        <w:t>（二）药物经济学评价指南的特征</w:t>
      </w:r>
      <w:bookmarkEnd w:id="5"/>
    </w:p>
    <w:p w14:paraId="0769F1FC" w14:textId="77777777" w:rsidR="007E4424" w:rsidRPr="007E4424" w:rsidRDefault="007E4424" w:rsidP="007E4424">
      <w:pPr>
        <w:widowControl/>
        <w:shd w:val="clear" w:color="auto" w:fill="FFFFFF"/>
        <w:spacing w:line="360" w:lineRule="auto"/>
        <w:ind w:firstLineChars="200" w:firstLine="420"/>
        <w:rPr>
          <w:rFonts w:ascii="Times New Roman" w:eastAsia="宋体" w:hAnsi="Times New Roman" w:cs="Times New Roman"/>
          <w:color w:val="0F1115"/>
          <w:szCs w:val="21"/>
          <w:shd w:val="clear" w:color="auto" w:fill="FFFFFF"/>
        </w:rPr>
      </w:pPr>
      <w:r w:rsidRPr="007E4424">
        <w:rPr>
          <w:rFonts w:ascii="Times New Roman" w:eastAsia="宋体" w:hAnsi="Times New Roman" w:cs="Times New Roman" w:hint="eastAsia"/>
          <w:color w:val="0F1115"/>
          <w:szCs w:val="21"/>
          <w:shd w:val="clear" w:color="auto" w:fill="FFFFFF"/>
        </w:rPr>
        <w:t>1992</w:t>
      </w:r>
      <w:r w:rsidRPr="007E4424">
        <w:rPr>
          <w:rFonts w:ascii="Times New Roman" w:eastAsia="宋体" w:hAnsi="Times New Roman" w:cs="Times New Roman" w:hint="eastAsia"/>
          <w:color w:val="0F1115"/>
          <w:szCs w:val="21"/>
          <w:shd w:val="clear" w:color="auto" w:fill="FFFFFF"/>
        </w:rPr>
        <w:t>年，澳大利亚率先颁布了药品卫生经济学评价的强制性方法学指南。此后，多个国家及组织相继制定相应的评价准则或方法学规范，提升药物经济学研究的质量、规范性与可比性。这些指南的出台，旨在应对早期研究中方法学上差异显著、数据本地化要求高以及研究者缺乏规范指引等挑战。其核心特征可概括为以下三点：</w:t>
      </w:r>
    </w:p>
    <w:p w14:paraId="067510EA" w14:textId="77777777" w:rsidR="007E4424" w:rsidRPr="007E4424" w:rsidRDefault="007E4424" w:rsidP="007E4424">
      <w:pPr>
        <w:widowControl/>
        <w:shd w:val="clear" w:color="auto" w:fill="FFFFFF"/>
        <w:spacing w:line="360" w:lineRule="auto"/>
        <w:ind w:firstLineChars="200" w:firstLine="480"/>
        <w:rPr>
          <w:rFonts w:ascii="Times New Roman" w:eastAsia="宋体" w:hAnsi="Times New Roman" w:cs="Times New Roman"/>
          <w:color w:val="0F1115"/>
          <w:szCs w:val="21"/>
          <w:shd w:val="clear" w:color="auto" w:fill="FFFFFF"/>
        </w:rPr>
      </w:pPr>
      <w:r w:rsidRPr="007E4424">
        <w:rPr>
          <w:rFonts w:ascii="Times New Roman" w:eastAsia="宋体" w:hAnsi="Times New Roman" w:cs="Times New Roman" w:hint="eastAsia"/>
          <w:color w:val="0F1115"/>
          <w:sz w:val="24"/>
          <w:szCs w:val="24"/>
          <w:shd w:val="clear" w:color="auto" w:fill="FFFFFF"/>
        </w:rPr>
        <w:t>1.</w:t>
      </w:r>
      <w:r w:rsidRPr="007E4424">
        <w:rPr>
          <w:rFonts w:ascii="Times New Roman" w:eastAsia="宋体" w:hAnsi="Times New Roman" w:cs="Times New Roman" w:hint="eastAsia"/>
          <w:color w:val="0F1115"/>
          <w:sz w:val="24"/>
          <w:szCs w:val="24"/>
          <w:shd w:val="clear" w:color="auto" w:fill="FFFFFF"/>
        </w:rPr>
        <w:t>以规范化为目标</w:t>
      </w:r>
      <w:r w:rsidRPr="007E4424">
        <w:rPr>
          <w:rFonts w:ascii="Times New Roman" w:eastAsia="宋体" w:hAnsi="Times New Roman" w:cs="Times New Roman" w:hint="eastAsia"/>
          <w:color w:val="0F1115"/>
          <w:sz w:val="24"/>
          <w:szCs w:val="24"/>
          <w:shd w:val="clear" w:color="auto" w:fill="FFFFFF"/>
        </w:rPr>
        <w:t xml:space="preserve">  </w:t>
      </w:r>
      <w:r w:rsidRPr="007E4424">
        <w:rPr>
          <w:rFonts w:ascii="Times New Roman" w:eastAsia="宋体" w:hAnsi="Times New Roman" w:cs="Times New Roman" w:hint="eastAsia"/>
          <w:color w:val="0F1115"/>
          <w:szCs w:val="21"/>
          <w:shd w:val="clear" w:color="auto" w:fill="FFFFFF"/>
        </w:rPr>
        <w:t>指南通过构建统一、清晰的技术规范，对研究视角、成本与健康产出的识别与测算、评价方法的选择以及贴现率的应用等核心环节作出明确规定，以保障研究过程的严谨性和规范性，增强研究结果之间的可比性，进而为卫生决策提供客观、可靠的证据支持，推动有限医疗资源的合理配置与高效利用。</w:t>
      </w:r>
    </w:p>
    <w:p w14:paraId="5416959B" w14:textId="77777777" w:rsidR="007E4424" w:rsidRPr="007E4424" w:rsidRDefault="007E4424" w:rsidP="007E4424">
      <w:pPr>
        <w:widowControl/>
        <w:shd w:val="clear" w:color="auto" w:fill="FFFFFF"/>
        <w:spacing w:line="360" w:lineRule="auto"/>
        <w:ind w:firstLineChars="200" w:firstLine="480"/>
        <w:rPr>
          <w:rFonts w:ascii="Times New Roman" w:eastAsia="宋体" w:hAnsi="Times New Roman" w:cs="Times New Roman"/>
          <w:color w:val="0F1115"/>
          <w:szCs w:val="21"/>
          <w:shd w:val="clear" w:color="auto" w:fill="FFFFFF"/>
        </w:rPr>
      </w:pPr>
      <w:r w:rsidRPr="007E4424">
        <w:rPr>
          <w:rFonts w:ascii="Times New Roman" w:eastAsia="宋体" w:hAnsi="Times New Roman" w:cs="Times New Roman" w:hint="eastAsia"/>
          <w:color w:val="0F1115"/>
          <w:sz w:val="24"/>
          <w:szCs w:val="24"/>
          <w:shd w:val="clear" w:color="auto" w:fill="FFFFFF"/>
        </w:rPr>
        <w:lastRenderedPageBreak/>
        <w:t>2.</w:t>
      </w:r>
      <w:r w:rsidRPr="007E4424">
        <w:rPr>
          <w:rFonts w:ascii="Times New Roman" w:eastAsia="宋体" w:hAnsi="Times New Roman" w:cs="Times New Roman" w:hint="eastAsia"/>
          <w:color w:val="0F1115"/>
          <w:sz w:val="24"/>
          <w:szCs w:val="24"/>
          <w:shd w:val="clear" w:color="auto" w:fill="FFFFFF"/>
        </w:rPr>
        <w:t>具有本土化属性</w:t>
      </w:r>
      <w:r w:rsidRPr="007E4424">
        <w:rPr>
          <w:rFonts w:ascii="Times New Roman" w:eastAsia="宋体" w:hAnsi="Times New Roman" w:cs="Times New Roman" w:hint="eastAsia"/>
          <w:color w:val="0F1115"/>
          <w:sz w:val="24"/>
          <w:szCs w:val="24"/>
          <w:shd w:val="clear" w:color="auto" w:fill="FFFFFF"/>
        </w:rPr>
        <w:t xml:space="preserve">  </w:t>
      </w:r>
      <w:r w:rsidRPr="007E4424">
        <w:rPr>
          <w:rFonts w:ascii="Times New Roman" w:eastAsia="宋体" w:hAnsi="Times New Roman" w:cs="Times New Roman" w:hint="eastAsia"/>
          <w:color w:val="0F1115"/>
          <w:szCs w:val="21"/>
          <w:shd w:val="clear" w:color="auto" w:fill="FFFFFF"/>
        </w:rPr>
        <w:t>药物经济学评价指南的制定与实施必须立足于本国或地区的实际国情，具有显著的本土化属性。不同国家或地区在医疗卫生体系、医疗保障支付能力、药品定价与补偿政策、临床诊疗路径规范、流行病学疾病负担以及社会文化与价值取向等方面存在系统性差异。因此，适用于某一区域的评价指南，在研究视角、成本测量、健康结果测量、折现率选择以及意愿支付阈值设定等关键技术环节上，必须充分考虑并适应本土的卫生政策环境、经济社会发展阶段和民众健康需求。</w:t>
      </w:r>
    </w:p>
    <w:p w14:paraId="017648C8" w14:textId="77777777" w:rsidR="007E4424" w:rsidRPr="007E4424" w:rsidRDefault="007E4424" w:rsidP="007E4424">
      <w:pPr>
        <w:widowControl/>
        <w:shd w:val="clear" w:color="auto" w:fill="FFFFFF"/>
        <w:spacing w:line="360" w:lineRule="auto"/>
        <w:ind w:firstLineChars="200" w:firstLine="480"/>
        <w:rPr>
          <w:rFonts w:ascii="Times New Roman" w:eastAsia="宋体" w:hAnsi="Times New Roman" w:cs="Times New Roman"/>
          <w:color w:val="0F1115"/>
          <w:szCs w:val="21"/>
          <w:shd w:val="clear" w:color="auto" w:fill="FFFFFF"/>
        </w:rPr>
      </w:pPr>
      <w:r w:rsidRPr="007E4424">
        <w:rPr>
          <w:rFonts w:ascii="Times New Roman" w:eastAsia="宋体" w:hAnsi="Times New Roman" w:cs="Times New Roman" w:hint="eastAsia"/>
          <w:color w:val="0F1115"/>
          <w:sz w:val="24"/>
          <w:szCs w:val="24"/>
          <w:shd w:val="clear" w:color="auto" w:fill="FFFFFF"/>
        </w:rPr>
        <w:t>3.</w:t>
      </w:r>
      <w:r w:rsidRPr="007E4424">
        <w:rPr>
          <w:rFonts w:ascii="Times New Roman" w:eastAsia="宋体" w:hAnsi="Times New Roman" w:cs="Times New Roman" w:hint="eastAsia"/>
          <w:color w:val="0F1115"/>
          <w:sz w:val="24"/>
          <w:szCs w:val="24"/>
          <w:shd w:val="clear" w:color="auto" w:fill="FFFFFF"/>
        </w:rPr>
        <w:t>呈现差异化形态</w:t>
      </w:r>
      <w:r w:rsidRPr="007E4424">
        <w:rPr>
          <w:rFonts w:ascii="Times New Roman" w:eastAsia="宋体" w:hAnsi="Times New Roman" w:cs="Times New Roman" w:hint="eastAsia"/>
          <w:color w:val="0F1115"/>
          <w:sz w:val="24"/>
          <w:szCs w:val="24"/>
          <w:shd w:val="clear" w:color="auto" w:fill="FFFFFF"/>
        </w:rPr>
        <w:t xml:space="preserve">  </w:t>
      </w:r>
      <w:r w:rsidRPr="007E4424">
        <w:rPr>
          <w:rFonts w:ascii="Times New Roman" w:eastAsia="宋体" w:hAnsi="Times New Roman" w:cs="Times New Roman" w:hint="eastAsia"/>
          <w:color w:val="0F1115"/>
          <w:szCs w:val="21"/>
          <w:shd w:val="clear" w:color="auto" w:fill="FFFFFF"/>
        </w:rPr>
        <w:t>根据经济学评价原则，各国药物经济学评价指南均提出药物经济学评价的基本原则，但在具体细节的阐述程度上存在差异。例如，推荐采用的评价方法存在显著差异，例如有些指南明确要求采用成本效用分析（</w:t>
      </w:r>
      <w:r w:rsidRPr="007E4424">
        <w:rPr>
          <w:rFonts w:ascii="Times New Roman" w:eastAsia="宋体" w:hAnsi="Times New Roman" w:cs="Times New Roman" w:hint="eastAsia"/>
          <w:color w:val="0F1115"/>
          <w:szCs w:val="21"/>
          <w:shd w:val="clear" w:color="auto" w:fill="FFFFFF"/>
        </w:rPr>
        <w:t>CUA</w:t>
      </w:r>
      <w:r w:rsidRPr="007E4424">
        <w:rPr>
          <w:rFonts w:ascii="Times New Roman" w:eastAsia="宋体" w:hAnsi="Times New Roman" w:cs="Times New Roman" w:hint="eastAsia"/>
          <w:color w:val="0F1115"/>
          <w:szCs w:val="21"/>
          <w:shd w:val="clear" w:color="auto" w:fill="FFFFFF"/>
        </w:rPr>
        <w:t>）或成本效果分析（</w:t>
      </w:r>
      <w:r w:rsidRPr="007E4424">
        <w:rPr>
          <w:rFonts w:ascii="Times New Roman" w:eastAsia="宋体" w:hAnsi="Times New Roman" w:cs="Times New Roman" w:hint="eastAsia"/>
          <w:color w:val="0F1115"/>
          <w:szCs w:val="21"/>
          <w:shd w:val="clear" w:color="auto" w:fill="FFFFFF"/>
        </w:rPr>
        <w:t>CEA</w:t>
      </w:r>
      <w:r w:rsidRPr="007E4424">
        <w:rPr>
          <w:rFonts w:ascii="Times New Roman" w:eastAsia="宋体" w:hAnsi="Times New Roman" w:cs="Times New Roman" w:hint="eastAsia"/>
          <w:color w:val="0F1115"/>
          <w:szCs w:val="21"/>
          <w:shd w:val="clear" w:color="auto" w:fill="FFFFFF"/>
        </w:rPr>
        <w:t>）作为分析方法，也有指南采用开放式表述，允许选择任何经济评估方法。由于在部分方法学问题上尚未形成全球统一共识，各国指南的具体要求存在差异。这种差异反映了不同的政策环境与学术观点，也使得不同指南下的研究结果难以进行直接比较。因此，药物经济学评价指南本身是原则统一性与细节差异性的结合体。</w:t>
      </w:r>
    </w:p>
    <w:p w14:paraId="31D2E298" w14:textId="77777777" w:rsidR="007E4424" w:rsidRPr="007E4424" w:rsidRDefault="007E4424" w:rsidP="007E4424">
      <w:pPr>
        <w:widowControl/>
        <w:shd w:val="clear" w:color="auto" w:fill="FFFFFF"/>
        <w:spacing w:line="360" w:lineRule="auto"/>
        <w:ind w:firstLineChars="200" w:firstLine="480"/>
        <w:rPr>
          <w:rFonts w:ascii="Times New Roman" w:eastAsia="宋体" w:hAnsi="Times New Roman" w:cs="Times New Roman"/>
          <w:color w:val="0F1115"/>
          <w:szCs w:val="21"/>
          <w:shd w:val="clear" w:color="auto" w:fill="FFFFFF"/>
        </w:rPr>
      </w:pPr>
      <w:r w:rsidRPr="007E4424">
        <w:rPr>
          <w:rFonts w:ascii="Times New Roman" w:eastAsia="宋体" w:hAnsi="Times New Roman" w:cs="Times New Roman" w:hint="eastAsia"/>
          <w:color w:val="0F1115"/>
          <w:sz w:val="24"/>
          <w:szCs w:val="24"/>
          <w:shd w:val="clear" w:color="auto" w:fill="FFFFFF"/>
        </w:rPr>
        <w:t>4.</w:t>
      </w:r>
      <w:r w:rsidRPr="007E4424">
        <w:rPr>
          <w:rFonts w:ascii="Times New Roman" w:eastAsia="宋体" w:hAnsi="Times New Roman" w:cs="Times New Roman" w:hint="eastAsia"/>
          <w:color w:val="0F1115"/>
          <w:sz w:val="24"/>
          <w:szCs w:val="24"/>
          <w:shd w:val="clear" w:color="auto" w:fill="FFFFFF"/>
        </w:rPr>
        <w:t>持续动态变化</w:t>
      </w:r>
      <w:r w:rsidRPr="007E4424">
        <w:rPr>
          <w:rFonts w:ascii="Times New Roman" w:eastAsia="宋体" w:hAnsi="Times New Roman" w:cs="Times New Roman" w:hint="eastAsia"/>
          <w:color w:val="0F1115"/>
          <w:szCs w:val="21"/>
          <w:shd w:val="clear" w:color="auto" w:fill="FFFFFF"/>
        </w:rPr>
        <w:t xml:space="preserve">  </w:t>
      </w:r>
      <w:r w:rsidRPr="007E4424">
        <w:rPr>
          <w:rFonts w:ascii="Times New Roman" w:eastAsia="宋体" w:hAnsi="Times New Roman" w:cs="Times New Roman" w:hint="eastAsia"/>
          <w:color w:val="0F1115"/>
          <w:szCs w:val="21"/>
          <w:shd w:val="clear" w:color="auto" w:fill="FFFFFF"/>
        </w:rPr>
        <w:t>药物经济学评价指南随着学科发展与实践需求的变化不断更新完善。首先，随着药物经济学理论与方法的进步，如模型分析技术的发展、健康产出测量工具的完善、人工智能的融合使用等，指南需要及时吸纳新的学术共识，保持方法学的先进性；其次，随着医疗卫生体制改革的深化，如医保支付方式调整、药品目录动态管理机制的建立，指南需相应调整评价视角、成本范围或阈值设定，以适应政策环境的变化；此外，新兴治疗技术（如基因治疗、细胞治疗等）的出现，往往带来传统评价方法难以应对的挑战，促使指南补充针对性的技术指导原则。</w:t>
      </w:r>
    </w:p>
    <w:p w14:paraId="024BB512" w14:textId="77777777" w:rsidR="007E4424" w:rsidRPr="007E4424" w:rsidRDefault="007E4424" w:rsidP="007E4424">
      <w:pPr>
        <w:widowControl/>
        <w:shd w:val="clear" w:color="auto" w:fill="FFFFFF"/>
        <w:spacing w:line="360" w:lineRule="auto"/>
        <w:ind w:firstLineChars="200" w:firstLine="602"/>
        <w:outlineLvl w:val="0"/>
        <w:rPr>
          <w:rFonts w:ascii="黑体" w:eastAsia="黑体" w:hAnsi="黑体" w:cs="黑体" w:hint="eastAsia"/>
          <w:b/>
          <w:bCs/>
          <w:color w:val="0F1115"/>
          <w:sz w:val="30"/>
          <w:szCs w:val="30"/>
          <w:shd w:val="clear" w:color="auto" w:fill="FFFFFF"/>
        </w:rPr>
      </w:pPr>
      <w:bookmarkStart w:id="6" w:name="_Toc30720"/>
      <w:r w:rsidRPr="007E4424">
        <w:rPr>
          <w:rFonts w:ascii="黑体" w:eastAsia="黑体" w:hAnsi="黑体" w:cs="黑体" w:hint="eastAsia"/>
          <w:b/>
          <w:bCs/>
          <w:color w:val="0F1115"/>
          <w:sz w:val="30"/>
          <w:szCs w:val="30"/>
          <w:shd w:val="clear" w:color="auto" w:fill="FFFFFF"/>
        </w:rPr>
        <w:t>二、药物经济学评价指南的分类</w:t>
      </w:r>
      <w:bookmarkEnd w:id="6"/>
    </w:p>
    <w:p w14:paraId="2D6E15F8" w14:textId="77777777" w:rsidR="007E4424" w:rsidRPr="007E4424" w:rsidRDefault="007E4424" w:rsidP="007E4424">
      <w:pPr>
        <w:widowControl/>
        <w:shd w:val="clear" w:color="auto" w:fill="FFFFFF"/>
        <w:spacing w:line="360" w:lineRule="auto"/>
        <w:ind w:firstLineChars="200" w:firstLine="420"/>
        <w:rPr>
          <w:rFonts w:ascii="Times New Roman" w:eastAsia="宋体" w:hAnsi="Times New Roman" w:cs="Times New Roman"/>
          <w:color w:val="0F1115"/>
          <w:sz w:val="24"/>
          <w:szCs w:val="24"/>
          <w:shd w:val="clear" w:color="auto" w:fill="FFFFFF"/>
        </w:rPr>
      </w:pPr>
      <w:r w:rsidRPr="007E4424">
        <w:rPr>
          <w:rFonts w:ascii="Times New Roman" w:eastAsia="宋体" w:hAnsi="Times New Roman" w:cs="Times New Roman" w:hint="eastAsia"/>
          <w:color w:val="0F1115"/>
          <w:szCs w:val="21"/>
          <w:shd w:val="clear" w:color="auto" w:fill="FFFFFF"/>
        </w:rPr>
        <w:t>药物经济学评价指南作为关键的方法学指导文件，旨在规范研究的开展与报告流程，并常被用作评估药物经济学质量的重要依据。根据其政策约束力的不同，指南主要可分为两类。</w:t>
      </w:r>
      <w:r w:rsidRPr="007E4424">
        <w:rPr>
          <w:rFonts w:ascii="Times New Roman" w:eastAsia="宋体" w:hAnsi="Times New Roman" w:cs="Times New Roman" w:hint="eastAsia"/>
          <w:color w:val="0F1115"/>
          <w:sz w:val="24"/>
          <w:szCs w:val="24"/>
          <w:shd w:val="clear" w:color="auto" w:fill="FFFFFF"/>
        </w:rPr>
        <w:t xml:space="preserve"> </w:t>
      </w:r>
    </w:p>
    <w:p w14:paraId="734DA38C" w14:textId="77777777" w:rsidR="007E4424" w:rsidRPr="007E4424" w:rsidRDefault="007E4424" w:rsidP="007E4424">
      <w:pPr>
        <w:widowControl/>
        <w:shd w:val="clear" w:color="auto" w:fill="FFFFFF"/>
        <w:spacing w:line="360" w:lineRule="auto"/>
        <w:ind w:firstLineChars="200" w:firstLine="480"/>
        <w:rPr>
          <w:rFonts w:ascii="Times New Roman" w:eastAsia="宋体" w:hAnsi="Times New Roman" w:cs="Times New Roman"/>
          <w:color w:val="0F1115"/>
          <w:sz w:val="24"/>
          <w:szCs w:val="24"/>
          <w:shd w:val="clear" w:color="auto" w:fill="FFFFFF"/>
        </w:rPr>
      </w:pPr>
      <w:r w:rsidRPr="007E4424">
        <w:rPr>
          <w:rFonts w:ascii="Times New Roman" w:eastAsia="宋体" w:hAnsi="Times New Roman" w:cs="Times New Roman" w:hint="eastAsia"/>
          <w:color w:val="0F1115"/>
          <w:sz w:val="24"/>
          <w:szCs w:val="24"/>
          <w:shd w:val="clear" w:color="auto" w:fill="FFFFFF"/>
        </w:rPr>
        <w:t>1.</w:t>
      </w:r>
      <w:r w:rsidRPr="007E4424">
        <w:rPr>
          <w:rFonts w:ascii="Times New Roman" w:eastAsia="宋体" w:hAnsi="Times New Roman" w:cs="Times New Roman" w:hint="eastAsia"/>
          <w:color w:val="0F1115"/>
          <w:sz w:val="24"/>
          <w:szCs w:val="24"/>
          <w:shd w:val="clear" w:color="auto" w:fill="FFFFFF"/>
        </w:rPr>
        <w:t>强制性指南</w:t>
      </w:r>
      <w:r w:rsidRPr="007E4424">
        <w:rPr>
          <w:rFonts w:ascii="Times New Roman" w:eastAsia="宋体" w:hAnsi="Times New Roman" w:cs="Times New Roman" w:hint="eastAsia"/>
          <w:color w:val="0F1115"/>
          <w:sz w:val="24"/>
          <w:szCs w:val="24"/>
          <w:shd w:val="clear" w:color="auto" w:fill="FFFFFF"/>
        </w:rPr>
        <w:t xml:space="preserve">  </w:t>
      </w:r>
      <w:r w:rsidRPr="007E4424">
        <w:rPr>
          <w:rFonts w:ascii="Times New Roman" w:eastAsia="宋体" w:hAnsi="Times New Roman" w:cs="Times New Roman" w:hint="eastAsia"/>
          <w:color w:val="0F1115"/>
          <w:szCs w:val="21"/>
          <w:shd w:val="clear" w:color="auto" w:fill="FFFFFF"/>
        </w:rPr>
        <w:t>通常由政府部门或法定机构发布，对申请进入国家医保报销目录或寻求财政资助的新药及医疗技术，在评价方法选择、研究角度界定、成本与健康产出测量、数据来源要求以及报告格式规范等方面均需遵循其明确的技术规定。在此类体系下，提交的药物经济学评价报告必须严格遵循指南规定的框架、方法与格式，否则不予受理。这类指南具有明确的政策执行力，是市场准入的关键门槛。例如，澳大利亚、英国等国家的药物经济学评价指南。</w:t>
      </w:r>
      <w:r w:rsidRPr="007E4424">
        <w:rPr>
          <w:rFonts w:ascii="Times New Roman" w:eastAsia="宋体" w:hAnsi="Times New Roman" w:cs="Times New Roman" w:hint="eastAsia"/>
          <w:color w:val="0F1115"/>
          <w:sz w:val="24"/>
          <w:szCs w:val="24"/>
          <w:shd w:val="clear" w:color="auto" w:fill="FFFFFF"/>
        </w:rPr>
        <w:t xml:space="preserve"> </w:t>
      </w:r>
    </w:p>
    <w:p w14:paraId="04881FE5" w14:textId="77777777" w:rsidR="007E4424" w:rsidRPr="007E4424" w:rsidRDefault="007E4424" w:rsidP="007E4424">
      <w:pPr>
        <w:widowControl/>
        <w:shd w:val="clear" w:color="auto" w:fill="FFFFFF"/>
        <w:spacing w:line="360" w:lineRule="auto"/>
        <w:ind w:firstLineChars="200" w:firstLine="480"/>
        <w:rPr>
          <w:rFonts w:ascii="Times New Roman" w:eastAsia="宋体" w:hAnsi="Times New Roman" w:cs="Times New Roman"/>
          <w:color w:val="0F1115"/>
          <w:sz w:val="24"/>
          <w:szCs w:val="24"/>
          <w:shd w:val="clear" w:color="auto" w:fill="FFFFFF"/>
        </w:rPr>
      </w:pPr>
      <w:r w:rsidRPr="007E4424">
        <w:rPr>
          <w:rFonts w:ascii="Times New Roman" w:eastAsia="宋体" w:hAnsi="Times New Roman" w:cs="Times New Roman" w:hint="eastAsia"/>
          <w:color w:val="0F1115"/>
          <w:sz w:val="24"/>
          <w:szCs w:val="24"/>
          <w:shd w:val="clear" w:color="auto" w:fill="FFFFFF"/>
        </w:rPr>
        <w:lastRenderedPageBreak/>
        <w:t>2.</w:t>
      </w:r>
      <w:r w:rsidRPr="007E4424">
        <w:rPr>
          <w:rFonts w:ascii="Times New Roman" w:eastAsia="宋体" w:hAnsi="Times New Roman" w:cs="Times New Roman" w:hint="eastAsia"/>
          <w:color w:val="0F1115"/>
          <w:sz w:val="24"/>
          <w:szCs w:val="24"/>
          <w:shd w:val="clear" w:color="auto" w:fill="FFFFFF"/>
        </w:rPr>
        <w:t>推荐性指南</w:t>
      </w:r>
      <w:r w:rsidRPr="007E4424">
        <w:rPr>
          <w:rFonts w:ascii="Times New Roman" w:eastAsia="宋体" w:hAnsi="Times New Roman" w:cs="Times New Roman" w:hint="eastAsia"/>
          <w:color w:val="0F1115"/>
          <w:sz w:val="24"/>
          <w:szCs w:val="24"/>
          <w:shd w:val="clear" w:color="auto" w:fill="FFFFFF"/>
        </w:rPr>
        <w:t xml:space="preserve">  </w:t>
      </w:r>
      <w:r w:rsidRPr="007E4424">
        <w:rPr>
          <w:rFonts w:ascii="Times New Roman" w:eastAsia="宋体" w:hAnsi="Times New Roman" w:cs="Times New Roman" w:hint="eastAsia"/>
          <w:color w:val="0F1115"/>
          <w:szCs w:val="21"/>
          <w:shd w:val="clear" w:color="auto" w:fill="FFFFFF"/>
        </w:rPr>
        <w:t>通常由学术团体、专业协会或研究机构制定，虽不具备强制性，但作为行业公认的规范被广泛推荐使用。采纳此类指南有助于提升研究的科学性、透明度与不同研究间的可比性，从而增强证据的说服力，为决策者提供更可靠的参考。目前，我国药物经济学评价指南属于推荐性指南，由中国药学会推荐。国际上，如美国、新西兰等国家也多采用推荐性药物经济学评价指南。</w:t>
      </w:r>
    </w:p>
    <w:p w14:paraId="753C50F5" w14:textId="77777777" w:rsidR="007E4424" w:rsidRPr="007E4424" w:rsidRDefault="007E4424" w:rsidP="007E4424">
      <w:pPr>
        <w:widowControl/>
        <w:shd w:val="clear" w:color="auto" w:fill="FFFFFF"/>
        <w:spacing w:line="360" w:lineRule="auto"/>
        <w:ind w:firstLineChars="200" w:firstLine="602"/>
        <w:outlineLvl w:val="0"/>
        <w:rPr>
          <w:rFonts w:ascii="黑体" w:eastAsia="黑体" w:hAnsi="黑体" w:cs="黑体" w:hint="eastAsia"/>
          <w:b/>
          <w:bCs/>
          <w:color w:val="0F1115"/>
          <w:sz w:val="30"/>
          <w:szCs w:val="30"/>
          <w:shd w:val="clear" w:color="auto" w:fill="FFFFFF"/>
        </w:rPr>
      </w:pPr>
      <w:bookmarkStart w:id="7" w:name="_Toc32070"/>
      <w:r w:rsidRPr="007E4424">
        <w:rPr>
          <w:rFonts w:ascii="黑体" w:eastAsia="黑体" w:hAnsi="黑体" w:cs="黑体" w:hint="eastAsia"/>
          <w:b/>
          <w:bCs/>
          <w:color w:val="0F1115"/>
          <w:sz w:val="30"/>
          <w:szCs w:val="30"/>
          <w:shd w:val="clear" w:color="auto" w:fill="FFFFFF"/>
        </w:rPr>
        <w:t>三、药物经济学评价指南的作用</w:t>
      </w:r>
      <w:bookmarkEnd w:id="7"/>
    </w:p>
    <w:p w14:paraId="25FAACC2" w14:textId="77777777" w:rsidR="007E4424" w:rsidRPr="007E4424" w:rsidRDefault="007E4424" w:rsidP="007E4424">
      <w:pPr>
        <w:widowControl/>
        <w:spacing w:line="360" w:lineRule="auto"/>
        <w:ind w:firstLineChars="200" w:firstLine="420"/>
        <w:jc w:val="left"/>
        <w:rPr>
          <w:rFonts w:ascii="Times New Roman" w:eastAsia="宋体" w:hAnsi="Times New Roman" w:cs="Times New Roman"/>
          <w:color w:val="0F1115"/>
          <w:szCs w:val="21"/>
          <w:shd w:val="clear" w:color="auto" w:fill="FFFFFF"/>
        </w:rPr>
      </w:pPr>
      <w:r w:rsidRPr="007E4424">
        <w:rPr>
          <w:rFonts w:ascii="Times New Roman" w:eastAsia="宋体" w:hAnsi="Times New Roman" w:cs="Times New Roman" w:hint="eastAsia"/>
          <w:color w:val="0F1115"/>
          <w:szCs w:val="21"/>
          <w:shd w:val="clear" w:color="auto" w:fill="FFFFFF"/>
        </w:rPr>
        <w:t>药物经济学评价指南的核心作用，是为药物经济学研究提供标准化的方法学框架，从而确保其为后续政策决策提供科学、可靠与可比的证据。世界卫生组织（</w:t>
      </w:r>
      <w:r w:rsidRPr="007E4424">
        <w:rPr>
          <w:rFonts w:ascii="Times New Roman" w:eastAsia="宋体" w:hAnsi="Times New Roman" w:cs="Times New Roman" w:hint="eastAsia"/>
          <w:color w:val="0F1115"/>
          <w:szCs w:val="21"/>
          <w:shd w:val="clear" w:color="auto" w:fill="FFFFFF"/>
        </w:rPr>
        <w:t>WHO</w:t>
      </w:r>
      <w:r w:rsidRPr="007E4424">
        <w:rPr>
          <w:rFonts w:ascii="Times New Roman" w:eastAsia="宋体" w:hAnsi="Times New Roman" w:cs="Times New Roman" w:hint="eastAsia"/>
          <w:color w:val="0F1115"/>
          <w:szCs w:val="21"/>
          <w:shd w:val="clear" w:color="auto" w:fill="FFFFFF"/>
        </w:rPr>
        <w:t>）于</w:t>
      </w:r>
      <w:r w:rsidRPr="007E4424">
        <w:rPr>
          <w:rFonts w:ascii="Times New Roman" w:eastAsia="宋体" w:hAnsi="Times New Roman" w:cs="Times New Roman" w:hint="eastAsia"/>
          <w:color w:val="0F1115"/>
          <w:szCs w:val="21"/>
          <w:shd w:val="clear" w:color="auto" w:fill="FFFFFF"/>
        </w:rPr>
        <w:t>2014</w:t>
      </w:r>
      <w:r w:rsidRPr="007E4424">
        <w:rPr>
          <w:rFonts w:ascii="Times New Roman" w:eastAsia="宋体" w:hAnsi="Times New Roman" w:cs="Times New Roman" w:hint="eastAsia"/>
          <w:color w:val="0F1115"/>
          <w:szCs w:val="21"/>
          <w:shd w:val="clear" w:color="auto" w:fill="FFFFFF"/>
        </w:rPr>
        <w:t>年强调卫生技术评估（</w:t>
      </w:r>
      <w:r w:rsidRPr="007E4424">
        <w:rPr>
          <w:rFonts w:ascii="Times New Roman" w:eastAsia="宋体" w:hAnsi="Times New Roman" w:cs="Times New Roman" w:hint="eastAsia"/>
          <w:color w:val="0F1115"/>
          <w:szCs w:val="21"/>
          <w:shd w:val="clear" w:color="auto" w:fill="FFFFFF"/>
        </w:rPr>
        <w:t>HTA</w:t>
      </w:r>
      <w:r w:rsidRPr="007E4424">
        <w:rPr>
          <w:rFonts w:ascii="Times New Roman" w:eastAsia="宋体" w:hAnsi="Times New Roman" w:cs="Times New Roman" w:hint="eastAsia"/>
          <w:color w:val="0F1115"/>
          <w:szCs w:val="21"/>
          <w:shd w:val="clear" w:color="auto" w:fill="FFFFFF"/>
        </w:rPr>
        <w:t>）对于各国制定基于成本效益的资源配置决策至关重要。随着</w:t>
      </w:r>
      <w:r w:rsidRPr="007E4424">
        <w:rPr>
          <w:rFonts w:ascii="Times New Roman" w:eastAsia="宋体" w:hAnsi="Times New Roman" w:cs="Times New Roman" w:hint="eastAsia"/>
          <w:color w:val="0F1115"/>
          <w:szCs w:val="21"/>
          <w:shd w:val="clear" w:color="auto" w:fill="FFFFFF"/>
        </w:rPr>
        <w:t>HTA</w:t>
      </w:r>
      <w:r w:rsidRPr="007E4424">
        <w:rPr>
          <w:rFonts w:ascii="Times New Roman" w:eastAsia="宋体" w:hAnsi="Times New Roman" w:cs="Times New Roman" w:hint="eastAsia"/>
          <w:color w:val="0F1115"/>
          <w:szCs w:val="21"/>
          <w:shd w:val="clear" w:color="auto" w:fill="FFFFFF"/>
        </w:rPr>
        <w:t>在全球范围内的广泛应用，作为其核心支柱之一的药物经济学评价，其研究质量与规范性直接影响着整个评估体系的可靠性。在此背景下，药物经济学评价指南发挥着不可或缺的作用。</w:t>
      </w:r>
    </w:p>
    <w:p w14:paraId="1CC25BBB" w14:textId="77777777" w:rsidR="007E4424" w:rsidRPr="007E4424" w:rsidRDefault="007E4424" w:rsidP="007E4424">
      <w:pPr>
        <w:widowControl/>
        <w:spacing w:line="360" w:lineRule="auto"/>
        <w:ind w:firstLineChars="200" w:firstLine="480"/>
        <w:jc w:val="left"/>
        <w:rPr>
          <w:rFonts w:ascii="Times New Roman" w:eastAsia="宋体" w:hAnsi="Times New Roman" w:cs="Times New Roman"/>
          <w:color w:val="0F1115"/>
          <w:sz w:val="24"/>
          <w:szCs w:val="24"/>
          <w:shd w:val="clear" w:color="auto" w:fill="FFFFFF"/>
        </w:rPr>
      </w:pPr>
      <w:r w:rsidRPr="007E4424">
        <w:rPr>
          <w:rFonts w:ascii="Times New Roman" w:eastAsia="宋体" w:hAnsi="Times New Roman" w:cs="Times New Roman" w:hint="eastAsia"/>
          <w:color w:val="0F1115"/>
          <w:sz w:val="24"/>
          <w:szCs w:val="24"/>
          <w:shd w:val="clear" w:color="auto" w:fill="FFFFFF"/>
        </w:rPr>
        <w:t>1.</w:t>
      </w:r>
      <w:r w:rsidRPr="007E4424">
        <w:rPr>
          <w:rFonts w:ascii="Times New Roman" w:eastAsia="宋体" w:hAnsi="Times New Roman" w:cs="Times New Roman" w:hint="eastAsia"/>
          <w:color w:val="0F1115"/>
          <w:sz w:val="24"/>
          <w:szCs w:val="24"/>
          <w:shd w:val="clear" w:color="auto" w:fill="FFFFFF"/>
        </w:rPr>
        <w:t>指导研究实施</w:t>
      </w:r>
      <w:r w:rsidRPr="007E4424">
        <w:rPr>
          <w:rFonts w:ascii="Times New Roman" w:eastAsia="宋体" w:hAnsi="Times New Roman" w:cs="Times New Roman" w:hint="eastAsia"/>
          <w:color w:val="0F1115"/>
          <w:sz w:val="24"/>
          <w:szCs w:val="24"/>
          <w:shd w:val="clear" w:color="auto" w:fill="FFFFFF"/>
        </w:rPr>
        <w:t xml:space="preserve">  </w:t>
      </w:r>
      <w:r w:rsidRPr="007E4424">
        <w:rPr>
          <w:rFonts w:ascii="Times New Roman" w:eastAsia="宋体" w:hAnsi="Times New Roman" w:cs="Times New Roman" w:hint="eastAsia"/>
          <w:color w:val="0F1115"/>
          <w:szCs w:val="21"/>
          <w:shd w:val="clear" w:color="auto" w:fill="FFFFFF"/>
        </w:rPr>
        <w:t>通过明确成本测算、效果评价、贴现率选择等关键环节的标准方法，为药物经济学评价提供研究指导，帮助研究者合理设计研究、正确识别与计量成本与收益、选择适宜的评价方法，确保研究过程的严谨性与透明度，提升证据的可信度。</w:t>
      </w:r>
    </w:p>
    <w:p w14:paraId="6745D2D3" w14:textId="77777777" w:rsidR="007E4424" w:rsidRPr="007E4424" w:rsidRDefault="007E4424" w:rsidP="007E4424">
      <w:pPr>
        <w:widowControl/>
        <w:spacing w:line="360" w:lineRule="auto"/>
        <w:ind w:firstLineChars="200" w:firstLine="480"/>
        <w:jc w:val="left"/>
        <w:rPr>
          <w:rFonts w:ascii="Times New Roman" w:eastAsia="宋体" w:hAnsi="Times New Roman" w:cs="Times New Roman"/>
          <w:color w:val="0F1115"/>
          <w:sz w:val="24"/>
          <w:szCs w:val="24"/>
          <w:shd w:val="clear" w:color="auto" w:fill="FFFFFF"/>
        </w:rPr>
      </w:pPr>
      <w:r w:rsidRPr="007E4424">
        <w:rPr>
          <w:rFonts w:ascii="Times New Roman" w:eastAsia="宋体" w:hAnsi="Times New Roman" w:cs="Times New Roman" w:hint="eastAsia"/>
          <w:color w:val="0F1115"/>
          <w:sz w:val="24"/>
          <w:szCs w:val="24"/>
          <w:shd w:val="clear" w:color="auto" w:fill="FFFFFF"/>
        </w:rPr>
        <w:t>2.</w:t>
      </w:r>
      <w:r w:rsidRPr="007E4424">
        <w:rPr>
          <w:rFonts w:ascii="Times New Roman" w:eastAsia="宋体" w:hAnsi="Times New Roman" w:cs="Times New Roman" w:hint="eastAsia"/>
          <w:color w:val="0F1115"/>
          <w:sz w:val="24"/>
          <w:szCs w:val="24"/>
          <w:shd w:val="clear" w:color="auto" w:fill="FFFFFF"/>
        </w:rPr>
        <w:t>增强结果可比性</w:t>
      </w:r>
      <w:r w:rsidRPr="007E4424">
        <w:rPr>
          <w:rFonts w:ascii="Times New Roman" w:eastAsia="宋体" w:hAnsi="Times New Roman" w:cs="Times New Roman" w:hint="eastAsia"/>
          <w:color w:val="0F1115"/>
          <w:sz w:val="24"/>
          <w:szCs w:val="24"/>
          <w:shd w:val="clear" w:color="auto" w:fill="FFFFFF"/>
        </w:rPr>
        <w:t xml:space="preserve">  </w:t>
      </w:r>
      <w:r w:rsidRPr="007E4424">
        <w:rPr>
          <w:rFonts w:ascii="Times New Roman" w:eastAsia="宋体" w:hAnsi="Times New Roman" w:cs="Times New Roman" w:hint="eastAsia"/>
          <w:color w:val="0F1115"/>
          <w:szCs w:val="21"/>
          <w:shd w:val="clear" w:color="auto" w:fill="FFFFFF"/>
        </w:rPr>
        <w:t>通过确立统一的评价标准与核心方法（如普遍采用增量成本效果比作为关键指标），指南使不同研究之间能够在相同基准上进行比较。这不仅提升了研究结果的参考价值，也为在不同治疗方案或药品之间进行优先选择提供了客观、一致的依据，是支撑科学决策的基础。</w:t>
      </w:r>
    </w:p>
    <w:p w14:paraId="7CB5C3D6" w14:textId="77777777" w:rsidR="007E4424" w:rsidRPr="007E4424" w:rsidRDefault="007E4424" w:rsidP="007E4424">
      <w:pPr>
        <w:widowControl/>
        <w:spacing w:line="360" w:lineRule="auto"/>
        <w:ind w:firstLineChars="200" w:firstLine="480"/>
        <w:jc w:val="left"/>
        <w:rPr>
          <w:rFonts w:ascii="Times New Roman" w:eastAsia="宋体" w:hAnsi="Times New Roman" w:cs="Times New Roman"/>
          <w:color w:val="0F1115"/>
          <w:sz w:val="24"/>
          <w:szCs w:val="24"/>
          <w:shd w:val="clear" w:color="auto" w:fill="FFFFFF"/>
        </w:rPr>
      </w:pPr>
      <w:r w:rsidRPr="007E4424">
        <w:rPr>
          <w:rFonts w:ascii="Times New Roman" w:eastAsia="宋体" w:hAnsi="Times New Roman" w:cs="Times New Roman" w:hint="eastAsia"/>
          <w:color w:val="0F1115"/>
          <w:sz w:val="24"/>
          <w:szCs w:val="24"/>
          <w:shd w:val="clear" w:color="auto" w:fill="FFFFFF"/>
        </w:rPr>
        <w:t>3.</w:t>
      </w:r>
      <w:r w:rsidRPr="007E4424">
        <w:rPr>
          <w:rFonts w:ascii="Times New Roman" w:eastAsia="宋体" w:hAnsi="Times New Roman" w:cs="Times New Roman" w:hint="eastAsia"/>
          <w:color w:val="0F1115"/>
          <w:sz w:val="24"/>
          <w:szCs w:val="24"/>
          <w:shd w:val="clear" w:color="auto" w:fill="FFFFFF"/>
        </w:rPr>
        <w:t>服务决策转化</w:t>
      </w:r>
      <w:r w:rsidRPr="007E4424">
        <w:rPr>
          <w:rFonts w:ascii="Times New Roman" w:eastAsia="宋体" w:hAnsi="Times New Roman" w:cs="Times New Roman" w:hint="eastAsia"/>
          <w:color w:val="0F1115"/>
          <w:sz w:val="24"/>
          <w:szCs w:val="24"/>
          <w:shd w:val="clear" w:color="auto" w:fill="FFFFFF"/>
        </w:rPr>
        <w:t xml:space="preserve">  </w:t>
      </w:r>
      <w:r w:rsidRPr="007E4424">
        <w:rPr>
          <w:rFonts w:ascii="Times New Roman" w:eastAsia="宋体" w:hAnsi="Times New Roman" w:cs="Times New Roman" w:hint="eastAsia"/>
          <w:color w:val="0F1115"/>
          <w:szCs w:val="21"/>
          <w:shd w:val="clear" w:color="auto" w:fill="FFFFFF"/>
        </w:rPr>
        <w:t>规范化的评价结果是药物经济学报告的重要组成部分，能直接、有效地支持药品报销目录制定、价格谈判及临床用药指南开发等关键卫生决策，助力实现有限医疗资源的优化配置。因此，指南是连接药物经济学研究方法论与卫生决策实践的重要桥梁。</w:t>
      </w:r>
    </w:p>
    <w:p w14:paraId="6426EB1E" w14:textId="77777777" w:rsidR="007E4424" w:rsidRPr="007E4424" w:rsidRDefault="007E4424" w:rsidP="007E4424">
      <w:pPr>
        <w:widowControl/>
        <w:spacing w:line="360" w:lineRule="auto"/>
        <w:jc w:val="center"/>
        <w:outlineLvl w:val="0"/>
        <w:rPr>
          <w:rFonts w:ascii="黑体" w:eastAsia="黑体" w:hAnsi="黑体" w:cs="黑体" w:hint="eastAsia"/>
          <w:kern w:val="0"/>
          <w:sz w:val="32"/>
          <w:szCs w:val="32"/>
        </w:rPr>
      </w:pPr>
      <w:bookmarkStart w:id="8" w:name="_Toc15875"/>
      <w:r w:rsidRPr="007E4424">
        <w:rPr>
          <w:rFonts w:ascii="黑体" w:eastAsia="黑体" w:hAnsi="黑体" w:cs="黑体" w:hint="eastAsia"/>
          <w:kern w:val="0"/>
          <w:sz w:val="32"/>
          <w:szCs w:val="32"/>
          <w14:ligatures w14:val="none"/>
        </w:rPr>
        <w:t>第二节 中国药物经济学评价指南的应用</w:t>
      </w:r>
      <w:bookmarkEnd w:id="8"/>
    </w:p>
    <w:p w14:paraId="4416B9D6" w14:textId="77777777" w:rsidR="007E4424" w:rsidRPr="007E4424" w:rsidRDefault="007E4424" w:rsidP="007E4424">
      <w:pPr>
        <w:widowControl/>
        <w:shd w:val="clear" w:color="auto" w:fill="FFFFFF"/>
        <w:spacing w:line="360" w:lineRule="auto"/>
        <w:ind w:firstLineChars="200" w:firstLine="602"/>
        <w:outlineLvl w:val="0"/>
        <w:rPr>
          <w:rFonts w:ascii="黑体" w:eastAsia="黑体" w:hAnsi="黑体" w:cs="黑体" w:hint="eastAsia"/>
          <w:b/>
          <w:bCs/>
          <w:color w:val="0F1115"/>
          <w:sz w:val="30"/>
          <w:szCs w:val="30"/>
          <w:shd w:val="clear" w:color="auto" w:fill="FFFFFF"/>
        </w:rPr>
      </w:pPr>
      <w:bookmarkStart w:id="9" w:name="_Toc22990"/>
      <w:bookmarkStart w:id="10" w:name="OLE_LINK1"/>
      <w:r w:rsidRPr="007E4424">
        <w:rPr>
          <w:rFonts w:ascii="黑体" w:eastAsia="黑体" w:hAnsi="黑体" w:cs="黑体" w:hint="eastAsia"/>
          <w:b/>
          <w:bCs/>
          <w:color w:val="0F1115"/>
          <w:sz w:val="30"/>
          <w:szCs w:val="30"/>
          <w:shd w:val="clear" w:color="auto" w:fill="FFFFFF"/>
        </w:rPr>
        <w:t>一、中国药物经济学评价指南的发展</w:t>
      </w:r>
      <w:bookmarkEnd w:id="9"/>
    </w:p>
    <w:bookmarkEnd w:id="10"/>
    <w:p w14:paraId="36E41BB6" w14:textId="77777777" w:rsidR="007E4424" w:rsidRPr="007E4424" w:rsidRDefault="007E4424" w:rsidP="007E4424">
      <w:pPr>
        <w:widowControl/>
        <w:spacing w:line="360" w:lineRule="auto"/>
        <w:ind w:firstLineChars="200" w:firstLine="420"/>
        <w:rPr>
          <w:rFonts w:ascii="Times New Roman" w:eastAsia="宋体" w:hAnsi="Times New Roman" w:cs="Times New Roman"/>
          <w:color w:val="0F1115"/>
          <w:szCs w:val="21"/>
          <w:shd w:val="clear" w:color="auto" w:fill="FFFFFF"/>
        </w:rPr>
      </w:pPr>
      <w:r w:rsidRPr="007E4424">
        <w:rPr>
          <w:rFonts w:ascii="Times New Roman" w:eastAsia="宋体" w:hAnsi="Times New Roman" w:cs="Times New Roman" w:hint="eastAsia"/>
          <w:color w:val="0F1115"/>
          <w:szCs w:val="21"/>
          <w:shd w:val="clear" w:color="auto" w:fill="FFFFFF"/>
        </w:rPr>
        <w:t>中国药物经济学评价指南的制定与发展，经历了从无到有、从学术共识到团体标准、从单一版本到持续更新的演进过程，标志着我国药物经济学研究逐步走</w:t>
      </w:r>
      <w:r w:rsidRPr="007E4424">
        <w:rPr>
          <w:rFonts w:ascii="Times New Roman" w:eastAsia="宋体" w:hAnsi="Times New Roman" w:cs="Times New Roman"/>
          <w:color w:val="0F1115"/>
          <w:szCs w:val="21"/>
          <w:shd w:val="clear" w:color="auto" w:fill="FFFFFF"/>
        </w:rPr>
        <w:t>向规范化与体系化。</w:t>
      </w:r>
    </w:p>
    <w:p w14:paraId="6807EE34" w14:textId="77777777" w:rsidR="007E4424" w:rsidRPr="007E4424" w:rsidRDefault="007E4424" w:rsidP="007E4424">
      <w:pPr>
        <w:widowControl/>
        <w:numPr>
          <w:ilvl w:val="0"/>
          <w:numId w:val="1"/>
        </w:numPr>
        <w:spacing w:line="360" w:lineRule="auto"/>
        <w:ind w:firstLineChars="200" w:firstLine="480"/>
        <w:rPr>
          <w:rFonts w:ascii="Times New Roman" w:eastAsia="宋体" w:hAnsi="Times New Roman" w:cs="Times New Roman"/>
          <w:color w:val="0F1115"/>
          <w:szCs w:val="21"/>
          <w:shd w:val="clear" w:color="auto" w:fill="FFFFFF"/>
        </w:rPr>
      </w:pPr>
      <w:r w:rsidRPr="007E4424">
        <w:rPr>
          <w:rFonts w:ascii="Times New Roman" w:eastAsia="宋体" w:hAnsi="Times New Roman" w:cs="Times New Roman" w:hint="eastAsia"/>
          <w:color w:val="0F1115"/>
          <w:sz w:val="24"/>
          <w:szCs w:val="24"/>
          <w:shd w:val="clear" w:color="auto" w:fill="FFFFFF"/>
        </w:rPr>
        <w:t>持续修订药物经济学评价指南</w:t>
      </w:r>
      <w:r w:rsidRPr="007E4424">
        <w:rPr>
          <w:rFonts w:ascii="Times New Roman" w:eastAsia="宋体" w:hAnsi="Times New Roman" w:cs="Times New Roman" w:hint="eastAsia"/>
          <w:color w:val="0F1115"/>
          <w:sz w:val="24"/>
          <w:szCs w:val="24"/>
          <w:shd w:val="clear" w:color="auto" w:fill="FFFFFF"/>
        </w:rPr>
        <w:t xml:space="preserve">  </w:t>
      </w:r>
      <w:r w:rsidRPr="007E4424">
        <w:rPr>
          <w:rFonts w:ascii="Times New Roman" w:eastAsia="宋体" w:hAnsi="Times New Roman" w:cs="Times New Roman" w:hint="eastAsia"/>
          <w:color w:val="0F1115"/>
          <w:szCs w:val="21"/>
          <w:shd w:val="clear" w:color="auto" w:fill="FFFFFF"/>
        </w:rPr>
        <w:t>2008</w:t>
      </w:r>
      <w:r w:rsidRPr="007E4424">
        <w:rPr>
          <w:rFonts w:ascii="Times New Roman" w:eastAsia="宋体" w:hAnsi="Times New Roman" w:cs="Times New Roman" w:hint="eastAsia"/>
          <w:color w:val="0F1115"/>
          <w:szCs w:val="21"/>
          <w:shd w:val="clear" w:color="auto" w:fill="FFFFFF"/>
        </w:rPr>
        <w:t>年，中国药学会药物经济学专业委员会牵头正式启动中国药物经济学</w:t>
      </w:r>
      <w:r w:rsidRPr="007E4424">
        <w:rPr>
          <w:rFonts w:ascii="Times New Roman" w:eastAsia="宋体" w:hAnsi="Times New Roman" w:cs="Times New Roman" w:hint="eastAsia"/>
          <w:color w:val="0F1115"/>
          <w:szCs w:val="21"/>
          <w:shd w:val="clear" w:color="auto" w:fill="FFFFFF"/>
          <w:lang w:eastAsia="zh"/>
        </w:rPr>
        <w:t>评价</w:t>
      </w:r>
      <w:r w:rsidRPr="007E4424">
        <w:rPr>
          <w:rFonts w:ascii="Times New Roman" w:eastAsia="宋体" w:hAnsi="Times New Roman" w:cs="Times New Roman" w:hint="eastAsia"/>
          <w:color w:val="0F1115"/>
          <w:szCs w:val="21"/>
          <w:shd w:val="clear" w:color="auto" w:fill="FFFFFF"/>
        </w:rPr>
        <w:t>指南的起草和撰写工作。</w:t>
      </w:r>
      <w:r w:rsidRPr="007E4424">
        <w:rPr>
          <w:rFonts w:ascii="Times New Roman" w:eastAsia="宋体" w:hAnsi="Times New Roman" w:cs="Times New Roman" w:hint="eastAsia"/>
          <w:color w:val="0F1115"/>
          <w:szCs w:val="21"/>
          <w:shd w:val="clear" w:color="auto" w:fill="FFFFFF"/>
        </w:rPr>
        <w:t>2011</w:t>
      </w:r>
      <w:r w:rsidRPr="007E4424">
        <w:rPr>
          <w:rFonts w:ascii="Times New Roman" w:eastAsia="宋体" w:hAnsi="Times New Roman" w:cs="Times New Roman" w:hint="eastAsia"/>
          <w:color w:val="0F1115"/>
          <w:szCs w:val="21"/>
          <w:shd w:val="clear" w:color="auto" w:fill="FFFFFF"/>
        </w:rPr>
        <w:t>年</w:t>
      </w:r>
      <w:r w:rsidRPr="007E4424">
        <w:rPr>
          <w:rFonts w:ascii="Times New Roman" w:eastAsia="宋体" w:hAnsi="Times New Roman" w:cs="Times New Roman" w:hint="eastAsia"/>
          <w:color w:val="0F1115"/>
          <w:szCs w:val="21"/>
          <w:shd w:val="clear" w:color="auto" w:fill="FFFFFF"/>
        </w:rPr>
        <w:t>4</w:t>
      </w:r>
      <w:r w:rsidRPr="007E4424">
        <w:rPr>
          <w:rFonts w:ascii="Times New Roman" w:eastAsia="宋体" w:hAnsi="Times New Roman" w:cs="Times New Roman" w:hint="eastAsia"/>
          <w:color w:val="0F1115"/>
          <w:szCs w:val="21"/>
          <w:shd w:val="clear" w:color="auto" w:fill="FFFFFF"/>
        </w:rPr>
        <w:t>月，《中国药物经济学评价指南（</w:t>
      </w:r>
      <w:r w:rsidRPr="007E4424">
        <w:rPr>
          <w:rFonts w:ascii="Times New Roman" w:eastAsia="宋体" w:hAnsi="Times New Roman" w:cs="Times New Roman" w:hint="eastAsia"/>
          <w:color w:val="0F1115"/>
          <w:szCs w:val="21"/>
          <w:shd w:val="clear" w:color="auto" w:fill="FFFFFF"/>
        </w:rPr>
        <w:t>2011</w:t>
      </w:r>
      <w:r w:rsidRPr="007E4424">
        <w:rPr>
          <w:rFonts w:ascii="Times New Roman" w:eastAsia="宋体" w:hAnsi="Times New Roman" w:cs="Times New Roman" w:hint="eastAsia"/>
          <w:color w:val="0F1115"/>
          <w:szCs w:val="21"/>
          <w:shd w:val="clear" w:color="auto" w:fill="FFFFFF"/>
        </w:rPr>
        <w:t>版）》正式发布，初步</w:t>
      </w:r>
      <w:r w:rsidRPr="007E4424">
        <w:rPr>
          <w:rFonts w:ascii="Times New Roman" w:eastAsia="宋体" w:hAnsi="Times New Roman" w:cs="Times New Roman"/>
          <w:color w:val="0F1115"/>
          <w:szCs w:val="21"/>
          <w:shd w:val="clear" w:color="auto" w:fill="FFFFFF"/>
        </w:rPr>
        <w:t>填补了我国药物经济学评价领域长期缺乏统一技</w:t>
      </w:r>
      <w:r w:rsidRPr="007E4424">
        <w:rPr>
          <w:rFonts w:ascii="Times New Roman" w:eastAsia="宋体" w:hAnsi="Times New Roman" w:cs="Times New Roman"/>
          <w:color w:val="0F1115"/>
          <w:szCs w:val="21"/>
          <w:shd w:val="clear" w:color="auto" w:fill="FFFFFF"/>
        </w:rPr>
        <w:lastRenderedPageBreak/>
        <w:t>术规范的空白，为研究者提供了可供遵循的方法学框架</w:t>
      </w:r>
      <w:r w:rsidRPr="007E4424">
        <w:rPr>
          <w:rFonts w:ascii="Times New Roman" w:eastAsia="宋体" w:hAnsi="Times New Roman" w:cs="Times New Roman" w:hint="eastAsia"/>
          <w:color w:val="0F1115"/>
          <w:szCs w:val="21"/>
          <w:shd w:val="clear" w:color="auto" w:fill="FFFFFF"/>
        </w:rPr>
        <w:t>，</w:t>
      </w:r>
      <w:r w:rsidRPr="007E4424">
        <w:rPr>
          <w:rFonts w:ascii="Times New Roman" w:eastAsia="宋体" w:hAnsi="Times New Roman" w:cs="Times New Roman"/>
          <w:color w:val="0F1115"/>
          <w:szCs w:val="21"/>
          <w:shd w:val="clear" w:color="auto" w:fill="FFFFFF"/>
        </w:rPr>
        <w:t>为政府决策者提供科学依据，提升药物经济学报告的整体质量，标志着我国药物经济学研究从零散探索阶段进入规范化发展轨道，为后续指南的持续修订奠定了坚实基础。在首版指南的基础上，</w:t>
      </w:r>
      <w:r w:rsidRPr="007E4424">
        <w:rPr>
          <w:rFonts w:ascii="Times New Roman" w:eastAsia="宋体" w:hAnsi="Times New Roman" w:cs="Times New Roman" w:hint="eastAsia"/>
          <w:color w:val="0F1115"/>
          <w:szCs w:val="21"/>
          <w:shd w:val="clear" w:color="auto" w:fill="FFFFFF"/>
        </w:rPr>
        <w:t>中国药学会药物经济学专业委员会牵头</w:t>
      </w:r>
      <w:r w:rsidRPr="007E4424">
        <w:rPr>
          <w:rFonts w:ascii="Times New Roman" w:eastAsia="宋体" w:hAnsi="Times New Roman" w:cs="Times New Roman"/>
          <w:color w:val="0F1115"/>
          <w:szCs w:val="21"/>
          <w:shd w:val="clear" w:color="auto" w:fill="FFFFFF"/>
        </w:rPr>
        <w:t>不断完善和充实指南内容，</w:t>
      </w:r>
      <w:r w:rsidRPr="007E4424">
        <w:rPr>
          <w:rFonts w:ascii="Times New Roman" w:eastAsia="宋体" w:hAnsi="Times New Roman" w:cs="Times New Roman" w:hint="eastAsia"/>
          <w:color w:val="0F1115"/>
          <w:szCs w:val="21"/>
          <w:shd w:val="clear" w:color="auto" w:fill="FFFFFF"/>
        </w:rPr>
        <w:t>陆续于</w:t>
      </w:r>
      <w:r w:rsidRPr="007E4424">
        <w:rPr>
          <w:rFonts w:ascii="Times New Roman" w:eastAsia="宋体" w:hAnsi="Times New Roman" w:cs="Times New Roman"/>
          <w:color w:val="0F1115"/>
          <w:szCs w:val="21"/>
          <w:shd w:val="clear" w:color="auto" w:fill="FFFFFF"/>
        </w:rPr>
        <w:t>2015</w:t>
      </w:r>
      <w:r w:rsidRPr="007E4424">
        <w:rPr>
          <w:rFonts w:ascii="Times New Roman" w:eastAsia="宋体" w:hAnsi="Times New Roman" w:cs="Times New Roman"/>
          <w:color w:val="0F1115"/>
          <w:szCs w:val="21"/>
          <w:shd w:val="clear" w:color="auto" w:fill="FFFFFF"/>
        </w:rPr>
        <w:t>年</w:t>
      </w:r>
      <w:r w:rsidRPr="007E4424">
        <w:rPr>
          <w:rFonts w:ascii="Times New Roman" w:eastAsia="宋体" w:hAnsi="Times New Roman" w:cs="Times New Roman" w:hint="eastAsia"/>
          <w:color w:val="0F1115"/>
          <w:szCs w:val="21"/>
          <w:shd w:val="clear" w:color="auto" w:fill="FFFFFF"/>
        </w:rPr>
        <w:t>、</w:t>
      </w:r>
      <w:r w:rsidRPr="007E4424">
        <w:rPr>
          <w:rFonts w:ascii="Times New Roman" w:eastAsia="宋体" w:hAnsi="Times New Roman" w:cs="Times New Roman"/>
          <w:color w:val="0F1115"/>
          <w:szCs w:val="21"/>
          <w:shd w:val="clear" w:color="auto" w:fill="FFFFFF"/>
        </w:rPr>
        <w:t>2020</w:t>
      </w:r>
      <w:r w:rsidRPr="007E4424">
        <w:rPr>
          <w:rFonts w:ascii="Times New Roman" w:eastAsia="宋体" w:hAnsi="Times New Roman" w:cs="Times New Roman"/>
          <w:color w:val="0F1115"/>
          <w:szCs w:val="21"/>
          <w:shd w:val="clear" w:color="auto" w:fill="FFFFFF"/>
        </w:rPr>
        <w:t>年</w:t>
      </w:r>
      <w:r w:rsidRPr="007E4424">
        <w:rPr>
          <w:rFonts w:ascii="Times New Roman" w:eastAsia="宋体" w:hAnsi="Times New Roman" w:cs="Times New Roman" w:hint="eastAsia"/>
          <w:color w:val="0F1115"/>
          <w:szCs w:val="21"/>
          <w:shd w:val="clear" w:color="auto" w:fill="FFFFFF"/>
        </w:rPr>
        <w:t>和</w:t>
      </w:r>
      <w:r w:rsidRPr="007E4424">
        <w:rPr>
          <w:rFonts w:ascii="Times New Roman" w:eastAsia="宋体" w:hAnsi="Times New Roman" w:cs="Times New Roman" w:hint="eastAsia"/>
          <w:color w:val="0F1115"/>
          <w:szCs w:val="21"/>
          <w:shd w:val="clear" w:color="auto" w:fill="FFFFFF"/>
        </w:rPr>
        <w:t>2025</w:t>
      </w:r>
      <w:r w:rsidRPr="007E4424">
        <w:rPr>
          <w:rFonts w:ascii="Times New Roman" w:eastAsia="宋体" w:hAnsi="Times New Roman" w:cs="Times New Roman" w:hint="eastAsia"/>
          <w:color w:val="0F1115"/>
          <w:szCs w:val="21"/>
          <w:shd w:val="clear" w:color="auto" w:fill="FFFFFF"/>
        </w:rPr>
        <w:t>年进行更新，其中</w:t>
      </w:r>
      <w:r w:rsidRPr="007E4424">
        <w:rPr>
          <w:rFonts w:ascii="Times New Roman" w:eastAsia="宋体" w:hAnsi="Times New Roman" w:cs="Times New Roman" w:hint="eastAsia"/>
          <w:color w:val="0F1115"/>
          <w:szCs w:val="21"/>
          <w:shd w:val="clear" w:color="auto" w:fill="FFFFFF"/>
        </w:rPr>
        <w:t>2020</w:t>
      </w:r>
      <w:r w:rsidRPr="007E4424">
        <w:rPr>
          <w:rFonts w:ascii="Times New Roman" w:eastAsia="宋体" w:hAnsi="Times New Roman" w:cs="Times New Roman" w:hint="eastAsia"/>
          <w:color w:val="0F1115"/>
          <w:szCs w:val="21"/>
          <w:shd w:val="clear" w:color="auto" w:fill="FFFFFF"/>
        </w:rPr>
        <w:t>版和</w:t>
      </w:r>
      <w:r w:rsidRPr="007E4424">
        <w:rPr>
          <w:rFonts w:ascii="Times New Roman" w:eastAsia="宋体" w:hAnsi="Times New Roman" w:cs="Times New Roman" w:hint="eastAsia"/>
          <w:color w:val="0F1115"/>
          <w:szCs w:val="21"/>
          <w:shd w:val="clear" w:color="auto" w:fill="FFFFFF"/>
        </w:rPr>
        <w:t>2025</w:t>
      </w:r>
      <w:r w:rsidRPr="007E4424">
        <w:rPr>
          <w:rFonts w:ascii="Times New Roman" w:eastAsia="宋体" w:hAnsi="Times New Roman" w:cs="Times New Roman" w:hint="eastAsia"/>
          <w:color w:val="0F1115"/>
          <w:szCs w:val="21"/>
          <w:shd w:val="clear" w:color="auto" w:fill="FFFFFF"/>
        </w:rPr>
        <w:t>版都同时发布了英文版</w:t>
      </w:r>
      <w:r w:rsidRPr="007E4424">
        <w:rPr>
          <w:rFonts w:ascii="Times New Roman" w:eastAsia="宋体" w:hAnsi="Times New Roman" w:cs="Times New Roman"/>
          <w:color w:val="0F1115"/>
          <w:szCs w:val="21"/>
          <w:shd w:val="clear" w:color="auto" w:fill="FFFFFF"/>
        </w:rPr>
        <w:t>。</w:t>
      </w:r>
      <w:r w:rsidRPr="007E4424">
        <w:rPr>
          <w:rFonts w:ascii="Times New Roman" w:eastAsia="宋体" w:hAnsi="Times New Roman" w:cs="Times New Roman" w:hint="eastAsia"/>
          <w:color w:val="0F1115"/>
          <w:szCs w:val="21"/>
          <w:shd w:val="clear" w:color="auto" w:fill="FFFFFF"/>
        </w:rPr>
        <w:t>2025</w:t>
      </w:r>
      <w:r w:rsidRPr="007E4424">
        <w:rPr>
          <w:rFonts w:ascii="Times New Roman" w:eastAsia="宋体" w:hAnsi="Times New Roman" w:cs="Times New Roman"/>
          <w:color w:val="0F1115"/>
          <w:szCs w:val="21"/>
          <w:shd w:val="clear" w:color="auto" w:fill="FFFFFF"/>
        </w:rPr>
        <w:t>版指南围绕学科前沿与实践需求，更新价值评估理念与方向，</w:t>
      </w:r>
      <w:r w:rsidRPr="007E4424">
        <w:rPr>
          <w:rFonts w:ascii="Times New Roman" w:eastAsia="宋体" w:hAnsi="Times New Roman" w:cs="Times New Roman" w:hint="eastAsia"/>
          <w:color w:val="0F1115"/>
          <w:szCs w:val="21"/>
          <w:shd w:val="clear" w:color="auto" w:fill="FFFFFF"/>
        </w:rPr>
        <w:t>优化技方法体系，校准关键参数，例如，在经济学评价中引入公平性、用药依从性等，突出临床试验加载药物经济评价，系统修订疗效间接比较等关键方法，更新折现率与意愿支付阈值等。</w:t>
      </w:r>
    </w:p>
    <w:p w14:paraId="134A3FF9" w14:textId="77777777" w:rsidR="007E4424" w:rsidRPr="007E4424" w:rsidRDefault="007E4424" w:rsidP="007E4424">
      <w:pPr>
        <w:widowControl/>
        <w:spacing w:line="360" w:lineRule="auto"/>
        <w:ind w:firstLineChars="200" w:firstLine="480"/>
        <w:rPr>
          <w:rFonts w:ascii="Times New Roman" w:eastAsia="宋体" w:hAnsi="Times New Roman" w:cs="Times New Roman"/>
          <w:color w:val="0F1115"/>
          <w:szCs w:val="21"/>
          <w:shd w:val="clear" w:color="auto" w:fill="FFFFFF"/>
        </w:rPr>
      </w:pPr>
      <w:r w:rsidRPr="007E4424">
        <w:rPr>
          <w:rFonts w:ascii="Times New Roman" w:eastAsia="宋体" w:hAnsi="Times New Roman" w:cs="Times New Roman"/>
          <w:color w:val="0F1115"/>
          <w:sz w:val="24"/>
          <w:szCs w:val="24"/>
          <w:shd w:val="clear" w:color="auto" w:fill="FFFFFF"/>
        </w:rPr>
        <w:t>2.</w:t>
      </w:r>
      <w:r w:rsidRPr="007E4424">
        <w:rPr>
          <w:rFonts w:ascii="Times New Roman" w:eastAsia="宋体" w:hAnsi="Times New Roman" w:cs="Times New Roman" w:hint="eastAsia"/>
          <w:color w:val="0F1115"/>
          <w:sz w:val="24"/>
          <w:szCs w:val="24"/>
          <w:shd w:val="clear" w:color="auto" w:fill="FFFFFF"/>
        </w:rPr>
        <w:t>发布药物经济学评价指南导读</w:t>
      </w:r>
      <w:r w:rsidRPr="007E4424">
        <w:rPr>
          <w:rFonts w:ascii="Times New Roman" w:eastAsia="宋体" w:hAnsi="Times New Roman" w:cs="Times New Roman" w:hint="eastAsia"/>
          <w:color w:val="0F1115"/>
          <w:sz w:val="24"/>
          <w:szCs w:val="24"/>
          <w:shd w:val="clear" w:color="auto" w:fill="FFFFFF"/>
        </w:rPr>
        <w:t xml:space="preserve">  </w:t>
      </w:r>
      <w:r w:rsidRPr="007E4424">
        <w:rPr>
          <w:rFonts w:ascii="Times New Roman" w:eastAsia="宋体" w:hAnsi="Times New Roman" w:cs="Times New Roman" w:hint="eastAsia"/>
          <w:color w:val="0F1115"/>
          <w:szCs w:val="21"/>
          <w:shd w:val="clear" w:color="auto" w:fill="FFFFFF"/>
        </w:rPr>
        <w:t>为了加强药物经济学评价指南的指导性，方便快速准确地掌握药物经济学研究的思路和操作方法，基于《中国药物经济学评价指南（</w:t>
      </w:r>
      <w:r w:rsidRPr="007E4424">
        <w:rPr>
          <w:rFonts w:ascii="Times New Roman" w:eastAsia="宋体" w:hAnsi="Times New Roman" w:cs="Times New Roman" w:hint="eastAsia"/>
          <w:color w:val="0F1115"/>
          <w:szCs w:val="21"/>
          <w:shd w:val="clear" w:color="auto" w:fill="FFFFFF"/>
        </w:rPr>
        <w:t>2015</w:t>
      </w:r>
      <w:r w:rsidRPr="007E4424">
        <w:rPr>
          <w:rFonts w:ascii="Times New Roman" w:eastAsia="宋体" w:hAnsi="Times New Roman" w:cs="Times New Roman" w:hint="eastAsia"/>
          <w:color w:val="0F1115"/>
          <w:szCs w:val="21"/>
          <w:shd w:val="clear" w:color="auto" w:fill="FFFFFF"/>
        </w:rPr>
        <w:t>版）》和《中国药物经济学评价指南（</w:t>
      </w:r>
      <w:r w:rsidRPr="007E4424">
        <w:rPr>
          <w:rFonts w:ascii="Times New Roman" w:eastAsia="宋体" w:hAnsi="Times New Roman" w:cs="Times New Roman" w:hint="eastAsia"/>
          <w:color w:val="0F1115"/>
          <w:szCs w:val="21"/>
          <w:shd w:val="clear" w:color="auto" w:fill="FFFFFF"/>
        </w:rPr>
        <w:t>2020</w:t>
      </w:r>
      <w:r w:rsidRPr="007E4424">
        <w:rPr>
          <w:rFonts w:ascii="Times New Roman" w:eastAsia="宋体" w:hAnsi="Times New Roman" w:cs="Times New Roman" w:hint="eastAsia"/>
          <w:color w:val="0F1115"/>
          <w:szCs w:val="21"/>
          <w:shd w:val="clear" w:color="auto" w:fill="FFFFFF"/>
        </w:rPr>
        <w:t>版）》发布了相应配套导读。</w:t>
      </w:r>
    </w:p>
    <w:p w14:paraId="2284E955" w14:textId="77777777" w:rsidR="007E4424" w:rsidRPr="007E4424" w:rsidRDefault="007E4424" w:rsidP="007E4424">
      <w:pPr>
        <w:widowControl/>
        <w:spacing w:line="360" w:lineRule="auto"/>
        <w:ind w:firstLineChars="200" w:firstLine="480"/>
        <w:rPr>
          <w:rFonts w:ascii="Times New Roman" w:eastAsia="宋体" w:hAnsi="Times New Roman" w:cs="Times New Roman"/>
          <w:color w:val="0F1115"/>
          <w:szCs w:val="21"/>
          <w:shd w:val="clear" w:color="auto" w:fill="FFFFFF"/>
        </w:rPr>
      </w:pPr>
      <w:r w:rsidRPr="007E4424">
        <w:rPr>
          <w:rFonts w:ascii="Times New Roman" w:eastAsia="宋体" w:hAnsi="Times New Roman" w:cs="Times New Roman"/>
          <w:color w:val="0F1115"/>
          <w:sz w:val="24"/>
          <w:szCs w:val="24"/>
          <w:shd w:val="clear" w:color="auto" w:fill="FFFFFF"/>
        </w:rPr>
        <w:t>3.</w:t>
      </w:r>
      <w:r w:rsidRPr="007E4424">
        <w:rPr>
          <w:rFonts w:ascii="Times New Roman" w:eastAsia="宋体" w:hAnsi="Times New Roman" w:cs="Times New Roman"/>
          <w:color w:val="0F1115"/>
          <w:sz w:val="24"/>
          <w:szCs w:val="24"/>
          <w:shd w:val="clear" w:color="auto" w:fill="FFFFFF"/>
        </w:rPr>
        <w:t>指南从学术共识向团体标准的转变</w:t>
      </w:r>
      <w:r w:rsidRPr="007E4424">
        <w:rPr>
          <w:rFonts w:ascii="Times New Roman" w:eastAsia="宋体" w:hAnsi="Times New Roman" w:cs="Times New Roman" w:hint="eastAsia"/>
          <w:color w:val="0F1115"/>
          <w:sz w:val="24"/>
          <w:szCs w:val="24"/>
          <w:shd w:val="clear" w:color="auto" w:fill="FFFFFF"/>
        </w:rPr>
        <w:t xml:space="preserve">  </w:t>
      </w:r>
      <w:r w:rsidRPr="007E4424">
        <w:rPr>
          <w:rFonts w:ascii="Times New Roman" w:eastAsia="宋体" w:hAnsi="Times New Roman" w:cs="Times New Roman"/>
          <w:color w:val="0F1115"/>
          <w:szCs w:val="21"/>
          <w:shd w:val="clear" w:color="auto" w:fill="FFFFFF"/>
        </w:rPr>
        <w:t>指南权威性的跃升体现在其从学术共识向正式标准的转变。</w:t>
      </w:r>
      <w:r w:rsidRPr="007E4424">
        <w:rPr>
          <w:rFonts w:ascii="Times New Roman" w:eastAsia="宋体" w:hAnsi="Times New Roman" w:cs="Times New Roman"/>
          <w:color w:val="0F1115"/>
          <w:szCs w:val="21"/>
          <w:shd w:val="clear" w:color="auto" w:fill="FFFFFF"/>
        </w:rPr>
        <w:t>2020</w:t>
      </w:r>
      <w:r w:rsidRPr="007E4424">
        <w:rPr>
          <w:rFonts w:ascii="Times New Roman" w:eastAsia="宋体" w:hAnsi="Times New Roman" w:cs="Times New Roman"/>
          <w:color w:val="0F1115"/>
          <w:szCs w:val="21"/>
          <w:shd w:val="clear" w:color="auto" w:fill="FFFFFF"/>
        </w:rPr>
        <w:t>年</w:t>
      </w:r>
      <w:r w:rsidRPr="007E4424">
        <w:rPr>
          <w:rFonts w:ascii="Times New Roman" w:eastAsia="宋体" w:hAnsi="Times New Roman" w:cs="Times New Roman"/>
          <w:color w:val="0F1115"/>
          <w:szCs w:val="21"/>
          <w:shd w:val="clear" w:color="auto" w:fill="FFFFFF"/>
        </w:rPr>
        <w:t>11</w:t>
      </w:r>
      <w:r w:rsidRPr="007E4424">
        <w:rPr>
          <w:rFonts w:ascii="Times New Roman" w:eastAsia="宋体" w:hAnsi="Times New Roman" w:cs="Times New Roman"/>
          <w:color w:val="0F1115"/>
          <w:szCs w:val="21"/>
          <w:shd w:val="clear" w:color="auto" w:fill="FFFFFF"/>
        </w:rPr>
        <w:t>月，《中国药物经济学评价指南（</w:t>
      </w:r>
      <w:r w:rsidRPr="007E4424">
        <w:rPr>
          <w:rFonts w:ascii="Times New Roman" w:eastAsia="宋体" w:hAnsi="Times New Roman" w:cs="Times New Roman"/>
          <w:color w:val="0F1115"/>
          <w:szCs w:val="21"/>
          <w:shd w:val="clear" w:color="auto" w:fill="FFFFFF"/>
        </w:rPr>
        <w:t>2020</w:t>
      </w:r>
      <w:r w:rsidRPr="007E4424">
        <w:rPr>
          <w:rFonts w:ascii="Times New Roman" w:eastAsia="宋体" w:hAnsi="Times New Roman" w:cs="Times New Roman"/>
          <w:color w:val="0F1115"/>
          <w:szCs w:val="21"/>
          <w:shd w:val="clear" w:color="auto" w:fill="FFFFFF"/>
        </w:rPr>
        <w:t>中英双语版）》经中国药学会第</w:t>
      </w:r>
      <w:r w:rsidRPr="007E4424">
        <w:rPr>
          <w:rFonts w:ascii="Times New Roman" w:eastAsia="宋体" w:hAnsi="Times New Roman" w:cs="Times New Roman"/>
          <w:color w:val="0F1115"/>
          <w:szCs w:val="21"/>
          <w:shd w:val="clear" w:color="auto" w:fill="FFFFFF"/>
        </w:rPr>
        <w:t>24</w:t>
      </w:r>
      <w:r w:rsidRPr="007E4424">
        <w:rPr>
          <w:rFonts w:ascii="Times New Roman" w:eastAsia="宋体" w:hAnsi="Times New Roman" w:cs="Times New Roman"/>
          <w:color w:val="0F1115"/>
          <w:szCs w:val="21"/>
          <w:shd w:val="clear" w:color="auto" w:fill="FFFFFF"/>
        </w:rPr>
        <w:t>届理事会第二十六次常务理事会审议，被正式认定为中国药学会团体标准（标准号：</w:t>
      </w:r>
      <w:r w:rsidRPr="007E4424">
        <w:rPr>
          <w:rFonts w:ascii="Times New Roman" w:eastAsia="宋体" w:hAnsi="Times New Roman" w:cs="Times New Roman"/>
          <w:color w:val="0F1115"/>
          <w:szCs w:val="21"/>
          <w:shd w:val="clear" w:color="auto" w:fill="FFFFFF"/>
        </w:rPr>
        <w:t>T/CPHARMA 003-2020</w:t>
      </w:r>
      <w:r w:rsidRPr="007E4424">
        <w:rPr>
          <w:rFonts w:ascii="Times New Roman" w:eastAsia="宋体" w:hAnsi="Times New Roman" w:cs="Times New Roman"/>
          <w:color w:val="0F1115"/>
          <w:szCs w:val="21"/>
          <w:shd w:val="clear" w:color="auto" w:fill="FFFFFF"/>
        </w:rPr>
        <w:t>）</w:t>
      </w:r>
      <w:r w:rsidRPr="007E4424">
        <w:rPr>
          <w:rFonts w:ascii="Times New Roman" w:eastAsia="宋体" w:hAnsi="Times New Roman" w:cs="Times New Roman" w:hint="eastAsia"/>
          <w:color w:val="0F1115"/>
          <w:szCs w:val="21"/>
          <w:shd w:val="clear" w:color="auto" w:fill="FFFFFF"/>
        </w:rPr>
        <w:t>，</w:t>
      </w:r>
      <w:r w:rsidRPr="007E4424">
        <w:rPr>
          <w:rFonts w:ascii="Times New Roman" w:eastAsia="宋体" w:hAnsi="Times New Roman" w:cs="Times New Roman"/>
          <w:color w:val="0F1115"/>
          <w:szCs w:val="21"/>
          <w:shd w:val="clear" w:color="auto" w:fill="FFFFFF"/>
        </w:rPr>
        <w:t>标志着指南从一个学术性的方法学建议文件，提升为具有行业规范性质的正式标准，其权威性和约束力显著增强。同时，国际药物经济学会（</w:t>
      </w:r>
      <w:r w:rsidRPr="007E4424">
        <w:rPr>
          <w:rFonts w:ascii="Times New Roman" w:eastAsia="宋体" w:hAnsi="Times New Roman" w:cs="Times New Roman"/>
          <w:color w:val="0F1115"/>
          <w:szCs w:val="21"/>
          <w:shd w:val="clear" w:color="auto" w:fill="FFFFFF"/>
        </w:rPr>
        <w:t>ISPOR</w:t>
      </w:r>
      <w:r w:rsidRPr="007E4424">
        <w:rPr>
          <w:rFonts w:ascii="Times New Roman" w:eastAsia="宋体" w:hAnsi="Times New Roman" w:cs="Times New Roman"/>
          <w:color w:val="0F1115"/>
          <w:szCs w:val="21"/>
          <w:shd w:val="clear" w:color="auto" w:fill="FFFFFF"/>
        </w:rPr>
        <w:t>）在其官网推荐该指南作为中国药物经济学评价的权威参考，表明其获得了国际学术界的广泛认可。指南从学术共识向团体标准的转变，不仅提升了其在研究实践中的指导地位，也为其在医保决策、药品定价等政策领域的深度应用奠定了制度基础。</w:t>
      </w:r>
    </w:p>
    <w:p w14:paraId="5FF82C5B" w14:textId="77777777" w:rsidR="007E4424" w:rsidRPr="007E4424" w:rsidRDefault="007E4424" w:rsidP="007E4424">
      <w:pPr>
        <w:widowControl/>
        <w:shd w:val="clear" w:color="auto" w:fill="FFFFFF"/>
        <w:spacing w:line="360" w:lineRule="auto"/>
        <w:ind w:firstLineChars="200" w:firstLine="602"/>
        <w:outlineLvl w:val="0"/>
        <w:rPr>
          <w:rFonts w:ascii="Times New Roman" w:eastAsia="黑体" w:hAnsi="Times New Roman" w:cs="Times New Roman"/>
          <w:b/>
          <w:bCs/>
          <w:color w:val="0F1115"/>
          <w:sz w:val="30"/>
          <w:szCs w:val="30"/>
          <w:shd w:val="clear" w:color="auto" w:fill="FFFFFF"/>
        </w:rPr>
      </w:pPr>
      <w:bookmarkStart w:id="11" w:name="_Toc15710"/>
      <w:r w:rsidRPr="007E4424">
        <w:rPr>
          <w:rFonts w:ascii="Times New Roman" w:eastAsia="黑体" w:hAnsi="Times New Roman" w:cs="Times New Roman"/>
          <w:b/>
          <w:bCs/>
          <w:color w:val="0F1115"/>
          <w:sz w:val="30"/>
          <w:szCs w:val="30"/>
          <w:shd w:val="clear" w:color="auto" w:fill="FFFFFF"/>
        </w:rPr>
        <w:t>二、中国药物经济学评价指南（</w:t>
      </w:r>
      <w:r w:rsidRPr="007E4424">
        <w:rPr>
          <w:rFonts w:ascii="Times New Roman" w:eastAsia="黑体" w:hAnsi="Times New Roman" w:cs="Times New Roman"/>
          <w:b/>
          <w:bCs/>
          <w:color w:val="0F1115"/>
          <w:sz w:val="30"/>
          <w:szCs w:val="30"/>
          <w:shd w:val="clear" w:color="auto" w:fill="FFFFFF"/>
        </w:rPr>
        <w:t>2025</w:t>
      </w:r>
      <w:r w:rsidRPr="007E4424">
        <w:rPr>
          <w:rFonts w:ascii="Times New Roman" w:eastAsia="黑体" w:hAnsi="Times New Roman" w:cs="Times New Roman"/>
          <w:b/>
          <w:bCs/>
          <w:color w:val="0F1115"/>
          <w:sz w:val="30"/>
          <w:szCs w:val="30"/>
          <w:shd w:val="clear" w:color="auto" w:fill="FFFFFF"/>
        </w:rPr>
        <w:t>版）的主要框架</w:t>
      </w:r>
      <w:bookmarkEnd w:id="11"/>
    </w:p>
    <w:p w14:paraId="4ECA8E07" w14:textId="77777777" w:rsidR="007E4424" w:rsidRPr="007E4424" w:rsidRDefault="007E4424" w:rsidP="007E4424">
      <w:pPr>
        <w:widowControl/>
        <w:spacing w:line="360" w:lineRule="auto"/>
        <w:ind w:firstLineChars="200" w:firstLine="420"/>
        <w:rPr>
          <w:rFonts w:ascii="Times New Roman" w:eastAsia="宋体" w:hAnsi="Times New Roman" w:cs="Times New Roman"/>
          <w:color w:val="0F1115"/>
          <w:szCs w:val="21"/>
          <w:shd w:val="clear" w:color="auto" w:fill="FFFFFF"/>
        </w:rPr>
      </w:pPr>
      <w:r w:rsidRPr="007E4424">
        <w:rPr>
          <w:rFonts w:ascii="Times New Roman" w:eastAsia="宋体" w:hAnsi="Times New Roman" w:cs="Times New Roman" w:hint="eastAsia"/>
          <w:color w:val="0F1115"/>
          <w:szCs w:val="21"/>
          <w:shd w:val="clear" w:color="auto" w:fill="FFFFFF"/>
        </w:rPr>
        <w:t>《中国药物经济学评价指南（</w:t>
      </w:r>
      <w:r w:rsidRPr="007E4424">
        <w:rPr>
          <w:rFonts w:ascii="Times New Roman" w:eastAsia="宋体" w:hAnsi="Times New Roman" w:cs="Times New Roman" w:hint="eastAsia"/>
          <w:color w:val="0F1115"/>
          <w:szCs w:val="21"/>
          <w:shd w:val="clear" w:color="auto" w:fill="FFFFFF"/>
        </w:rPr>
        <w:t>2025</w:t>
      </w:r>
      <w:r w:rsidRPr="007E4424">
        <w:rPr>
          <w:rFonts w:ascii="Times New Roman" w:eastAsia="宋体" w:hAnsi="Times New Roman" w:cs="Times New Roman" w:hint="eastAsia"/>
          <w:color w:val="0F1115"/>
          <w:szCs w:val="21"/>
          <w:shd w:val="clear" w:color="auto" w:fill="FFFFFF"/>
        </w:rPr>
        <w:t>中英双语版）》由引言、使用说明、执行摘要、正文、参考文献和附录六大部分组成。其中正文部分按照评价的技术要点，共划分为</w:t>
      </w:r>
      <w:r w:rsidRPr="007E4424">
        <w:rPr>
          <w:rFonts w:ascii="Times New Roman" w:eastAsia="宋体" w:hAnsi="Times New Roman" w:cs="Times New Roman" w:hint="eastAsia"/>
          <w:color w:val="0F1115"/>
          <w:szCs w:val="21"/>
          <w:shd w:val="clear" w:color="auto" w:fill="FFFFFF"/>
        </w:rPr>
        <w:t>11</w:t>
      </w:r>
      <w:r w:rsidRPr="007E4424">
        <w:rPr>
          <w:rFonts w:ascii="Times New Roman" w:eastAsia="宋体" w:hAnsi="Times New Roman" w:cs="Times New Roman" w:hint="eastAsia"/>
          <w:color w:val="0F1115"/>
          <w:szCs w:val="21"/>
          <w:shd w:val="clear" w:color="auto" w:fill="FFFFFF"/>
        </w:rPr>
        <w:t>个指南模块</w:t>
      </w:r>
      <w:r w:rsidRPr="007E4424">
        <w:rPr>
          <w:rFonts w:ascii="Times New Roman" w:eastAsia="宋体" w:hAnsi="Times New Roman" w:cs="Times New Roman" w:hint="eastAsia"/>
          <w:color w:val="0F1115"/>
          <w:szCs w:val="21"/>
          <w:shd w:val="clear" w:color="auto" w:fill="FFFFFF"/>
        </w:rPr>
        <w:t xml:space="preserve"> </w:t>
      </w:r>
      <w:r w:rsidRPr="007E4424">
        <w:rPr>
          <w:rFonts w:ascii="Times New Roman" w:eastAsia="宋体" w:hAnsi="Times New Roman" w:cs="Times New Roman" w:hint="eastAsia"/>
          <w:color w:val="0F1115"/>
          <w:szCs w:val="21"/>
          <w:shd w:val="clear" w:color="auto" w:fill="FFFFFF"/>
        </w:rPr>
        <w:t>。本节将针对这</w:t>
      </w:r>
      <w:r w:rsidRPr="007E4424">
        <w:rPr>
          <w:rFonts w:ascii="Times New Roman" w:eastAsia="宋体" w:hAnsi="Times New Roman" w:cs="Times New Roman" w:hint="eastAsia"/>
          <w:color w:val="0F1115"/>
          <w:szCs w:val="21"/>
          <w:shd w:val="clear" w:color="auto" w:fill="FFFFFF"/>
        </w:rPr>
        <w:t>11</w:t>
      </w:r>
      <w:r w:rsidRPr="007E4424">
        <w:rPr>
          <w:rFonts w:ascii="Times New Roman" w:eastAsia="宋体" w:hAnsi="Times New Roman" w:cs="Times New Roman" w:hint="eastAsia"/>
          <w:color w:val="0F1115"/>
          <w:szCs w:val="21"/>
          <w:shd w:val="clear" w:color="auto" w:fill="FFFFFF"/>
        </w:rPr>
        <w:t>个核心环节进行系统介绍，旨在构建完整的中国药物经济学评价知识体系。</w:t>
      </w:r>
    </w:p>
    <w:p w14:paraId="4BB77CC2" w14:textId="77777777" w:rsidR="007E4424" w:rsidRPr="007E4424" w:rsidRDefault="007E4424" w:rsidP="007E4424">
      <w:pPr>
        <w:widowControl/>
        <w:spacing w:line="360" w:lineRule="auto"/>
        <w:ind w:firstLineChars="200" w:firstLine="480"/>
        <w:rPr>
          <w:rFonts w:ascii="Times New Roman" w:eastAsia="宋体" w:hAnsi="Times New Roman" w:cs="Times New Roman"/>
          <w:color w:val="0F1115"/>
          <w:szCs w:val="21"/>
          <w:shd w:val="clear" w:color="auto" w:fill="FFFFFF"/>
        </w:rPr>
      </w:pPr>
      <w:r w:rsidRPr="007E4424">
        <w:rPr>
          <w:rFonts w:ascii="Times New Roman" w:eastAsia="宋体" w:hAnsi="Times New Roman" w:cs="Times New Roman" w:hint="eastAsia"/>
          <w:color w:val="0F1115"/>
          <w:sz w:val="24"/>
          <w:szCs w:val="24"/>
          <w:shd w:val="clear" w:color="auto" w:fill="FFFFFF"/>
        </w:rPr>
        <w:t>1.</w:t>
      </w:r>
      <w:r w:rsidRPr="007E4424">
        <w:rPr>
          <w:rFonts w:ascii="Times New Roman" w:eastAsia="宋体" w:hAnsi="Times New Roman" w:cs="Times New Roman" w:hint="eastAsia"/>
          <w:color w:val="0F1115"/>
          <w:sz w:val="24"/>
          <w:szCs w:val="24"/>
          <w:shd w:val="clear" w:color="auto" w:fill="FFFFFF"/>
        </w:rPr>
        <w:t>研究问题与设计</w:t>
      </w:r>
      <w:r w:rsidRPr="007E4424">
        <w:rPr>
          <w:rFonts w:ascii="Times New Roman" w:eastAsia="宋体" w:hAnsi="Times New Roman" w:cs="Times New Roman" w:hint="eastAsia"/>
          <w:color w:val="0F1115"/>
          <w:sz w:val="24"/>
          <w:szCs w:val="24"/>
          <w:shd w:val="clear" w:color="auto" w:fill="FFFFFF"/>
        </w:rPr>
        <w:t xml:space="preserve">  </w:t>
      </w:r>
      <w:r w:rsidRPr="007E4424">
        <w:rPr>
          <w:rFonts w:ascii="Times New Roman" w:eastAsia="宋体" w:hAnsi="Times New Roman" w:cs="Times New Roman" w:hint="eastAsia"/>
          <w:color w:val="0F1115"/>
          <w:szCs w:val="21"/>
          <w:shd w:val="clear" w:color="auto" w:fill="FFFFFF"/>
        </w:rPr>
        <w:t>评价的第一步需基于</w:t>
      </w:r>
      <w:r w:rsidRPr="007E4424">
        <w:rPr>
          <w:rFonts w:ascii="Times New Roman" w:eastAsia="宋体" w:hAnsi="Times New Roman" w:cs="Times New Roman" w:hint="eastAsia"/>
          <w:color w:val="0F1115"/>
          <w:szCs w:val="21"/>
          <w:shd w:val="clear" w:color="auto" w:fill="FFFFFF"/>
        </w:rPr>
        <w:t>PICOS</w:t>
      </w:r>
      <w:r w:rsidRPr="007E4424">
        <w:rPr>
          <w:rFonts w:ascii="Times New Roman" w:eastAsia="宋体" w:hAnsi="Times New Roman" w:cs="Times New Roman" w:hint="eastAsia"/>
          <w:color w:val="0F1115"/>
          <w:szCs w:val="21"/>
          <w:shd w:val="clear" w:color="auto" w:fill="FFFFFF"/>
        </w:rPr>
        <w:t>框架明确核心要素，包括研究背景、目的、角度、目标人群、干预与对照措施、研究设计、时限及假定等内容。在公共决策中，推荐优先考虑全社会角度和卫生体系角度，以全面评估药物的经济影响。对照组应尽可能采用适应症相同的标准治疗方案或常规治疗方案，而研究时限应覆盖疾病完整进程，若超过一年则需对成本和健康偏好结果进行折现。</w:t>
      </w:r>
    </w:p>
    <w:p w14:paraId="5939ECA0" w14:textId="77777777" w:rsidR="007E4424" w:rsidRPr="007E4424" w:rsidRDefault="007E4424" w:rsidP="007E4424">
      <w:pPr>
        <w:widowControl/>
        <w:spacing w:line="360" w:lineRule="auto"/>
        <w:ind w:firstLineChars="200" w:firstLine="480"/>
        <w:rPr>
          <w:rFonts w:ascii="Times New Roman" w:eastAsia="宋体" w:hAnsi="Times New Roman" w:cs="Times New Roman"/>
          <w:color w:val="0F1115"/>
          <w:szCs w:val="21"/>
          <w:shd w:val="clear" w:color="auto" w:fill="FFFFFF"/>
        </w:rPr>
      </w:pPr>
      <w:r w:rsidRPr="007E4424">
        <w:rPr>
          <w:rFonts w:ascii="Times New Roman" w:eastAsia="宋体" w:hAnsi="Times New Roman" w:cs="Times New Roman" w:hint="eastAsia"/>
          <w:color w:val="0F1115"/>
          <w:sz w:val="24"/>
          <w:szCs w:val="24"/>
          <w:shd w:val="clear" w:color="auto" w:fill="FFFFFF"/>
        </w:rPr>
        <w:lastRenderedPageBreak/>
        <w:t>2.</w:t>
      </w:r>
      <w:r w:rsidRPr="007E4424">
        <w:rPr>
          <w:rFonts w:ascii="Times New Roman" w:eastAsia="宋体" w:hAnsi="Times New Roman" w:cs="Times New Roman" w:hint="eastAsia"/>
          <w:color w:val="0F1115"/>
          <w:sz w:val="24"/>
          <w:szCs w:val="24"/>
          <w:shd w:val="clear" w:color="auto" w:fill="FFFFFF"/>
        </w:rPr>
        <w:t>成本</w:t>
      </w:r>
      <w:r w:rsidRPr="007E4424">
        <w:rPr>
          <w:rFonts w:ascii="Times New Roman" w:eastAsia="宋体" w:hAnsi="Times New Roman" w:cs="Times New Roman" w:hint="eastAsia"/>
          <w:color w:val="0F1115"/>
          <w:sz w:val="24"/>
          <w:szCs w:val="24"/>
          <w:shd w:val="clear" w:color="auto" w:fill="FFFFFF"/>
        </w:rPr>
        <w:t xml:space="preserve">  </w:t>
      </w:r>
      <w:r w:rsidRPr="007E4424">
        <w:rPr>
          <w:rFonts w:ascii="Times New Roman" w:eastAsia="宋体" w:hAnsi="Times New Roman" w:cs="Times New Roman" w:hint="eastAsia"/>
          <w:color w:val="0F1115"/>
          <w:szCs w:val="21"/>
          <w:shd w:val="clear" w:color="auto" w:fill="FFFFFF"/>
        </w:rPr>
        <w:t>成本分析涉及分类、确认、测量与估值，主要包括直接成本（医疗及非医疗）、间接成本和隐性成本。成本确认的范围必须与选定的研究角度和时限一致，并纳入干预措施相关的所有当前及未来成本。测量时优先推荐基于中国人群的资源消耗数据，单价建议使用官方发布的最新价格，如省级集采平台挂网价。对于因疾病产生的间接成本，建议采用人力资本法（</w:t>
      </w:r>
      <w:r w:rsidRPr="007E4424">
        <w:rPr>
          <w:rFonts w:ascii="Times New Roman" w:eastAsia="宋体" w:hAnsi="Times New Roman" w:cs="Times New Roman" w:hint="eastAsia"/>
          <w:color w:val="0F1115"/>
          <w:szCs w:val="21"/>
          <w:shd w:val="clear" w:color="auto" w:fill="FFFFFF"/>
        </w:rPr>
        <w:t>human capital approach</w:t>
      </w:r>
      <w:r w:rsidRPr="007E4424">
        <w:rPr>
          <w:rFonts w:ascii="Times New Roman" w:eastAsia="宋体" w:hAnsi="Times New Roman" w:cs="Times New Roman" w:hint="eastAsia"/>
          <w:color w:val="0F1115"/>
          <w:szCs w:val="21"/>
          <w:shd w:val="clear" w:color="auto" w:fill="FFFFFF"/>
        </w:rPr>
        <w:t>，</w:t>
      </w:r>
      <w:r w:rsidRPr="007E4424">
        <w:rPr>
          <w:rFonts w:ascii="Times New Roman" w:eastAsia="宋体" w:hAnsi="Times New Roman" w:cs="Times New Roman" w:hint="eastAsia"/>
          <w:color w:val="0F1115"/>
          <w:szCs w:val="21"/>
          <w:shd w:val="clear" w:color="auto" w:fill="FFFFFF"/>
        </w:rPr>
        <w:t>HCA</w:t>
      </w:r>
      <w:r w:rsidRPr="007E4424">
        <w:rPr>
          <w:rFonts w:ascii="Times New Roman" w:eastAsia="宋体" w:hAnsi="Times New Roman" w:cs="Times New Roman" w:hint="eastAsia"/>
          <w:color w:val="0F1115"/>
          <w:szCs w:val="21"/>
          <w:shd w:val="clear" w:color="auto" w:fill="FFFFFF"/>
        </w:rPr>
        <w:t>）计算。</w:t>
      </w:r>
    </w:p>
    <w:p w14:paraId="1E37A146" w14:textId="77777777" w:rsidR="007E4424" w:rsidRPr="007E4424" w:rsidRDefault="007E4424" w:rsidP="007E4424">
      <w:pPr>
        <w:widowControl/>
        <w:spacing w:line="360" w:lineRule="auto"/>
        <w:ind w:firstLineChars="200" w:firstLine="480"/>
        <w:rPr>
          <w:rFonts w:ascii="Times New Roman" w:eastAsia="宋体" w:hAnsi="Times New Roman" w:cs="Times New Roman"/>
          <w:color w:val="0F1115"/>
          <w:szCs w:val="21"/>
          <w:shd w:val="clear" w:color="auto" w:fill="FFFFFF"/>
        </w:rPr>
      </w:pPr>
      <w:r w:rsidRPr="007E4424">
        <w:rPr>
          <w:rFonts w:ascii="Times New Roman" w:eastAsia="宋体" w:hAnsi="Times New Roman" w:cs="Times New Roman" w:hint="eastAsia"/>
          <w:color w:val="0F1115"/>
          <w:sz w:val="24"/>
          <w:szCs w:val="24"/>
          <w:shd w:val="clear" w:color="auto" w:fill="FFFFFF"/>
        </w:rPr>
        <w:t>3.</w:t>
      </w:r>
      <w:r w:rsidRPr="007E4424">
        <w:rPr>
          <w:rFonts w:ascii="Times New Roman" w:eastAsia="宋体" w:hAnsi="Times New Roman" w:cs="Times New Roman" w:hint="eastAsia"/>
          <w:color w:val="0F1115"/>
          <w:sz w:val="24"/>
          <w:szCs w:val="24"/>
          <w:shd w:val="clear" w:color="auto" w:fill="FFFFFF"/>
        </w:rPr>
        <w:t>健康产出</w:t>
      </w:r>
      <w:r w:rsidRPr="007E4424">
        <w:rPr>
          <w:rFonts w:ascii="Times New Roman" w:eastAsia="宋体" w:hAnsi="Times New Roman" w:cs="Times New Roman" w:hint="eastAsia"/>
          <w:color w:val="0F1115"/>
          <w:sz w:val="24"/>
          <w:szCs w:val="24"/>
          <w:shd w:val="clear" w:color="auto" w:fill="FFFFFF"/>
        </w:rPr>
        <w:t xml:space="preserve">  </w:t>
      </w:r>
      <w:r w:rsidRPr="007E4424">
        <w:rPr>
          <w:rFonts w:ascii="Times New Roman" w:eastAsia="宋体" w:hAnsi="Times New Roman" w:cs="Times New Roman" w:hint="eastAsia"/>
          <w:color w:val="0F1115"/>
          <w:szCs w:val="21"/>
          <w:shd w:val="clear" w:color="auto" w:fill="FFFFFF"/>
        </w:rPr>
        <w:t>健康产出的测量指标包括疗效</w:t>
      </w:r>
      <w:r w:rsidRPr="007E4424">
        <w:rPr>
          <w:rFonts w:ascii="Times New Roman" w:eastAsia="宋体" w:hAnsi="Times New Roman" w:cs="Times New Roman" w:hint="eastAsia"/>
          <w:color w:val="0F1115"/>
          <w:szCs w:val="21"/>
          <w:shd w:val="clear" w:color="auto" w:fill="FFFFFF"/>
        </w:rPr>
        <w:t>/</w:t>
      </w:r>
      <w:r w:rsidRPr="007E4424">
        <w:rPr>
          <w:rFonts w:ascii="Times New Roman" w:eastAsia="宋体" w:hAnsi="Times New Roman" w:cs="Times New Roman" w:hint="eastAsia"/>
          <w:color w:val="0F1115"/>
          <w:szCs w:val="21"/>
          <w:shd w:val="clear" w:color="auto" w:fill="FFFFFF"/>
        </w:rPr>
        <w:t>效果、效用与效益。效果指标从临床疗效或实际效果指标中优先选择，优先推荐采用终点指标。效用测量推荐使用质量调整生命年（</w:t>
      </w:r>
      <w:r w:rsidRPr="007E4424">
        <w:rPr>
          <w:rFonts w:ascii="Times New Roman" w:eastAsia="宋体" w:hAnsi="Times New Roman" w:cs="Times New Roman" w:hint="eastAsia"/>
          <w:color w:val="0F1115"/>
          <w:szCs w:val="21"/>
          <w:shd w:val="clear" w:color="auto" w:fill="FFFFFF"/>
        </w:rPr>
        <w:t>QALY</w:t>
      </w:r>
      <w:r w:rsidRPr="007E4424">
        <w:rPr>
          <w:rFonts w:ascii="Times New Roman" w:eastAsia="宋体" w:hAnsi="Times New Roman" w:cs="Times New Roman" w:hint="eastAsia"/>
          <w:color w:val="0F1115"/>
          <w:szCs w:val="21"/>
          <w:shd w:val="clear" w:color="auto" w:fill="FFFFFF"/>
        </w:rPr>
        <w:t>），优先选用基于中国人群建立的健康效用积分体系，如五维健康量表（</w:t>
      </w:r>
      <w:r w:rsidRPr="007E4424">
        <w:rPr>
          <w:rFonts w:ascii="Times New Roman" w:eastAsia="宋体" w:hAnsi="Times New Roman" w:cs="Times New Roman" w:hint="eastAsia"/>
          <w:color w:val="0F1115"/>
          <w:szCs w:val="21"/>
          <w:shd w:val="clear" w:color="auto" w:fill="FFFFFF"/>
        </w:rPr>
        <w:t>EQ-5D</w:t>
      </w:r>
      <w:r w:rsidRPr="007E4424">
        <w:rPr>
          <w:rFonts w:ascii="Times New Roman" w:eastAsia="宋体" w:hAnsi="Times New Roman" w:cs="Times New Roman" w:hint="eastAsia"/>
          <w:color w:val="0F1115"/>
          <w:szCs w:val="21"/>
          <w:shd w:val="clear" w:color="auto" w:fill="FFFFFF"/>
        </w:rPr>
        <w:t>）或健康调查简表（</w:t>
      </w:r>
      <w:r w:rsidRPr="007E4424">
        <w:rPr>
          <w:rFonts w:ascii="Times New Roman" w:eastAsia="宋体" w:hAnsi="Times New Roman" w:cs="Times New Roman" w:hint="eastAsia"/>
          <w:color w:val="0F1115"/>
          <w:szCs w:val="21"/>
          <w:shd w:val="clear" w:color="auto" w:fill="FFFFFF"/>
        </w:rPr>
        <w:t>SF-6D</w:t>
      </w:r>
      <w:r w:rsidRPr="007E4424">
        <w:rPr>
          <w:rFonts w:ascii="Times New Roman" w:eastAsia="宋体" w:hAnsi="Times New Roman" w:cs="Times New Roman" w:hint="eastAsia"/>
          <w:color w:val="0F1115"/>
          <w:szCs w:val="21"/>
          <w:shd w:val="clear" w:color="auto" w:fill="FFFFFF"/>
        </w:rPr>
        <w:t>）。效益主要包括直接效益、间接效益和隐形效益。</w:t>
      </w:r>
    </w:p>
    <w:p w14:paraId="5732CA87" w14:textId="77777777" w:rsidR="007E4424" w:rsidRPr="007E4424" w:rsidRDefault="007E4424" w:rsidP="007E4424">
      <w:pPr>
        <w:widowControl/>
        <w:spacing w:line="360" w:lineRule="auto"/>
        <w:ind w:firstLineChars="200" w:firstLine="480"/>
        <w:rPr>
          <w:rFonts w:ascii="Times New Roman" w:eastAsia="宋体" w:hAnsi="Times New Roman" w:cs="Times New Roman"/>
          <w:color w:val="0F1115"/>
          <w:sz w:val="24"/>
          <w:szCs w:val="24"/>
          <w:shd w:val="clear" w:color="auto" w:fill="FFFFFF"/>
        </w:rPr>
      </w:pPr>
      <w:r w:rsidRPr="007E4424">
        <w:rPr>
          <w:rFonts w:ascii="Times New Roman" w:eastAsia="宋体" w:hAnsi="Times New Roman" w:cs="Times New Roman" w:hint="eastAsia"/>
          <w:color w:val="0F1115"/>
          <w:sz w:val="24"/>
          <w:szCs w:val="24"/>
          <w:shd w:val="clear" w:color="auto" w:fill="FFFFFF"/>
        </w:rPr>
        <w:t>4.</w:t>
      </w:r>
      <w:r w:rsidRPr="007E4424">
        <w:rPr>
          <w:rFonts w:ascii="Times New Roman" w:eastAsia="宋体" w:hAnsi="Times New Roman" w:cs="Times New Roman" w:hint="eastAsia"/>
          <w:color w:val="0F1115"/>
          <w:sz w:val="24"/>
          <w:szCs w:val="24"/>
          <w:shd w:val="clear" w:color="auto" w:fill="FFFFFF"/>
        </w:rPr>
        <w:t>折现</w:t>
      </w:r>
      <w:r w:rsidRPr="007E4424">
        <w:rPr>
          <w:rFonts w:ascii="Times New Roman" w:eastAsia="宋体" w:hAnsi="Times New Roman" w:cs="Times New Roman" w:hint="eastAsia"/>
          <w:color w:val="0F1115"/>
          <w:sz w:val="24"/>
          <w:szCs w:val="24"/>
          <w:shd w:val="clear" w:color="auto" w:fill="FFFFFF"/>
        </w:rPr>
        <w:t xml:space="preserve">  </w:t>
      </w:r>
      <w:r w:rsidRPr="007E4424">
        <w:rPr>
          <w:rFonts w:ascii="Times New Roman" w:eastAsia="宋体" w:hAnsi="Times New Roman" w:cs="Times New Roman" w:hint="eastAsia"/>
          <w:color w:val="0F1115"/>
          <w:szCs w:val="21"/>
          <w:shd w:val="clear" w:color="auto" w:fill="FFFFFF"/>
        </w:rPr>
        <w:t>当研究时限超过一年时，必须对发生在未来的成本和产出进行折现，将其折算成同一时点的价值当量。指南建议对成本与健康产出采用相同的折现率，基准折现率推荐为每年</w:t>
      </w:r>
      <w:r w:rsidRPr="007E4424">
        <w:rPr>
          <w:rFonts w:ascii="Times New Roman" w:eastAsia="宋体" w:hAnsi="Times New Roman" w:cs="Times New Roman" w:hint="eastAsia"/>
          <w:color w:val="0F1115"/>
          <w:szCs w:val="21"/>
          <w:shd w:val="clear" w:color="auto" w:fill="FFFFFF"/>
        </w:rPr>
        <w:t>4.5%</w:t>
      </w:r>
      <w:r w:rsidRPr="007E4424">
        <w:rPr>
          <w:rFonts w:ascii="Times New Roman" w:eastAsia="宋体" w:hAnsi="Times New Roman" w:cs="Times New Roman" w:hint="eastAsia"/>
          <w:color w:val="0F1115"/>
          <w:szCs w:val="21"/>
          <w:shd w:val="clear" w:color="auto" w:fill="FFFFFF"/>
        </w:rPr>
        <w:t>。同时，研究者应在</w:t>
      </w:r>
      <w:r w:rsidRPr="007E4424">
        <w:rPr>
          <w:rFonts w:ascii="Times New Roman" w:eastAsia="宋体" w:hAnsi="Times New Roman" w:cs="Times New Roman" w:hint="eastAsia"/>
          <w:color w:val="0F1115"/>
          <w:szCs w:val="21"/>
          <w:shd w:val="clear" w:color="auto" w:fill="FFFFFF"/>
        </w:rPr>
        <w:t>0%</w:t>
      </w:r>
      <w:r w:rsidRPr="007E4424">
        <w:rPr>
          <w:rFonts w:ascii="Times New Roman" w:eastAsia="宋体" w:hAnsi="Times New Roman" w:cs="Times New Roman" w:hint="eastAsia"/>
          <w:color w:val="0F1115"/>
          <w:szCs w:val="21"/>
          <w:shd w:val="clear" w:color="auto" w:fill="FFFFFF"/>
        </w:rPr>
        <w:t>和</w:t>
      </w:r>
      <w:r w:rsidRPr="007E4424">
        <w:rPr>
          <w:rFonts w:ascii="Times New Roman" w:eastAsia="宋体" w:hAnsi="Times New Roman" w:cs="Times New Roman" w:hint="eastAsia"/>
          <w:color w:val="0F1115"/>
          <w:szCs w:val="21"/>
          <w:shd w:val="clear" w:color="auto" w:fill="FFFFFF"/>
        </w:rPr>
        <w:t>5%</w:t>
      </w:r>
      <w:r w:rsidRPr="007E4424">
        <w:rPr>
          <w:rFonts w:ascii="Times New Roman" w:eastAsia="宋体" w:hAnsi="Times New Roman" w:cs="Times New Roman" w:hint="eastAsia"/>
          <w:color w:val="0F1115"/>
          <w:szCs w:val="21"/>
          <w:shd w:val="clear" w:color="auto" w:fill="FFFFFF"/>
        </w:rPr>
        <w:t>的范围内对折现率进行敏感性分析，若采用其他数值则需提供合理解释。</w:t>
      </w:r>
    </w:p>
    <w:p w14:paraId="52907D8D" w14:textId="77777777" w:rsidR="007E4424" w:rsidRPr="007E4424" w:rsidRDefault="007E4424" w:rsidP="007E4424">
      <w:pPr>
        <w:widowControl/>
        <w:spacing w:line="360" w:lineRule="auto"/>
        <w:ind w:firstLineChars="200" w:firstLine="480"/>
        <w:rPr>
          <w:rFonts w:ascii="Times New Roman" w:eastAsia="宋体" w:hAnsi="Times New Roman" w:cs="Times New Roman"/>
          <w:color w:val="0F1115"/>
          <w:sz w:val="24"/>
          <w:szCs w:val="24"/>
          <w:shd w:val="clear" w:color="auto" w:fill="FFFFFF"/>
        </w:rPr>
      </w:pPr>
      <w:r w:rsidRPr="007E4424">
        <w:rPr>
          <w:rFonts w:ascii="Times New Roman" w:eastAsia="宋体" w:hAnsi="Times New Roman" w:cs="Times New Roman" w:hint="eastAsia"/>
          <w:color w:val="0F1115"/>
          <w:sz w:val="24"/>
          <w:szCs w:val="24"/>
          <w:shd w:val="clear" w:color="auto" w:fill="FFFFFF"/>
        </w:rPr>
        <w:t>5.</w:t>
      </w:r>
      <w:r w:rsidRPr="007E4424">
        <w:rPr>
          <w:rFonts w:ascii="Times New Roman" w:eastAsia="宋体" w:hAnsi="Times New Roman" w:cs="Times New Roman" w:hint="eastAsia"/>
          <w:color w:val="0F1115"/>
          <w:sz w:val="24"/>
          <w:szCs w:val="24"/>
          <w:shd w:val="clear" w:color="auto" w:fill="FFFFFF"/>
        </w:rPr>
        <w:t>评价方法</w:t>
      </w:r>
      <w:r w:rsidRPr="007E4424">
        <w:rPr>
          <w:rFonts w:ascii="Times New Roman" w:eastAsia="宋体" w:hAnsi="Times New Roman" w:cs="Times New Roman" w:hint="eastAsia"/>
          <w:color w:val="0F1115"/>
          <w:sz w:val="24"/>
          <w:szCs w:val="24"/>
          <w:shd w:val="clear" w:color="auto" w:fill="FFFFFF"/>
        </w:rPr>
        <w:t xml:space="preserve">  </w:t>
      </w:r>
      <w:r w:rsidRPr="007E4424">
        <w:rPr>
          <w:rFonts w:ascii="Times New Roman" w:eastAsia="宋体" w:hAnsi="Times New Roman" w:cs="Times New Roman" w:hint="eastAsia"/>
          <w:color w:val="0F1115"/>
          <w:szCs w:val="21"/>
          <w:shd w:val="clear" w:color="auto" w:fill="FFFFFF"/>
        </w:rPr>
        <w:t>主要方法包括成本效果分析（</w:t>
      </w:r>
      <w:r w:rsidRPr="007E4424">
        <w:rPr>
          <w:rFonts w:ascii="Times New Roman" w:eastAsia="宋体" w:hAnsi="Times New Roman" w:cs="Times New Roman" w:hint="eastAsia"/>
          <w:color w:val="0F1115"/>
          <w:szCs w:val="21"/>
          <w:shd w:val="clear" w:color="auto" w:fill="FFFFFF"/>
        </w:rPr>
        <w:t>CEA</w:t>
      </w:r>
      <w:r w:rsidRPr="007E4424">
        <w:rPr>
          <w:rFonts w:ascii="Times New Roman" w:eastAsia="宋体" w:hAnsi="Times New Roman" w:cs="Times New Roman" w:hint="eastAsia"/>
          <w:color w:val="0F1115"/>
          <w:szCs w:val="21"/>
          <w:shd w:val="clear" w:color="auto" w:fill="FFFFFF"/>
        </w:rPr>
        <w:t>）、成本效用分析（</w:t>
      </w:r>
      <w:r w:rsidRPr="007E4424">
        <w:rPr>
          <w:rFonts w:ascii="Times New Roman" w:eastAsia="宋体" w:hAnsi="Times New Roman" w:cs="Times New Roman" w:hint="eastAsia"/>
          <w:color w:val="0F1115"/>
          <w:szCs w:val="21"/>
          <w:shd w:val="clear" w:color="auto" w:fill="FFFFFF"/>
        </w:rPr>
        <w:t>CUA</w:t>
      </w:r>
      <w:r w:rsidRPr="007E4424">
        <w:rPr>
          <w:rFonts w:ascii="Times New Roman" w:eastAsia="宋体" w:hAnsi="Times New Roman" w:cs="Times New Roman" w:hint="eastAsia"/>
          <w:color w:val="0F1115"/>
          <w:szCs w:val="21"/>
          <w:shd w:val="clear" w:color="auto" w:fill="FFFFFF"/>
        </w:rPr>
        <w:t>）和成本效益分析（</w:t>
      </w:r>
      <w:r w:rsidRPr="007E4424">
        <w:rPr>
          <w:rFonts w:ascii="Times New Roman" w:eastAsia="宋体" w:hAnsi="Times New Roman" w:cs="Times New Roman" w:hint="eastAsia"/>
          <w:color w:val="0F1115"/>
          <w:szCs w:val="21"/>
          <w:shd w:val="clear" w:color="auto" w:fill="FFFFFF"/>
        </w:rPr>
        <w:t>CBA</w:t>
      </w:r>
      <w:r w:rsidRPr="007E4424">
        <w:rPr>
          <w:rFonts w:ascii="Times New Roman" w:eastAsia="宋体" w:hAnsi="Times New Roman" w:cs="Times New Roman" w:hint="eastAsia"/>
          <w:color w:val="0F1115"/>
          <w:szCs w:val="21"/>
          <w:shd w:val="clear" w:color="auto" w:fill="FFFFFF"/>
        </w:rPr>
        <w:t>），优先推荐使用</w:t>
      </w:r>
      <w:r w:rsidRPr="007E4424">
        <w:rPr>
          <w:rFonts w:ascii="Times New Roman" w:eastAsia="宋体" w:hAnsi="Times New Roman" w:cs="Times New Roman" w:hint="eastAsia"/>
          <w:color w:val="0F1115"/>
          <w:szCs w:val="21"/>
          <w:shd w:val="clear" w:color="auto" w:fill="FFFFFF"/>
        </w:rPr>
        <w:t>CUA</w:t>
      </w:r>
      <w:r w:rsidRPr="007E4424">
        <w:rPr>
          <w:rFonts w:ascii="Times New Roman" w:eastAsia="宋体" w:hAnsi="Times New Roman" w:cs="Times New Roman" w:hint="eastAsia"/>
          <w:color w:val="0F1115"/>
          <w:szCs w:val="21"/>
          <w:shd w:val="clear" w:color="auto" w:fill="FFFFFF"/>
        </w:rPr>
        <w:t>。通过比较两方案之间的增量成本效果比（</w:t>
      </w:r>
      <w:r w:rsidRPr="007E4424">
        <w:rPr>
          <w:rFonts w:ascii="Times New Roman" w:eastAsia="宋体" w:hAnsi="Times New Roman" w:cs="Times New Roman" w:hint="eastAsia"/>
          <w:color w:val="0F1115"/>
          <w:szCs w:val="21"/>
          <w:shd w:val="clear" w:color="auto" w:fill="FFFFFF"/>
        </w:rPr>
        <w:t>ICER</w:t>
      </w:r>
      <w:r w:rsidRPr="007E4424">
        <w:rPr>
          <w:rFonts w:ascii="Times New Roman" w:eastAsia="宋体" w:hAnsi="Times New Roman" w:cs="Times New Roman" w:hint="eastAsia"/>
          <w:color w:val="0F1115"/>
          <w:szCs w:val="21"/>
          <w:shd w:val="clear" w:color="auto" w:fill="FFFFFF"/>
        </w:rPr>
        <w:t>）与意愿支付阈值确定干预方案的经济性。建议对</w:t>
      </w:r>
      <w:r w:rsidRPr="007E4424">
        <w:rPr>
          <w:rFonts w:ascii="Times New Roman" w:eastAsia="宋体" w:hAnsi="Times New Roman" w:cs="Times New Roman" w:hint="eastAsia"/>
          <w:color w:val="0F1115"/>
          <w:szCs w:val="21"/>
          <w:shd w:val="clear" w:color="auto" w:fill="FFFFFF"/>
        </w:rPr>
        <w:t>QALY</w:t>
      </w:r>
      <w:r w:rsidRPr="007E4424">
        <w:rPr>
          <w:rFonts w:ascii="Times New Roman" w:eastAsia="宋体" w:hAnsi="Times New Roman" w:cs="Times New Roman" w:hint="eastAsia"/>
          <w:color w:val="0F1115"/>
          <w:szCs w:val="21"/>
          <w:shd w:val="clear" w:color="auto" w:fill="FFFFFF"/>
        </w:rPr>
        <w:t>采用</w:t>
      </w:r>
      <w:r w:rsidRPr="007E4424">
        <w:rPr>
          <w:rFonts w:ascii="Times New Roman" w:eastAsia="宋体" w:hAnsi="Times New Roman" w:cs="Times New Roman" w:hint="eastAsia"/>
          <w:color w:val="0F1115"/>
          <w:szCs w:val="21"/>
          <w:shd w:val="clear" w:color="auto" w:fill="FFFFFF"/>
        </w:rPr>
        <w:t>2</w:t>
      </w:r>
      <w:r w:rsidRPr="007E4424">
        <w:rPr>
          <w:rFonts w:ascii="Times New Roman" w:eastAsia="宋体" w:hAnsi="Times New Roman" w:cs="Times New Roman" w:hint="eastAsia"/>
          <w:color w:val="0F1115"/>
          <w:szCs w:val="21"/>
          <w:shd w:val="clear" w:color="auto" w:fill="FFFFFF"/>
        </w:rPr>
        <w:t>倍以下最新的全国人均国内生产总值作为意愿支付阈值。若</w:t>
      </w:r>
      <w:r w:rsidRPr="007E4424">
        <w:rPr>
          <w:rFonts w:ascii="Times New Roman" w:eastAsia="宋体" w:hAnsi="Times New Roman" w:cs="Times New Roman" w:hint="eastAsia"/>
          <w:color w:val="0F1115"/>
          <w:szCs w:val="21"/>
          <w:shd w:val="clear" w:color="auto" w:fill="FFFFFF"/>
        </w:rPr>
        <w:t>ICER</w:t>
      </w:r>
      <w:r w:rsidRPr="007E4424">
        <w:rPr>
          <w:rFonts w:ascii="Times New Roman" w:eastAsia="宋体" w:hAnsi="Times New Roman" w:cs="Times New Roman" w:hint="eastAsia"/>
          <w:color w:val="0F1115"/>
          <w:szCs w:val="21"/>
          <w:shd w:val="clear" w:color="auto" w:fill="FFFFFF"/>
        </w:rPr>
        <w:t>小于该阈值，则认为方案具有成本</w:t>
      </w:r>
      <w:r w:rsidRPr="007E4424">
        <w:rPr>
          <w:rFonts w:ascii="Times New Roman" w:eastAsia="宋体" w:hAnsi="Times New Roman" w:cs="Times New Roman" w:hint="eastAsia"/>
          <w:color w:val="0F1115"/>
          <w:szCs w:val="21"/>
          <w:shd w:val="clear" w:color="auto" w:fill="FFFFFF"/>
        </w:rPr>
        <w:t>-</w:t>
      </w:r>
      <w:r w:rsidRPr="007E4424">
        <w:rPr>
          <w:rFonts w:ascii="Times New Roman" w:eastAsia="宋体" w:hAnsi="Times New Roman" w:cs="Times New Roman" w:hint="eastAsia"/>
          <w:color w:val="0F1115"/>
          <w:szCs w:val="21"/>
          <w:shd w:val="clear" w:color="auto" w:fill="FFFFFF"/>
        </w:rPr>
        <w:t>效果。</w:t>
      </w:r>
    </w:p>
    <w:p w14:paraId="0C2D6244" w14:textId="77777777" w:rsidR="007E4424" w:rsidRPr="007E4424" w:rsidRDefault="007E4424" w:rsidP="007E4424">
      <w:pPr>
        <w:widowControl/>
        <w:spacing w:line="360" w:lineRule="auto"/>
        <w:ind w:firstLineChars="200" w:firstLine="480"/>
        <w:rPr>
          <w:rFonts w:ascii="Times New Roman" w:eastAsia="宋体" w:hAnsi="Times New Roman" w:cs="Times New Roman"/>
          <w:color w:val="0F1115"/>
          <w:szCs w:val="21"/>
          <w:shd w:val="clear" w:color="auto" w:fill="FFFFFF"/>
        </w:rPr>
      </w:pPr>
      <w:r w:rsidRPr="007E4424">
        <w:rPr>
          <w:rFonts w:ascii="Times New Roman" w:eastAsia="宋体" w:hAnsi="Times New Roman" w:cs="Times New Roman" w:hint="eastAsia"/>
          <w:color w:val="0F1115"/>
          <w:sz w:val="24"/>
          <w:szCs w:val="24"/>
          <w:shd w:val="clear" w:color="auto" w:fill="FFFFFF"/>
        </w:rPr>
        <w:t>6.</w:t>
      </w:r>
      <w:r w:rsidRPr="007E4424">
        <w:rPr>
          <w:rFonts w:ascii="Times New Roman" w:eastAsia="宋体" w:hAnsi="Times New Roman" w:cs="Times New Roman" w:hint="eastAsia"/>
          <w:color w:val="0F1115"/>
          <w:sz w:val="24"/>
          <w:szCs w:val="24"/>
          <w:shd w:val="clear" w:color="auto" w:fill="FFFFFF"/>
        </w:rPr>
        <w:t>模型分析</w:t>
      </w:r>
      <w:r w:rsidRPr="007E4424">
        <w:rPr>
          <w:rFonts w:ascii="Times New Roman" w:eastAsia="宋体" w:hAnsi="Times New Roman" w:cs="Times New Roman" w:hint="eastAsia"/>
          <w:color w:val="0F1115"/>
          <w:sz w:val="24"/>
          <w:szCs w:val="24"/>
          <w:shd w:val="clear" w:color="auto" w:fill="FFFFFF"/>
        </w:rPr>
        <w:t xml:space="preserve">  </w:t>
      </w:r>
      <w:r w:rsidRPr="007E4424">
        <w:rPr>
          <w:rFonts w:ascii="Times New Roman" w:eastAsia="宋体" w:hAnsi="Times New Roman" w:cs="Times New Roman" w:hint="eastAsia"/>
          <w:color w:val="0F1115"/>
          <w:szCs w:val="21"/>
          <w:shd w:val="clear" w:color="auto" w:fill="FFFFFF"/>
        </w:rPr>
        <w:t>模型用于模拟疾病自然转归及干预措施的影响，常用类型包括决策树、</w:t>
      </w:r>
      <w:r w:rsidRPr="007E4424">
        <w:rPr>
          <w:rFonts w:ascii="Times New Roman" w:eastAsia="宋体" w:hAnsi="Times New Roman" w:cs="Times New Roman" w:hint="eastAsia"/>
          <w:color w:val="0F1115"/>
          <w:szCs w:val="21"/>
          <w:shd w:val="clear" w:color="auto" w:fill="FFFFFF"/>
        </w:rPr>
        <w:t>Markov</w:t>
      </w:r>
      <w:r w:rsidRPr="007E4424">
        <w:rPr>
          <w:rFonts w:ascii="Times New Roman" w:eastAsia="宋体" w:hAnsi="Times New Roman" w:cs="Times New Roman" w:hint="eastAsia"/>
          <w:color w:val="0F1115"/>
          <w:szCs w:val="21"/>
          <w:shd w:val="clear" w:color="auto" w:fill="FFFFFF"/>
        </w:rPr>
        <w:t>模型、分区生存模型和离散事件模拟等。模型构建应以疾病特点为依据并适度简化，清晰展示参数来源及假设。此外，模型必须进行效度验证（如表面效度、内外部效度等），并保持高度透明，以确保研究结果的可信度与适用性。</w:t>
      </w:r>
    </w:p>
    <w:p w14:paraId="441F8E97" w14:textId="77777777" w:rsidR="007E4424" w:rsidRPr="007E4424" w:rsidRDefault="007E4424" w:rsidP="007E4424">
      <w:pPr>
        <w:widowControl/>
        <w:spacing w:line="360" w:lineRule="auto"/>
        <w:ind w:firstLineChars="200" w:firstLine="480"/>
        <w:rPr>
          <w:rFonts w:ascii="Times New Roman" w:eastAsia="宋体" w:hAnsi="Times New Roman" w:cs="Times New Roman"/>
          <w:color w:val="0F1115"/>
          <w:szCs w:val="21"/>
          <w:shd w:val="clear" w:color="auto" w:fill="FFFFFF"/>
        </w:rPr>
      </w:pPr>
      <w:r w:rsidRPr="007E4424">
        <w:rPr>
          <w:rFonts w:ascii="Times New Roman" w:eastAsia="宋体" w:hAnsi="Times New Roman" w:cs="Times New Roman" w:hint="eastAsia"/>
          <w:color w:val="0F1115"/>
          <w:sz w:val="24"/>
          <w:szCs w:val="24"/>
          <w:shd w:val="clear" w:color="auto" w:fill="FFFFFF"/>
        </w:rPr>
        <w:t>7.</w:t>
      </w:r>
      <w:r w:rsidRPr="007E4424">
        <w:rPr>
          <w:rFonts w:ascii="Times New Roman" w:eastAsia="宋体" w:hAnsi="Times New Roman" w:cs="Times New Roman" w:hint="eastAsia"/>
          <w:color w:val="0F1115"/>
          <w:sz w:val="24"/>
          <w:szCs w:val="24"/>
          <w:shd w:val="clear" w:color="auto" w:fill="FFFFFF"/>
        </w:rPr>
        <w:t>差异性和不确定性</w:t>
      </w:r>
      <w:r w:rsidRPr="007E4424">
        <w:rPr>
          <w:rFonts w:ascii="Times New Roman" w:eastAsia="宋体" w:hAnsi="Times New Roman" w:cs="Times New Roman" w:hint="eastAsia"/>
          <w:color w:val="0F1115"/>
          <w:sz w:val="24"/>
          <w:szCs w:val="24"/>
          <w:shd w:val="clear" w:color="auto" w:fill="FFFFFF"/>
        </w:rPr>
        <w:t xml:space="preserve">  </w:t>
      </w:r>
      <w:r w:rsidRPr="007E4424">
        <w:rPr>
          <w:rFonts w:ascii="Times New Roman" w:eastAsia="宋体" w:hAnsi="Times New Roman" w:cs="Times New Roman" w:hint="eastAsia"/>
          <w:color w:val="0F1115"/>
          <w:szCs w:val="21"/>
          <w:shd w:val="clear" w:color="auto" w:fill="FFFFFF"/>
        </w:rPr>
        <w:t>差异性源于地区背景或患者异质性，可通过敏感性分析、情境分析或亚组分析处理。不确定性则包含方法学、参数及模型不确定性等。参数不确定性需通过单因素敏感性分析或概率敏感性分析进行全面评估，研究者不应仅依据基础分析结果得出结论。</w:t>
      </w:r>
    </w:p>
    <w:p w14:paraId="09AE0010" w14:textId="77777777" w:rsidR="007E4424" w:rsidRPr="007E4424" w:rsidRDefault="007E4424" w:rsidP="007E4424">
      <w:pPr>
        <w:widowControl/>
        <w:spacing w:line="360" w:lineRule="auto"/>
        <w:ind w:firstLineChars="200" w:firstLine="480"/>
        <w:rPr>
          <w:rFonts w:ascii="Times New Roman" w:eastAsia="宋体" w:hAnsi="Times New Roman" w:cs="Times New Roman"/>
          <w:color w:val="0F1115"/>
          <w:szCs w:val="21"/>
          <w:shd w:val="clear" w:color="auto" w:fill="FFFFFF"/>
        </w:rPr>
      </w:pPr>
      <w:r w:rsidRPr="007E4424">
        <w:rPr>
          <w:rFonts w:ascii="Times New Roman" w:eastAsia="宋体" w:hAnsi="Times New Roman" w:cs="Times New Roman" w:hint="eastAsia"/>
          <w:color w:val="0F1115"/>
          <w:sz w:val="24"/>
          <w:szCs w:val="24"/>
          <w:shd w:val="clear" w:color="auto" w:fill="FFFFFF"/>
        </w:rPr>
        <w:t>8.</w:t>
      </w:r>
      <w:r w:rsidRPr="007E4424">
        <w:rPr>
          <w:rFonts w:ascii="Times New Roman" w:eastAsia="宋体" w:hAnsi="Times New Roman" w:cs="Times New Roman" w:hint="eastAsia"/>
          <w:color w:val="0F1115"/>
          <w:sz w:val="24"/>
          <w:szCs w:val="24"/>
          <w:shd w:val="clear" w:color="auto" w:fill="FFFFFF"/>
        </w:rPr>
        <w:t>公平性</w:t>
      </w:r>
      <w:r w:rsidRPr="007E4424">
        <w:rPr>
          <w:rFonts w:ascii="Times New Roman" w:eastAsia="宋体" w:hAnsi="Times New Roman" w:cs="Times New Roman" w:hint="eastAsia"/>
          <w:color w:val="0F1115"/>
          <w:sz w:val="24"/>
          <w:szCs w:val="24"/>
          <w:shd w:val="clear" w:color="auto" w:fill="FFFFFF"/>
        </w:rPr>
        <w:t xml:space="preserve">  </w:t>
      </w:r>
      <w:r w:rsidRPr="007E4424">
        <w:rPr>
          <w:rFonts w:ascii="Times New Roman" w:eastAsia="宋体" w:hAnsi="Times New Roman" w:cs="Times New Roman" w:hint="eastAsia"/>
          <w:color w:val="0F1115"/>
          <w:szCs w:val="21"/>
          <w:shd w:val="clear" w:color="auto" w:fill="FFFFFF"/>
        </w:rPr>
        <w:t>公平性考量旨在确保研究结果对不同人群无歧视，涉及社会因素（如年龄、性别等）、疾病因素（如严重程度等）和健康获益因素（如健康获益类型等）等。研究者通过敏感性分析和亚组分析，评估公平性假设或参数对结果的影响，并报告特定亚组的成本</w:t>
      </w:r>
      <w:r w:rsidRPr="007E4424">
        <w:rPr>
          <w:rFonts w:ascii="Times New Roman" w:eastAsia="宋体" w:hAnsi="Times New Roman" w:cs="Times New Roman" w:hint="eastAsia"/>
          <w:color w:val="0F1115"/>
          <w:szCs w:val="21"/>
          <w:shd w:val="clear" w:color="auto" w:fill="FFFFFF"/>
        </w:rPr>
        <w:t>-</w:t>
      </w:r>
      <w:r w:rsidRPr="007E4424">
        <w:rPr>
          <w:rFonts w:ascii="Times New Roman" w:eastAsia="宋体" w:hAnsi="Times New Roman" w:cs="Times New Roman" w:hint="eastAsia"/>
          <w:color w:val="0F1115"/>
          <w:szCs w:val="21"/>
          <w:shd w:val="clear" w:color="auto" w:fill="FFFFFF"/>
        </w:rPr>
        <w:t>效果信息。此外，鼓励在公平性影响较大的领域探索公平性权重（</w:t>
      </w:r>
      <w:r w:rsidRPr="007E4424">
        <w:rPr>
          <w:rFonts w:ascii="Times New Roman" w:eastAsia="宋体" w:hAnsi="Times New Roman" w:cs="Times New Roman" w:hint="eastAsia"/>
          <w:color w:val="0F1115"/>
          <w:szCs w:val="21"/>
          <w:shd w:val="clear" w:color="auto" w:fill="FFFFFF"/>
        </w:rPr>
        <w:t xml:space="preserve">equity based </w:t>
      </w:r>
      <w:proofErr w:type="spellStart"/>
      <w:r w:rsidRPr="007E4424">
        <w:rPr>
          <w:rFonts w:ascii="Times New Roman" w:eastAsia="宋体" w:hAnsi="Times New Roman" w:cs="Times New Roman" w:hint="eastAsia"/>
          <w:color w:val="0F1115"/>
          <w:szCs w:val="21"/>
          <w:shd w:val="clear" w:color="auto" w:fill="FFFFFF"/>
        </w:rPr>
        <w:t>weighting,EBW</w:t>
      </w:r>
      <w:proofErr w:type="spellEnd"/>
      <w:r w:rsidRPr="007E4424">
        <w:rPr>
          <w:rFonts w:ascii="Times New Roman" w:eastAsia="宋体" w:hAnsi="Times New Roman" w:cs="Times New Roman" w:hint="eastAsia"/>
          <w:color w:val="0F1115"/>
          <w:szCs w:val="21"/>
          <w:shd w:val="clear" w:color="auto" w:fill="FFFFFF"/>
        </w:rPr>
        <w:t>）、分布式成本</w:t>
      </w:r>
      <w:r w:rsidRPr="007E4424">
        <w:rPr>
          <w:rFonts w:ascii="Times New Roman" w:eastAsia="宋体" w:hAnsi="Times New Roman" w:cs="Times New Roman" w:hint="eastAsia"/>
          <w:color w:val="0F1115"/>
          <w:szCs w:val="21"/>
          <w:shd w:val="clear" w:color="auto" w:fill="FFFFFF"/>
        </w:rPr>
        <w:t>-</w:t>
      </w:r>
      <w:r w:rsidRPr="007E4424">
        <w:rPr>
          <w:rFonts w:ascii="Times New Roman" w:eastAsia="宋体" w:hAnsi="Times New Roman" w:cs="Times New Roman" w:hint="eastAsia"/>
          <w:color w:val="0F1115"/>
          <w:szCs w:val="21"/>
          <w:shd w:val="clear" w:color="auto" w:fill="FFFFFF"/>
        </w:rPr>
        <w:t>效果分析（</w:t>
      </w:r>
      <w:r w:rsidRPr="007E4424">
        <w:rPr>
          <w:rFonts w:ascii="Times New Roman" w:eastAsia="宋体" w:hAnsi="Times New Roman" w:cs="Times New Roman" w:hint="eastAsia"/>
          <w:color w:val="0F1115"/>
          <w:szCs w:val="21"/>
          <w:shd w:val="clear" w:color="auto" w:fill="FFFFFF"/>
        </w:rPr>
        <w:t xml:space="preserve">distributional cost-effectiveness </w:t>
      </w:r>
      <w:proofErr w:type="spellStart"/>
      <w:r w:rsidRPr="007E4424">
        <w:rPr>
          <w:rFonts w:ascii="Times New Roman" w:eastAsia="宋体" w:hAnsi="Times New Roman" w:cs="Times New Roman" w:hint="eastAsia"/>
          <w:color w:val="0F1115"/>
          <w:szCs w:val="21"/>
          <w:shd w:val="clear" w:color="auto" w:fill="FFFFFF"/>
        </w:rPr>
        <w:t>analysis,DCEA</w:t>
      </w:r>
      <w:proofErr w:type="spellEnd"/>
      <w:r w:rsidRPr="007E4424">
        <w:rPr>
          <w:rFonts w:ascii="Times New Roman" w:eastAsia="宋体" w:hAnsi="Times New Roman" w:cs="Times New Roman" w:hint="eastAsia"/>
          <w:color w:val="0F1115"/>
          <w:szCs w:val="21"/>
          <w:shd w:val="clear" w:color="auto" w:fill="FFFFFF"/>
        </w:rPr>
        <w:t>）、</w:t>
      </w:r>
      <w:r w:rsidRPr="007E4424">
        <w:rPr>
          <w:rFonts w:ascii="Times New Roman" w:eastAsia="宋体" w:hAnsi="Times New Roman" w:cs="Times New Roman" w:hint="eastAsia"/>
          <w:color w:val="0F1115"/>
          <w:szCs w:val="21"/>
          <w:shd w:val="clear" w:color="auto" w:fill="FFFFFF"/>
        </w:rPr>
        <w:lastRenderedPageBreak/>
        <w:t>扩展成本</w:t>
      </w:r>
      <w:r w:rsidRPr="007E4424">
        <w:rPr>
          <w:rFonts w:ascii="Times New Roman" w:eastAsia="宋体" w:hAnsi="Times New Roman" w:cs="Times New Roman" w:hint="eastAsia"/>
          <w:color w:val="0F1115"/>
          <w:szCs w:val="21"/>
          <w:shd w:val="clear" w:color="auto" w:fill="FFFFFF"/>
        </w:rPr>
        <w:t>-</w:t>
      </w:r>
      <w:r w:rsidRPr="007E4424">
        <w:rPr>
          <w:rFonts w:ascii="Times New Roman" w:eastAsia="宋体" w:hAnsi="Times New Roman" w:cs="Times New Roman" w:hint="eastAsia"/>
          <w:color w:val="0F1115"/>
          <w:szCs w:val="21"/>
          <w:shd w:val="clear" w:color="auto" w:fill="FFFFFF"/>
        </w:rPr>
        <w:t>效果分析（</w:t>
      </w:r>
      <w:r w:rsidRPr="007E4424">
        <w:rPr>
          <w:rFonts w:ascii="Times New Roman" w:eastAsia="宋体" w:hAnsi="Times New Roman" w:cs="Times New Roman" w:hint="eastAsia"/>
          <w:color w:val="0F1115"/>
          <w:szCs w:val="21"/>
          <w:shd w:val="clear" w:color="auto" w:fill="FFFFFF"/>
        </w:rPr>
        <w:t xml:space="preserve">extended cost-effectiveness </w:t>
      </w:r>
      <w:proofErr w:type="spellStart"/>
      <w:r w:rsidRPr="007E4424">
        <w:rPr>
          <w:rFonts w:ascii="Times New Roman" w:eastAsia="宋体" w:hAnsi="Times New Roman" w:cs="Times New Roman" w:hint="eastAsia"/>
          <w:color w:val="0F1115"/>
          <w:szCs w:val="21"/>
          <w:shd w:val="clear" w:color="auto" w:fill="FFFFFF"/>
        </w:rPr>
        <w:t>analysise,ECEA</w:t>
      </w:r>
      <w:proofErr w:type="spellEnd"/>
      <w:r w:rsidRPr="007E4424">
        <w:rPr>
          <w:rFonts w:ascii="Times New Roman" w:eastAsia="宋体" w:hAnsi="Times New Roman" w:cs="Times New Roman" w:hint="eastAsia"/>
          <w:color w:val="0F1115"/>
          <w:szCs w:val="21"/>
          <w:shd w:val="clear" w:color="auto" w:fill="FFFFFF"/>
        </w:rPr>
        <w:t>）和广义风险调整成本</w:t>
      </w:r>
      <w:r w:rsidRPr="007E4424">
        <w:rPr>
          <w:rFonts w:ascii="Times New Roman" w:eastAsia="宋体" w:hAnsi="Times New Roman" w:cs="Times New Roman" w:hint="eastAsia"/>
          <w:color w:val="0F1115"/>
          <w:szCs w:val="21"/>
          <w:shd w:val="clear" w:color="auto" w:fill="FFFFFF"/>
        </w:rPr>
        <w:t>-</w:t>
      </w:r>
      <w:r w:rsidRPr="007E4424">
        <w:rPr>
          <w:rFonts w:ascii="Times New Roman" w:eastAsia="宋体" w:hAnsi="Times New Roman" w:cs="Times New Roman" w:hint="eastAsia"/>
          <w:color w:val="0F1115"/>
          <w:szCs w:val="21"/>
          <w:shd w:val="clear" w:color="auto" w:fill="FFFFFF"/>
        </w:rPr>
        <w:t>效果（</w:t>
      </w:r>
      <w:r w:rsidRPr="007E4424">
        <w:rPr>
          <w:rFonts w:ascii="Times New Roman" w:eastAsia="宋体" w:hAnsi="Times New Roman" w:cs="Times New Roman" w:hint="eastAsia"/>
          <w:color w:val="0F1115"/>
          <w:szCs w:val="21"/>
          <w:shd w:val="clear" w:color="auto" w:fill="FFFFFF"/>
        </w:rPr>
        <w:t>generalized risk-adjusted cost-</w:t>
      </w:r>
      <w:proofErr w:type="spellStart"/>
      <w:r w:rsidRPr="007E4424">
        <w:rPr>
          <w:rFonts w:ascii="Times New Roman" w:eastAsia="宋体" w:hAnsi="Times New Roman" w:cs="Times New Roman" w:hint="eastAsia"/>
          <w:color w:val="0F1115"/>
          <w:szCs w:val="21"/>
          <w:shd w:val="clear" w:color="auto" w:fill="FFFFFF"/>
        </w:rPr>
        <w:t>effectiveness,GRACE</w:t>
      </w:r>
      <w:proofErr w:type="spellEnd"/>
      <w:r w:rsidRPr="007E4424">
        <w:rPr>
          <w:rFonts w:ascii="Times New Roman" w:eastAsia="宋体" w:hAnsi="Times New Roman" w:cs="Times New Roman" w:hint="eastAsia"/>
          <w:color w:val="0F1115"/>
          <w:szCs w:val="21"/>
          <w:shd w:val="clear" w:color="auto" w:fill="FFFFFF"/>
        </w:rPr>
        <w:t>）等方法。</w:t>
      </w:r>
    </w:p>
    <w:p w14:paraId="73452B0B" w14:textId="77777777" w:rsidR="007E4424" w:rsidRPr="007E4424" w:rsidRDefault="007E4424" w:rsidP="007E4424">
      <w:pPr>
        <w:widowControl/>
        <w:spacing w:line="360" w:lineRule="auto"/>
        <w:ind w:firstLineChars="200" w:firstLine="480"/>
        <w:rPr>
          <w:rFonts w:ascii="Times New Roman" w:eastAsia="宋体" w:hAnsi="Times New Roman" w:cs="Times New Roman"/>
          <w:color w:val="0F1115"/>
          <w:sz w:val="24"/>
          <w:szCs w:val="24"/>
          <w:shd w:val="clear" w:color="auto" w:fill="FFFFFF"/>
        </w:rPr>
      </w:pPr>
      <w:r w:rsidRPr="007E4424">
        <w:rPr>
          <w:rFonts w:ascii="Times New Roman" w:eastAsia="宋体" w:hAnsi="Times New Roman" w:cs="Times New Roman" w:hint="eastAsia"/>
          <w:color w:val="0F1115"/>
          <w:sz w:val="24"/>
          <w:szCs w:val="24"/>
          <w:shd w:val="clear" w:color="auto" w:fill="FFFFFF"/>
        </w:rPr>
        <w:t>9.</w:t>
      </w:r>
      <w:r w:rsidRPr="007E4424">
        <w:rPr>
          <w:rFonts w:ascii="Times New Roman" w:eastAsia="宋体" w:hAnsi="Times New Roman" w:cs="Times New Roman" w:hint="eastAsia"/>
          <w:color w:val="0F1115"/>
          <w:sz w:val="24"/>
          <w:szCs w:val="24"/>
          <w:shd w:val="clear" w:color="auto" w:fill="FFFFFF"/>
        </w:rPr>
        <w:t>外推性</w:t>
      </w:r>
      <w:r w:rsidRPr="007E4424">
        <w:rPr>
          <w:rFonts w:ascii="Times New Roman" w:eastAsia="宋体" w:hAnsi="Times New Roman" w:cs="Times New Roman" w:hint="eastAsia"/>
          <w:color w:val="0F1115"/>
          <w:sz w:val="24"/>
          <w:szCs w:val="24"/>
          <w:shd w:val="clear" w:color="auto" w:fill="FFFFFF"/>
        </w:rPr>
        <w:t xml:space="preserve">  </w:t>
      </w:r>
      <w:r w:rsidRPr="007E4424">
        <w:rPr>
          <w:rFonts w:ascii="Times New Roman" w:eastAsia="宋体" w:hAnsi="Times New Roman" w:cs="Times New Roman" w:hint="eastAsia"/>
          <w:color w:val="0F1115"/>
          <w:szCs w:val="21"/>
          <w:shd w:val="clear" w:color="auto" w:fill="FFFFFF"/>
        </w:rPr>
        <w:t>外推性是衡量一个群体或环境的研究结果应用于另一个群体或环境的程度。由于流行病学特征、临床实践模式、资源使用模式的差异，药物研究结果可能因环境或群体而异。因此，特别是在使用非中国本土数据开展评价时，需从人口特征、资源使用模式、成本效果相关性等角度详细论证其在目标决策环境中的适用性。</w:t>
      </w:r>
    </w:p>
    <w:p w14:paraId="3F913EE8" w14:textId="77777777" w:rsidR="007E4424" w:rsidRPr="007E4424" w:rsidRDefault="007E4424" w:rsidP="007E4424">
      <w:pPr>
        <w:widowControl/>
        <w:spacing w:line="360" w:lineRule="auto"/>
        <w:ind w:firstLineChars="200" w:firstLine="480"/>
        <w:rPr>
          <w:rFonts w:ascii="Times New Roman" w:eastAsia="宋体" w:hAnsi="Times New Roman" w:cs="Times New Roman"/>
          <w:color w:val="0F1115"/>
          <w:szCs w:val="21"/>
          <w:shd w:val="clear" w:color="auto" w:fill="FFFFFF"/>
        </w:rPr>
      </w:pPr>
      <w:r w:rsidRPr="007E4424">
        <w:rPr>
          <w:rFonts w:ascii="Times New Roman" w:eastAsia="宋体" w:hAnsi="Times New Roman" w:cs="Times New Roman" w:hint="eastAsia"/>
          <w:color w:val="0F1115"/>
          <w:sz w:val="24"/>
          <w:szCs w:val="24"/>
          <w:shd w:val="clear" w:color="auto" w:fill="FFFFFF"/>
        </w:rPr>
        <w:t>10.</w:t>
      </w:r>
      <w:r w:rsidRPr="007E4424">
        <w:rPr>
          <w:rFonts w:ascii="Times New Roman" w:eastAsia="宋体" w:hAnsi="Times New Roman" w:cs="Times New Roman" w:hint="eastAsia"/>
          <w:color w:val="0F1115"/>
          <w:sz w:val="24"/>
          <w:szCs w:val="24"/>
          <w:shd w:val="clear" w:color="auto" w:fill="FFFFFF"/>
        </w:rPr>
        <w:t>预算影响分析</w:t>
      </w:r>
      <w:r w:rsidRPr="007E4424">
        <w:rPr>
          <w:rFonts w:ascii="Times New Roman" w:eastAsia="宋体" w:hAnsi="Times New Roman" w:cs="Times New Roman" w:hint="eastAsia"/>
          <w:color w:val="0F1115"/>
          <w:sz w:val="24"/>
          <w:szCs w:val="24"/>
          <w:shd w:val="clear" w:color="auto" w:fill="FFFFFF"/>
        </w:rPr>
        <w:t xml:space="preserve">  </w:t>
      </w:r>
      <w:r w:rsidRPr="007E4424">
        <w:rPr>
          <w:rFonts w:ascii="Times New Roman" w:eastAsia="宋体" w:hAnsi="Times New Roman" w:cs="Times New Roman" w:hint="eastAsia"/>
          <w:color w:val="0F1115"/>
          <w:szCs w:val="21"/>
          <w:shd w:val="clear" w:color="auto" w:fill="FFFFFF"/>
        </w:rPr>
        <w:t>与成本</w:t>
      </w:r>
      <w:r w:rsidRPr="007E4424">
        <w:rPr>
          <w:rFonts w:ascii="Times New Roman" w:eastAsia="宋体" w:hAnsi="Times New Roman" w:cs="Times New Roman" w:hint="eastAsia"/>
          <w:color w:val="0F1115"/>
          <w:szCs w:val="21"/>
          <w:shd w:val="clear" w:color="auto" w:fill="FFFFFF"/>
        </w:rPr>
        <w:t>-</w:t>
      </w:r>
      <w:r w:rsidRPr="007E4424">
        <w:rPr>
          <w:rFonts w:ascii="Times New Roman" w:eastAsia="宋体" w:hAnsi="Times New Roman" w:cs="Times New Roman" w:hint="eastAsia"/>
          <w:color w:val="0F1115"/>
          <w:szCs w:val="21"/>
          <w:shd w:val="clear" w:color="auto" w:fill="FFFFFF"/>
        </w:rPr>
        <w:t>效果关注效益不同，预算影响分析侧重于评估新干预措施进入支付系统后的财务可负担性。其研究角度为预算持有者，预测时限通常为</w:t>
      </w:r>
      <w:r w:rsidRPr="007E4424">
        <w:rPr>
          <w:rFonts w:ascii="Times New Roman" w:eastAsia="宋体" w:hAnsi="Times New Roman" w:cs="Times New Roman" w:hint="eastAsia"/>
          <w:color w:val="0F1115"/>
          <w:szCs w:val="21"/>
          <w:shd w:val="clear" w:color="auto" w:fill="FFFFFF"/>
        </w:rPr>
        <w:t>3-5</w:t>
      </w:r>
      <w:r w:rsidRPr="007E4424">
        <w:rPr>
          <w:rFonts w:ascii="Times New Roman" w:eastAsia="宋体" w:hAnsi="Times New Roman" w:cs="Times New Roman" w:hint="eastAsia"/>
          <w:color w:val="0F1115"/>
          <w:szCs w:val="21"/>
          <w:shd w:val="clear" w:color="auto" w:fill="FFFFFF"/>
        </w:rPr>
        <w:t>年，一般不进行折现。通过对比“未准入”与“准入”两种市场情境，计算目标人群在不同方案下的市场份额及相关成本变化，为医保准入决策提供支持。</w:t>
      </w:r>
    </w:p>
    <w:p w14:paraId="42271223" w14:textId="77777777" w:rsidR="007E4424" w:rsidRPr="007E4424" w:rsidRDefault="007E4424" w:rsidP="007E4424">
      <w:pPr>
        <w:widowControl/>
        <w:spacing w:line="360" w:lineRule="auto"/>
        <w:ind w:firstLineChars="200" w:firstLine="480"/>
        <w:rPr>
          <w:rFonts w:ascii="Times New Roman" w:eastAsia="宋体" w:hAnsi="Times New Roman" w:cs="Times New Roman"/>
          <w:color w:val="0F1115"/>
          <w:sz w:val="24"/>
          <w:szCs w:val="24"/>
          <w:shd w:val="clear" w:color="auto" w:fill="FFFFFF"/>
        </w:rPr>
      </w:pPr>
      <w:r w:rsidRPr="007E4424">
        <w:rPr>
          <w:rFonts w:ascii="Times New Roman" w:eastAsia="宋体" w:hAnsi="Times New Roman" w:cs="Times New Roman" w:hint="eastAsia"/>
          <w:color w:val="0F1115"/>
          <w:sz w:val="24"/>
          <w:szCs w:val="24"/>
          <w:shd w:val="clear" w:color="auto" w:fill="FFFFFF"/>
        </w:rPr>
        <w:t>11.</w:t>
      </w:r>
      <w:r w:rsidRPr="007E4424">
        <w:rPr>
          <w:rFonts w:ascii="Times New Roman" w:eastAsia="宋体" w:hAnsi="Times New Roman" w:cs="Times New Roman" w:hint="eastAsia"/>
          <w:color w:val="0F1115"/>
          <w:sz w:val="24"/>
          <w:szCs w:val="24"/>
          <w:shd w:val="clear" w:color="auto" w:fill="FFFFFF"/>
        </w:rPr>
        <w:t>报告标准</w:t>
      </w:r>
      <w:r w:rsidRPr="007E4424">
        <w:rPr>
          <w:rFonts w:ascii="Times New Roman" w:eastAsia="宋体" w:hAnsi="Times New Roman" w:cs="Times New Roman" w:hint="eastAsia"/>
          <w:color w:val="0F1115"/>
          <w:sz w:val="24"/>
          <w:szCs w:val="24"/>
          <w:shd w:val="clear" w:color="auto" w:fill="FFFFFF"/>
        </w:rPr>
        <w:t xml:space="preserve">  </w:t>
      </w:r>
      <w:r w:rsidRPr="007E4424">
        <w:rPr>
          <w:rFonts w:ascii="Times New Roman" w:eastAsia="宋体" w:hAnsi="Times New Roman" w:cs="Times New Roman" w:hint="eastAsia"/>
          <w:color w:val="0F1115"/>
          <w:szCs w:val="21"/>
          <w:shd w:val="clear" w:color="auto" w:fill="FFFFFF"/>
        </w:rPr>
        <w:t>为确保药物经济学评价的完整性和透明度，指南制定了规范的报告格式与质量核查列表。标准报告格式包含</w:t>
      </w:r>
      <w:r w:rsidRPr="007E4424">
        <w:rPr>
          <w:rFonts w:ascii="Times New Roman" w:eastAsia="宋体" w:hAnsi="Times New Roman" w:cs="Times New Roman" w:hint="eastAsia"/>
          <w:color w:val="0F1115"/>
          <w:szCs w:val="21"/>
          <w:shd w:val="clear" w:color="auto" w:fill="FFFFFF"/>
        </w:rPr>
        <w:t>9</w:t>
      </w:r>
      <w:r w:rsidRPr="007E4424">
        <w:rPr>
          <w:rFonts w:ascii="Times New Roman" w:eastAsia="宋体" w:hAnsi="Times New Roman" w:cs="Times New Roman" w:hint="eastAsia"/>
          <w:color w:val="0F1115"/>
          <w:szCs w:val="21"/>
          <w:shd w:val="clear" w:color="auto" w:fill="FFFFFF"/>
        </w:rPr>
        <w:t>个部分、</w:t>
      </w:r>
      <w:r w:rsidRPr="007E4424">
        <w:rPr>
          <w:rFonts w:ascii="Times New Roman" w:eastAsia="宋体" w:hAnsi="Times New Roman" w:cs="Times New Roman" w:hint="eastAsia"/>
          <w:color w:val="0F1115"/>
          <w:szCs w:val="21"/>
          <w:shd w:val="clear" w:color="auto" w:fill="FFFFFF"/>
        </w:rPr>
        <w:t>27</w:t>
      </w:r>
      <w:r w:rsidRPr="007E4424">
        <w:rPr>
          <w:rFonts w:ascii="Times New Roman" w:eastAsia="宋体" w:hAnsi="Times New Roman" w:cs="Times New Roman" w:hint="eastAsia"/>
          <w:color w:val="0F1115"/>
          <w:szCs w:val="21"/>
          <w:shd w:val="clear" w:color="auto" w:fill="FFFFFF"/>
        </w:rPr>
        <w:t>条具体推荐意见。质量核查列表则设有</w:t>
      </w:r>
      <w:r w:rsidRPr="007E4424">
        <w:rPr>
          <w:rFonts w:ascii="Times New Roman" w:eastAsia="宋体" w:hAnsi="Times New Roman" w:cs="Times New Roman" w:hint="eastAsia"/>
          <w:color w:val="0F1115"/>
          <w:szCs w:val="21"/>
          <w:shd w:val="clear" w:color="auto" w:fill="FFFFFF"/>
        </w:rPr>
        <w:t>54</w:t>
      </w:r>
      <w:r w:rsidRPr="007E4424">
        <w:rPr>
          <w:rFonts w:ascii="Times New Roman" w:eastAsia="宋体" w:hAnsi="Times New Roman" w:cs="Times New Roman" w:hint="eastAsia"/>
          <w:color w:val="0F1115"/>
          <w:szCs w:val="21"/>
          <w:shd w:val="clear" w:color="auto" w:fill="FFFFFF"/>
        </w:rPr>
        <w:t>条具体检查项，涵盖从首页、方法、结果到结论的所有环节，帮助撰写者自检并方便审阅者快速把握研究质量。</w:t>
      </w:r>
    </w:p>
    <w:p w14:paraId="072AD02D" w14:textId="514FCA84" w:rsidR="00DF3040" w:rsidRDefault="007E4424">
      <w:pPr>
        <w:widowControl/>
        <w:spacing w:line="360" w:lineRule="auto"/>
        <w:jc w:val="center"/>
        <w:outlineLvl w:val="0"/>
        <w:rPr>
          <w:rFonts w:ascii="黑体" w:eastAsia="黑体" w:hAnsi="黑体" w:cs="黑体" w:hint="eastAsia"/>
          <w:kern w:val="0"/>
          <w:sz w:val="32"/>
          <w:szCs w:val="32"/>
        </w:rPr>
      </w:pPr>
      <w:r>
        <w:rPr>
          <w:rFonts w:ascii="黑体" w:eastAsia="黑体" w:hAnsi="黑体" w:cs="黑体" w:hint="eastAsia"/>
          <w:kern w:val="0"/>
          <w:sz w:val="32"/>
          <w:szCs w:val="32"/>
          <w14:ligatures w14:val="none"/>
        </w:rPr>
        <w:t>第三节 典型国家药物经济学评价指南的</w:t>
      </w:r>
      <w:bookmarkEnd w:id="2"/>
      <w:r w:rsidR="003629D0">
        <w:rPr>
          <w:rFonts w:ascii="黑体" w:eastAsia="黑体" w:hAnsi="黑体" w:cs="黑体" w:hint="eastAsia"/>
          <w:kern w:val="0"/>
          <w:sz w:val="32"/>
          <w:szCs w:val="32"/>
          <w14:ligatures w14:val="none"/>
        </w:rPr>
        <w:t>发展与特点</w:t>
      </w:r>
    </w:p>
    <w:p w14:paraId="072AD02E" w14:textId="77777777" w:rsidR="00DF3040" w:rsidRDefault="007E4424">
      <w:pPr>
        <w:pStyle w:val="ab"/>
        <w:widowControl/>
        <w:shd w:val="clear" w:color="auto" w:fill="FFFFFF"/>
        <w:spacing w:line="360" w:lineRule="auto"/>
        <w:ind w:firstLineChars="200" w:firstLine="602"/>
        <w:outlineLvl w:val="0"/>
        <w:rPr>
          <w:rFonts w:ascii="Times New Roman" w:eastAsia="黑体" w:hAnsi="Times New Roman" w:cs="Times New Roman"/>
          <w:b/>
          <w:bCs/>
          <w:color w:val="0F1115"/>
          <w:sz w:val="30"/>
          <w:szCs w:val="30"/>
          <w:shd w:val="clear" w:color="auto" w:fill="FFFFFF"/>
        </w:rPr>
      </w:pPr>
      <w:bookmarkStart w:id="12" w:name="_Toc10398"/>
      <w:r>
        <w:rPr>
          <w:rFonts w:ascii="Times New Roman" w:eastAsia="黑体" w:hAnsi="Times New Roman" w:cs="Times New Roman" w:hint="eastAsia"/>
          <w:b/>
          <w:bCs/>
          <w:color w:val="0F1115"/>
          <w:sz w:val="30"/>
          <w:szCs w:val="30"/>
          <w:shd w:val="clear" w:color="auto" w:fill="FFFFFF"/>
        </w:rPr>
        <w:t>一、英国药物经济学评价指南</w:t>
      </w:r>
      <w:bookmarkEnd w:id="12"/>
    </w:p>
    <w:p w14:paraId="072AD02F" w14:textId="77777777" w:rsidR="00DF3040" w:rsidRDefault="007E4424">
      <w:pPr>
        <w:pStyle w:val="ab"/>
        <w:widowControl/>
        <w:shd w:val="clear" w:color="auto" w:fill="FFFFFF"/>
        <w:spacing w:line="360" w:lineRule="auto"/>
        <w:ind w:firstLineChars="200" w:firstLine="560"/>
        <w:outlineLvl w:val="1"/>
        <w:rPr>
          <w:rFonts w:ascii="Times New Roman" w:eastAsia="宋体" w:hAnsi="Times New Roman" w:cs="Times New Roman"/>
          <w:color w:val="0F1115"/>
          <w:sz w:val="28"/>
          <w:szCs w:val="28"/>
          <w:shd w:val="clear" w:color="auto" w:fill="FFFFFF"/>
        </w:rPr>
      </w:pPr>
      <w:bookmarkStart w:id="13" w:name="_Toc14611"/>
      <w:r>
        <w:rPr>
          <w:rFonts w:ascii="Times New Roman" w:eastAsia="宋体" w:hAnsi="Times New Roman" w:cs="Times New Roman" w:hint="eastAsia"/>
          <w:color w:val="0F1115"/>
          <w:sz w:val="28"/>
          <w:szCs w:val="28"/>
          <w:shd w:val="clear" w:color="auto" w:fill="FFFFFF"/>
        </w:rPr>
        <w:t>（一）</w:t>
      </w:r>
      <w:bookmarkStart w:id="14" w:name="OLE_LINK3"/>
      <w:r>
        <w:rPr>
          <w:rFonts w:ascii="Times New Roman" w:eastAsia="宋体" w:hAnsi="Times New Roman" w:cs="Times New Roman" w:hint="eastAsia"/>
          <w:color w:val="0F1115"/>
          <w:sz w:val="28"/>
          <w:szCs w:val="28"/>
          <w:shd w:val="clear" w:color="auto" w:fill="FFFFFF"/>
        </w:rPr>
        <w:t>英国药物经济学评价指南的发展</w:t>
      </w:r>
      <w:bookmarkEnd w:id="13"/>
    </w:p>
    <w:p w14:paraId="072AD030" w14:textId="222D8FA3" w:rsidR="00DF3040" w:rsidRPr="00034BCC" w:rsidRDefault="007E4424" w:rsidP="00A24278">
      <w:pPr>
        <w:spacing w:line="360" w:lineRule="auto"/>
        <w:ind w:firstLineChars="200" w:firstLine="420"/>
        <w:rPr>
          <w:rFonts w:ascii="Times New Roman" w:eastAsia="宋体" w:hAnsi="Times New Roman" w:cs="Times New Roman"/>
          <w:color w:val="0F1115"/>
          <w:szCs w:val="21"/>
          <w:shd w:val="clear" w:color="auto" w:fill="FFFFFF"/>
        </w:rPr>
      </w:pPr>
      <w:r w:rsidRPr="00034BCC">
        <w:rPr>
          <w:rFonts w:ascii="Times New Roman" w:eastAsia="宋体" w:hAnsi="Times New Roman" w:cs="Times New Roman" w:hint="eastAsia"/>
          <w:color w:val="0F1115"/>
          <w:szCs w:val="21"/>
          <w:shd w:val="clear" w:color="auto" w:fill="FFFFFF"/>
        </w:rPr>
        <w:t>英国药物经济学评价指南的发展与英国国家卫生与临床优化研究所（</w:t>
      </w:r>
      <w:r w:rsidRPr="00034BCC">
        <w:rPr>
          <w:rFonts w:ascii="Times New Roman" w:eastAsia="宋体" w:hAnsi="Times New Roman" w:cs="Times New Roman" w:hint="eastAsia"/>
          <w:color w:val="0F1115"/>
          <w:szCs w:val="21"/>
          <w:shd w:val="clear" w:color="auto" w:fill="FFFFFF"/>
        </w:rPr>
        <w:t>National Institute for Health and Care Excellence, NICE</w:t>
      </w:r>
      <w:r w:rsidRPr="00034BCC">
        <w:rPr>
          <w:rFonts w:ascii="Times New Roman" w:eastAsia="宋体" w:hAnsi="Times New Roman" w:cs="Times New Roman" w:hint="eastAsia"/>
          <w:color w:val="0F1115"/>
          <w:szCs w:val="21"/>
          <w:shd w:val="clear" w:color="auto" w:fill="FFFFFF"/>
        </w:rPr>
        <w:t>）的成立和演进密不可分。</w:t>
      </w:r>
      <w:r w:rsidRPr="00034BCC">
        <w:rPr>
          <w:rFonts w:ascii="Times New Roman" w:eastAsia="宋体" w:hAnsi="Times New Roman" w:cs="Times New Roman" w:hint="eastAsia"/>
          <w:color w:val="0F1115"/>
          <w:szCs w:val="21"/>
          <w:shd w:val="clear" w:color="auto" w:fill="FFFFFF"/>
        </w:rPr>
        <w:t>NICE</w:t>
      </w:r>
      <w:r w:rsidRPr="00034BCC">
        <w:rPr>
          <w:rFonts w:ascii="Times New Roman" w:eastAsia="宋体" w:hAnsi="Times New Roman" w:cs="Times New Roman" w:hint="eastAsia"/>
          <w:color w:val="0F1115"/>
          <w:szCs w:val="21"/>
          <w:shd w:val="clear" w:color="auto" w:fill="FFFFFF"/>
        </w:rPr>
        <w:t>于</w:t>
      </w:r>
      <w:r w:rsidRPr="00034BCC">
        <w:rPr>
          <w:rFonts w:ascii="Times New Roman" w:eastAsia="宋体" w:hAnsi="Times New Roman" w:cs="Times New Roman" w:hint="eastAsia"/>
          <w:color w:val="0F1115"/>
          <w:szCs w:val="21"/>
          <w:shd w:val="clear" w:color="auto" w:fill="FFFFFF"/>
        </w:rPr>
        <w:t>1999</w:t>
      </w:r>
      <w:r w:rsidRPr="00034BCC">
        <w:rPr>
          <w:rFonts w:ascii="Times New Roman" w:eastAsia="宋体" w:hAnsi="Times New Roman" w:cs="Times New Roman" w:hint="eastAsia"/>
          <w:color w:val="0F1115"/>
          <w:szCs w:val="21"/>
          <w:shd w:val="clear" w:color="auto" w:fill="FFFFFF"/>
        </w:rPr>
        <w:t>年成立，核心使命是解决国民医疗服务体系（</w:t>
      </w:r>
      <w:r w:rsidRPr="00034BCC">
        <w:rPr>
          <w:rFonts w:ascii="Times New Roman" w:eastAsia="宋体" w:hAnsi="Times New Roman" w:cs="Times New Roman" w:hint="eastAsia"/>
          <w:color w:val="0F1115"/>
          <w:szCs w:val="21"/>
          <w:shd w:val="clear" w:color="auto" w:fill="FFFFFF"/>
        </w:rPr>
        <w:t>National Health Service, NHS</w:t>
      </w:r>
      <w:r w:rsidRPr="00034BCC">
        <w:rPr>
          <w:rFonts w:ascii="Times New Roman" w:eastAsia="宋体" w:hAnsi="Times New Roman" w:cs="Times New Roman" w:hint="eastAsia"/>
          <w:color w:val="0F1115"/>
          <w:szCs w:val="21"/>
          <w:shd w:val="clear" w:color="auto" w:fill="FFFFFF"/>
        </w:rPr>
        <w:t>）内部存在的“邮编抽奖”现象，即患者获得新药的机会取决于其居住地而非临床需求，从而推动基于证据的卫生决策制度化。在</w:t>
      </w:r>
      <w:r w:rsidRPr="00034BCC">
        <w:rPr>
          <w:rFonts w:ascii="Times New Roman" w:eastAsia="宋体" w:hAnsi="Times New Roman" w:cs="Times New Roman" w:hint="eastAsia"/>
          <w:color w:val="0F1115"/>
          <w:szCs w:val="21"/>
          <w:shd w:val="clear" w:color="auto" w:fill="FFFFFF"/>
        </w:rPr>
        <w:t>2004</w:t>
      </w:r>
      <w:r w:rsidRPr="00034BCC">
        <w:rPr>
          <w:rFonts w:ascii="Times New Roman" w:eastAsia="宋体" w:hAnsi="Times New Roman" w:cs="Times New Roman" w:hint="eastAsia"/>
          <w:color w:val="0F1115"/>
          <w:szCs w:val="21"/>
          <w:shd w:val="clear" w:color="auto" w:fill="FFFFFF"/>
        </w:rPr>
        <w:t>年之前，</w:t>
      </w:r>
      <w:r w:rsidRPr="00034BCC">
        <w:rPr>
          <w:rFonts w:ascii="Times New Roman" w:eastAsia="宋体" w:hAnsi="Times New Roman" w:cs="Times New Roman" w:hint="eastAsia"/>
          <w:color w:val="0F1115"/>
          <w:szCs w:val="21"/>
          <w:shd w:val="clear" w:color="auto" w:fill="FFFFFF"/>
        </w:rPr>
        <w:t>NICE</w:t>
      </w:r>
      <w:r w:rsidRPr="00034BCC">
        <w:rPr>
          <w:rFonts w:ascii="Times New Roman" w:eastAsia="宋体" w:hAnsi="Times New Roman" w:cs="Times New Roman" w:hint="eastAsia"/>
          <w:color w:val="0F1115"/>
          <w:szCs w:val="21"/>
          <w:shd w:val="clear" w:color="auto" w:fill="FFFFFF"/>
        </w:rPr>
        <w:t>主要依据临时性指导原则运作，存在方法学上的不一致性。</w:t>
      </w:r>
    </w:p>
    <w:p w14:paraId="24A24B13" w14:textId="77777777" w:rsidR="008C6551" w:rsidRDefault="007E4424" w:rsidP="00A24278">
      <w:pPr>
        <w:pStyle w:val="a9"/>
        <w:jc w:val="both"/>
        <w:rPr>
          <w:shd w:val="clear" w:color="auto" w:fill="FFFFFF"/>
        </w:rPr>
      </w:pPr>
      <w:r>
        <w:rPr>
          <w:rFonts w:hint="eastAsia"/>
          <w:shd w:val="clear" w:color="auto" w:fill="FFFFFF"/>
        </w:rPr>
        <w:t>2004</w:t>
      </w:r>
      <w:r>
        <w:rPr>
          <w:rFonts w:hint="eastAsia"/>
          <w:shd w:val="clear" w:color="auto" w:fill="FFFFFF"/>
        </w:rPr>
        <w:t>年，</w:t>
      </w:r>
      <w:r>
        <w:rPr>
          <w:rFonts w:hint="eastAsia"/>
          <w:shd w:val="clear" w:color="auto" w:fill="FFFFFF"/>
        </w:rPr>
        <w:t>NICE</w:t>
      </w:r>
      <w:r>
        <w:rPr>
          <w:rFonts w:hint="eastAsia"/>
          <w:shd w:val="clear" w:color="auto" w:fill="FFFFFF"/>
        </w:rPr>
        <w:t>发布了第一部系统性的《技术评估方法指南》（</w:t>
      </w:r>
      <w:r>
        <w:rPr>
          <w:rFonts w:hint="eastAsia"/>
          <w:shd w:val="clear" w:color="auto" w:fill="FFFFFF"/>
        </w:rPr>
        <w:t>Guide to the Methods of Technology Appraisal</w:t>
      </w:r>
      <w:r>
        <w:rPr>
          <w:rFonts w:hint="eastAsia"/>
          <w:shd w:val="clear" w:color="auto" w:fill="FFFFFF"/>
        </w:rPr>
        <w:t>），正式确立了“参考案例”（</w:t>
      </w:r>
      <w:r>
        <w:rPr>
          <w:rFonts w:hint="eastAsia"/>
          <w:shd w:val="clear" w:color="auto" w:fill="FFFFFF"/>
        </w:rPr>
        <w:t>Reference Case</w:t>
      </w:r>
      <w:r>
        <w:rPr>
          <w:rFonts w:hint="eastAsia"/>
          <w:shd w:val="clear" w:color="auto" w:fill="FFFFFF"/>
        </w:rPr>
        <w:t>）作为标准化方法学参数的核心地位，并做出了关键调整：将贴现率（</w:t>
      </w:r>
      <w:r>
        <w:rPr>
          <w:rFonts w:hint="eastAsia"/>
          <w:shd w:val="clear" w:color="auto" w:fill="FFFFFF"/>
        </w:rPr>
        <w:t>Discount Rate</w:t>
      </w:r>
      <w:r>
        <w:rPr>
          <w:rFonts w:hint="eastAsia"/>
          <w:shd w:val="clear" w:color="auto" w:fill="FFFFFF"/>
        </w:rPr>
        <w:t>）从早期的成本</w:t>
      </w:r>
      <w:r>
        <w:rPr>
          <w:rFonts w:hint="eastAsia"/>
          <w:shd w:val="clear" w:color="auto" w:fill="FFFFFF"/>
        </w:rPr>
        <w:t>6%</w:t>
      </w:r>
      <w:r>
        <w:rPr>
          <w:rFonts w:hint="eastAsia"/>
          <w:shd w:val="clear" w:color="auto" w:fill="FFFFFF"/>
        </w:rPr>
        <w:t>、健康产出</w:t>
      </w:r>
      <w:r>
        <w:rPr>
          <w:rFonts w:hint="eastAsia"/>
          <w:shd w:val="clear" w:color="auto" w:fill="FFFFFF"/>
        </w:rPr>
        <w:t>1.5%</w:t>
      </w:r>
      <w:r>
        <w:rPr>
          <w:rFonts w:hint="eastAsia"/>
          <w:shd w:val="clear" w:color="auto" w:fill="FFFFFF"/>
        </w:rPr>
        <w:t>的差异化贴现，统一调整为成本和健康产出均采用</w:t>
      </w:r>
      <w:r>
        <w:rPr>
          <w:rFonts w:hint="eastAsia"/>
          <w:shd w:val="clear" w:color="auto" w:fill="FFFFFF"/>
        </w:rPr>
        <w:t>3.5%</w:t>
      </w:r>
      <w:r>
        <w:rPr>
          <w:rFonts w:hint="eastAsia"/>
          <w:shd w:val="clear" w:color="auto" w:fill="FFFFFF"/>
        </w:rPr>
        <w:t>的贴现率。同时，该指南显性化了决策阈值范围，明确成本效果低于</w:t>
      </w:r>
      <w:r>
        <w:rPr>
          <w:rFonts w:hint="eastAsia"/>
          <w:shd w:val="clear" w:color="auto" w:fill="FFFFFF"/>
        </w:rPr>
        <w:t>2</w:t>
      </w:r>
      <w:r>
        <w:rPr>
          <w:rFonts w:hint="eastAsia"/>
          <w:shd w:val="clear" w:color="auto" w:fill="FFFFFF"/>
        </w:rPr>
        <w:t>万英镑</w:t>
      </w:r>
      <w:r>
        <w:rPr>
          <w:rFonts w:hint="eastAsia"/>
          <w:shd w:val="clear" w:color="auto" w:fill="FFFFFF"/>
        </w:rPr>
        <w:t>/ QALY</w:t>
      </w:r>
      <w:r>
        <w:rPr>
          <w:rFonts w:hint="eastAsia"/>
          <w:shd w:val="clear" w:color="auto" w:fill="FFFFFF"/>
        </w:rPr>
        <w:t>通常被视为具有经济性，</w:t>
      </w:r>
      <w:r>
        <w:rPr>
          <w:rFonts w:hint="eastAsia"/>
          <w:shd w:val="clear" w:color="auto" w:fill="FFFFFF"/>
        </w:rPr>
        <w:t>2</w:t>
      </w:r>
      <w:r>
        <w:rPr>
          <w:rFonts w:hint="eastAsia"/>
          <w:shd w:val="clear" w:color="auto" w:fill="FFFFFF"/>
        </w:rPr>
        <w:t>万至</w:t>
      </w:r>
      <w:r>
        <w:rPr>
          <w:rFonts w:hint="eastAsia"/>
          <w:shd w:val="clear" w:color="auto" w:fill="FFFFFF"/>
        </w:rPr>
        <w:t>3</w:t>
      </w:r>
      <w:r>
        <w:rPr>
          <w:rFonts w:hint="eastAsia"/>
          <w:shd w:val="clear" w:color="auto" w:fill="FFFFFF"/>
        </w:rPr>
        <w:t>万英镑</w:t>
      </w:r>
      <w:r>
        <w:rPr>
          <w:rFonts w:hint="eastAsia"/>
          <w:shd w:val="clear" w:color="auto" w:fill="FFFFFF"/>
        </w:rPr>
        <w:t>/QALY</w:t>
      </w:r>
      <w:r>
        <w:rPr>
          <w:rFonts w:hint="eastAsia"/>
          <w:shd w:val="clear" w:color="auto" w:fill="FFFFFF"/>
        </w:rPr>
        <w:t>需额外论证，高于</w:t>
      </w:r>
      <w:r>
        <w:rPr>
          <w:rFonts w:hint="eastAsia"/>
          <w:shd w:val="clear" w:color="auto" w:fill="FFFFFF"/>
        </w:rPr>
        <w:t>3</w:t>
      </w:r>
      <w:r>
        <w:rPr>
          <w:rFonts w:hint="eastAsia"/>
          <w:shd w:val="clear" w:color="auto" w:fill="FFFFFF"/>
        </w:rPr>
        <w:t>万英镑</w:t>
      </w:r>
      <w:r>
        <w:rPr>
          <w:rFonts w:hint="eastAsia"/>
          <w:shd w:val="clear" w:color="auto" w:fill="FFFFFF"/>
        </w:rPr>
        <w:t>/QALY</w:t>
      </w:r>
      <w:r>
        <w:rPr>
          <w:rFonts w:hint="eastAsia"/>
          <w:shd w:val="clear" w:color="auto" w:fill="FFFFFF"/>
        </w:rPr>
        <w:t>则需极强理由，为行业提供了清晰目标，但也引发了关于阈值是否真实反映</w:t>
      </w:r>
      <w:r>
        <w:rPr>
          <w:rFonts w:hint="eastAsia"/>
          <w:shd w:val="clear" w:color="auto" w:fill="FFFFFF"/>
        </w:rPr>
        <w:t>NHS</w:t>
      </w:r>
      <w:r>
        <w:rPr>
          <w:rFonts w:hint="eastAsia"/>
          <w:shd w:val="clear" w:color="auto" w:fill="FFFFFF"/>
        </w:rPr>
        <w:t>机会成本的长期争论。</w:t>
      </w:r>
    </w:p>
    <w:p w14:paraId="072AD032" w14:textId="45857079" w:rsidR="00DF3040" w:rsidRDefault="007E4424" w:rsidP="00A24278">
      <w:pPr>
        <w:pStyle w:val="a9"/>
        <w:ind w:firstLineChars="200" w:firstLine="420"/>
        <w:jc w:val="both"/>
        <w:rPr>
          <w:shd w:val="clear" w:color="auto" w:fill="FFFFFF"/>
        </w:rPr>
      </w:pPr>
      <w:r>
        <w:rPr>
          <w:rFonts w:hint="eastAsia"/>
          <w:shd w:val="clear" w:color="auto" w:fill="FFFFFF"/>
        </w:rPr>
        <w:lastRenderedPageBreak/>
        <w:t>面对</w:t>
      </w:r>
      <w:r>
        <w:rPr>
          <w:rFonts w:hint="eastAsia"/>
          <w:shd w:val="clear" w:color="auto" w:fill="FFFFFF"/>
        </w:rPr>
        <w:t>2004</w:t>
      </w:r>
      <w:r>
        <w:rPr>
          <w:rFonts w:hint="eastAsia"/>
          <w:shd w:val="clear" w:color="auto" w:fill="FFFFFF"/>
        </w:rPr>
        <w:t>年后靶向治疗药物（尤其是癌症药物）带来的高昂成本压力，</w:t>
      </w:r>
      <w:r>
        <w:rPr>
          <w:rFonts w:hint="eastAsia"/>
          <w:shd w:val="clear" w:color="auto" w:fill="FFFFFF"/>
        </w:rPr>
        <w:t>NICE</w:t>
      </w:r>
      <w:r>
        <w:rPr>
          <w:rFonts w:hint="eastAsia"/>
          <w:shd w:val="clear" w:color="auto" w:fill="FFFFFF"/>
        </w:rPr>
        <w:t>在</w:t>
      </w:r>
      <w:r>
        <w:rPr>
          <w:rFonts w:hint="eastAsia"/>
          <w:shd w:val="clear" w:color="auto" w:fill="FFFFFF"/>
        </w:rPr>
        <w:t>2008</w:t>
      </w:r>
      <w:r>
        <w:rPr>
          <w:rFonts w:hint="eastAsia"/>
          <w:shd w:val="clear" w:color="auto" w:fill="FFFFFF"/>
        </w:rPr>
        <w:t>年对指南进行微调后，于</w:t>
      </w:r>
      <w:r>
        <w:rPr>
          <w:rFonts w:hint="eastAsia"/>
          <w:shd w:val="clear" w:color="auto" w:fill="FFFFFF"/>
        </w:rPr>
        <w:t>2009</w:t>
      </w:r>
      <w:r>
        <w:rPr>
          <w:rFonts w:hint="eastAsia"/>
          <w:shd w:val="clear" w:color="auto" w:fill="FFFFFF"/>
        </w:rPr>
        <w:t>年</w:t>
      </w:r>
      <w:r>
        <w:rPr>
          <w:rFonts w:hint="eastAsia"/>
          <w:shd w:val="clear" w:color="auto" w:fill="FFFFFF"/>
        </w:rPr>
        <w:t>1</w:t>
      </w:r>
      <w:r>
        <w:rPr>
          <w:rFonts w:hint="eastAsia"/>
          <w:shd w:val="clear" w:color="auto" w:fill="FFFFFF"/>
        </w:rPr>
        <w:t>月发布了《关于评估延长生命的临终治疗的补充建议》，引入了“临终关怀”（</w:t>
      </w:r>
      <w:r>
        <w:rPr>
          <w:rFonts w:hint="eastAsia"/>
          <w:shd w:val="clear" w:color="auto" w:fill="FFFFFF"/>
        </w:rPr>
        <w:t xml:space="preserve">End of Life, </w:t>
      </w:r>
      <w:proofErr w:type="spellStart"/>
      <w:r>
        <w:rPr>
          <w:rFonts w:hint="eastAsia"/>
          <w:shd w:val="clear" w:color="auto" w:fill="FFFFFF"/>
        </w:rPr>
        <w:t>EoL</w:t>
      </w:r>
      <w:proofErr w:type="spellEnd"/>
      <w:r>
        <w:rPr>
          <w:rFonts w:hint="eastAsia"/>
          <w:shd w:val="clear" w:color="auto" w:fill="FFFFFF"/>
        </w:rPr>
        <w:t>）标准。该标准规定，针对预期寿命少于</w:t>
      </w:r>
      <w:r>
        <w:rPr>
          <w:rFonts w:hint="eastAsia"/>
          <w:shd w:val="clear" w:color="auto" w:fill="FFFFFF"/>
        </w:rPr>
        <w:t>24</w:t>
      </w:r>
      <w:r>
        <w:rPr>
          <w:rFonts w:hint="eastAsia"/>
          <w:shd w:val="clear" w:color="auto" w:fill="FFFFFF"/>
        </w:rPr>
        <w:t>个月的小规模患者群体，若能延长生命至少</w:t>
      </w:r>
      <w:r>
        <w:rPr>
          <w:rFonts w:hint="eastAsia"/>
          <w:shd w:val="clear" w:color="auto" w:fill="FFFFFF"/>
        </w:rPr>
        <w:t>3</w:t>
      </w:r>
      <w:r>
        <w:rPr>
          <w:rFonts w:hint="eastAsia"/>
          <w:shd w:val="clear" w:color="auto" w:fill="FFFFFF"/>
        </w:rPr>
        <w:t>个月且缺乏有效替代疗法，可接受高于常规阈值的</w:t>
      </w:r>
      <w:r>
        <w:rPr>
          <w:rFonts w:hint="eastAsia"/>
          <w:shd w:val="clear" w:color="auto" w:fill="FFFFFF"/>
        </w:rPr>
        <w:t>ICER</w:t>
      </w:r>
      <w:r>
        <w:rPr>
          <w:rFonts w:hint="eastAsia"/>
          <w:shd w:val="clear" w:color="auto" w:fill="FFFFFF"/>
        </w:rPr>
        <w:t>。</w:t>
      </w:r>
    </w:p>
    <w:p w14:paraId="51E2DEC4" w14:textId="17CBD9FA" w:rsidR="00F44ADE" w:rsidRDefault="007E4424" w:rsidP="00A24278">
      <w:pPr>
        <w:pStyle w:val="a9"/>
        <w:jc w:val="both"/>
        <w:rPr>
          <w:shd w:val="clear" w:color="auto" w:fill="FFFFFF"/>
        </w:rPr>
      </w:pPr>
      <w:r>
        <w:rPr>
          <w:rFonts w:hint="eastAsia"/>
          <w:shd w:val="clear" w:color="auto" w:fill="FFFFFF"/>
        </w:rPr>
        <w:t>2013</w:t>
      </w:r>
      <w:r>
        <w:rPr>
          <w:rFonts w:hint="eastAsia"/>
          <w:shd w:val="clear" w:color="auto" w:fill="FFFFFF"/>
        </w:rPr>
        <w:t>年，</w:t>
      </w:r>
      <w:r>
        <w:rPr>
          <w:rFonts w:hint="eastAsia"/>
          <w:shd w:val="clear" w:color="auto" w:fill="FFFFFF"/>
        </w:rPr>
        <w:t>NICE</w:t>
      </w:r>
      <w:r>
        <w:rPr>
          <w:rFonts w:hint="eastAsia"/>
          <w:shd w:val="clear" w:color="auto" w:fill="FFFFFF"/>
        </w:rPr>
        <w:t>发布了修订版指南，首次为“治愈性疗法”引入例外条款，允许对能恢复近完全健康且获益持续</w:t>
      </w:r>
      <w:r>
        <w:rPr>
          <w:rFonts w:hint="eastAsia"/>
          <w:shd w:val="clear" w:color="auto" w:fill="FFFFFF"/>
        </w:rPr>
        <w:t>30</w:t>
      </w:r>
      <w:r>
        <w:rPr>
          <w:rFonts w:hint="eastAsia"/>
          <w:shd w:val="clear" w:color="auto" w:fill="FFFFFF"/>
        </w:rPr>
        <w:t>年以上的技术考虑使用</w:t>
      </w:r>
      <w:r>
        <w:rPr>
          <w:rFonts w:hint="eastAsia"/>
          <w:shd w:val="clear" w:color="auto" w:fill="FFFFFF"/>
        </w:rPr>
        <w:t>1.5%</w:t>
      </w:r>
      <w:r>
        <w:rPr>
          <w:rFonts w:hint="eastAsia"/>
          <w:shd w:val="clear" w:color="auto" w:fill="FFFFFF"/>
        </w:rPr>
        <w:t>的贴现率，但实际操作中因定义严苛而应用有限；同时，该版指南进一步巩固了</w:t>
      </w:r>
      <w:r>
        <w:rPr>
          <w:rFonts w:hint="eastAsia"/>
          <w:shd w:val="clear" w:color="auto" w:fill="FFFFFF"/>
        </w:rPr>
        <w:t>EQ-5D</w:t>
      </w:r>
      <w:r>
        <w:rPr>
          <w:rFonts w:hint="eastAsia"/>
          <w:shd w:val="clear" w:color="auto" w:fill="FFFFFF"/>
        </w:rPr>
        <w:t>作为健康相关生活质量（</w:t>
      </w:r>
      <w:proofErr w:type="spellStart"/>
      <w:r>
        <w:rPr>
          <w:rFonts w:hint="eastAsia"/>
          <w:shd w:val="clear" w:color="auto" w:fill="FFFFFF"/>
        </w:rPr>
        <w:t>HRQoL</w:t>
      </w:r>
      <w:proofErr w:type="spellEnd"/>
      <w:r>
        <w:rPr>
          <w:rFonts w:hint="eastAsia"/>
          <w:shd w:val="clear" w:color="auto" w:fill="FFFFFF"/>
        </w:rPr>
        <w:t>）测量的首选工具地位。</w:t>
      </w:r>
    </w:p>
    <w:p w14:paraId="072AD034" w14:textId="79882F94" w:rsidR="00DF3040" w:rsidRDefault="007E4424" w:rsidP="00A24278">
      <w:pPr>
        <w:pStyle w:val="a9"/>
        <w:ind w:firstLineChars="200" w:firstLine="420"/>
        <w:jc w:val="both"/>
        <w:rPr>
          <w:shd w:val="clear" w:color="auto" w:fill="FFFFFF"/>
        </w:rPr>
      </w:pPr>
      <w:r>
        <w:rPr>
          <w:rFonts w:hint="eastAsia"/>
          <w:shd w:val="clear" w:color="auto" w:fill="FFFFFF"/>
        </w:rPr>
        <w:t>2019</w:t>
      </w:r>
      <w:r>
        <w:rPr>
          <w:rFonts w:hint="eastAsia"/>
          <w:shd w:val="clear" w:color="auto" w:fill="FFFFFF"/>
        </w:rPr>
        <w:t>年，面对细胞基因疗法、数字医疗和真实世界数据的快速发展，</w:t>
      </w:r>
      <w:r>
        <w:rPr>
          <w:rFonts w:hint="eastAsia"/>
          <w:shd w:val="clear" w:color="auto" w:fill="FFFFFF"/>
        </w:rPr>
        <w:t>NICE</w:t>
      </w:r>
      <w:r>
        <w:rPr>
          <w:rFonts w:hint="eastAsia"/>
          <w:shd w:val="clear" w:color="auto" w:fill="FFFFFF"/>
        </w:rPr>
        <w:t>启动了大规模方法学审查，并于</w:t>
      </w:r>
      <w:r>
        <w:rPr>
          <w:rFonts w:hint="eastAsia"/>
          <w:shd w:val="clear" w:color="auto" w:fill="FFFFFF"/>
        </w:rPr>
        <w:t>2022</w:t>
      </w:r>
      <w:r>
        <w:rPr>
          <w:rFonts w:hint="eastAsia"/>
          <w:shd w:val="clear" w:color="auto" w:fill="FFFFFF"/>
        </w:rPr>
        <w:t>年</w:t>
      </w:r>
      <w:r>
        <w:rPr>
          <w:rFonts w:hint="eastAsia"/>
          <w:shd w:val="clear" w:color="auto" w:fill="FFFFFF"/>
        </w:rPr>
        <w:t>1</w:t>
      </w:r>
      <w:r>
        <w:rPr>
          <w:rFonts w:hint="eastAsia"/>
          <w:shd w:val="clear" w:color="auto" w:fill="FFFFFF"/>
        </w:rPr>
        <w:t>月</w:t>
      </w:r>
      <w:r>
        <w:rPr>
          <w:rFonts w:hint="eastAsia"/>
          <w:shd w:val="clear" w:color="auto" w:fill="FFFFFF"/>
        </w:rPr>
        <w:t>31</w:t>
      </w:r>
      <w:r>
        <w:rPr>
          <w:rFonts w:hint="eastAsia"/>
          <w:shd w:val="clear" w:color="auto" w:fill="FFFFFF"/>
        </w:rPr>
        <w:t>日发布了全新的《健康技术评估手册》（</w:t>
      </w:r>
      <w:r>
        <w:rPr>
          <w:rFonts w:hint="eastAsia"/>
          <w:shd w:val="clear" w:color="auto" w:fill="FFFFFF"/>
        </w:rPr>
        <w:t>Health Technology Evaluation Manual, PMG36</w:t>
      </w:r>
      <w:r>
        <w:rPr>
          <w:rFonts w:hint="eastAsia"/>
          <w:shd w:val="clear" w:color="auto" w:fill="FFFFFF"/>
        </w:rPr>
        <w:t>），实现了结构性重组。该手册最具里程碑意义的变革是以“疾病严重程度修正”（</w:t>
      </w:r>
      <w:r>
        <w:rPr>
          <w:rFonts w:hint="eastAsia"/>
          <w:shd w:val="clear" w:color="auto" w:fill="FFFFFF"/>
        </w:rPr>
        <w:t>Severity Modifier</w:t>
      </w:r>
      <w:r>
        <w:rPr>
          <w:rFonts w:hint="eastAsia"/>
          <w:shd w:val="clear" w:color="auto" w:fill="FFFFFF"/>
        </w:rPr>
        <w:t>）取代了“临终关怀”标准，通过量化患者的“健康短缺”（</w:t>
      </w:r>
      <w:r>
        <w:rPr>
          <w:rFonts w:hint="eastAsia"/>
          <w:shd w:val="clear" w:color="auto" w:fill="FFFFFF"/>
        </w:rPr>
        <w:t>Shortfall</w:t>
      </w:r>
      <w:r>
        <w:rPr>
          <w:rFonts w:hint="eastAsia"/>
          <w:shd w:val="clear" w:color="auto" w:fill="FFFFFF"/>
        </w:rPr>
        <w:t>），引入绝对短缺（</w:t>
      </w:r>
      <w:r>
        <w:rPr>
          <w:rFonts w:hint="eastAsia"/>
          <w:shd w:val="clear" w:color="auto" w:fill="FFFFFF"/>
        </w:rPr>
        <w:t>Absolute Shortfall, AS</w:t>
      </w:r>
      <w:r>
        <w:rPr>
          <w:rFonts w:hint="eastAsia"/>
          <w:shd w:val="clear" w:color="auto" w:fill="FFFFFF"/>
        </w:rPr>
        <w:t>，即损失的未来</w:t>
      </w:r>
      <w:r>
        <w:rPr>
          <w:rFonts w:hint="eastAsia"/>
          <w:shd w:val="clear" w:color="auto" w:fill="FFFFFF"/>
        </w:rPr>
        <w:t>QALY</w:t>
      </w:r>
      <w:r>
        <w:rPr>
          <w:rFonts w:hint="eastAsia"/>
          <w:shd w:val="clear" w:color="auto" w:fill="FFFFFF"/>
        </w:rPr>
        <w:t>总数）和相对短缺（</w:t>
      </w:r>
      <w:r>
        <w:rPr>
          <w:rFonts w:hint="eastAsia"/>
          <w:shd w:val="clear" w:color="auto" w:fill="FFFFFF"/>
        </w:rPr>
        <w:t>Proportional Shortfall, PS</w:t>
      </w:r>
      <w:r>
        <w:rPr>
          <w:rFonts w:hint="eastAsia"/>
          <w:shd w:val="clear" w:color="auto" w:fill="FFFFFF"/>
        </w:rPr>
        <w:t>，即损失</w:t>
      </w:r>
      <w:r>
        <w:rPr>
          <w:rFonts w:hint="eastAsia"/>
          <w:shd w:val="clear" w:color="auto" w:fill="FFFFFF"/>
        </w:rPr>
        <w:t>QALY</w:t>
      </w:r>
      <w:r>
        <w:rPr>
          <w:rFonts w:hint="eastAsia"/>
          <w:shd w:val="clear" w:color="auto" w:fill="FFFFFF"/>
        </w:rPr>
        <w:t>占剩余期望</w:t>
      </w:r>
      <w:r>
        <w:rPr>
          <w:rFonts w:hint="eastAsia"/>
          <w:shd w:val="clear" w:color="auto" w:fill="FFFFFF"/>
        </w:rPr>
        <w:t>QALY</w:t>
      </w:r>
      <w:r>
        <w:rPr>
          <w:rFonts w:hint="eastAsia"/>
          <w:shd w:val="clear" w:color="auto" w:fill="FFFFFF"/>
        </w:rPr>
        <w:t>的比例）双重维度，设定了</w:t>
      </w:r>
      <w:r>
        <w:rPr>
          <w:rFonts w:hint="eastAsia"/>
          <w:shd w:val="clear" w:color="auto" w:fill="FFFFFF"/>
        </w:rPr>
        <w:t>QALY</w:t>
      </w:r>
      <w:r>
        <w:rPr>
          <w:rFonts w:hint="eastAsia"/>
          <w:shd w:val="clear" w:color="auto" w:fill="FFFFFF"/>
        </w:rPr>
        <w:t>权重系数阶梯（</w:t>
      </w:r>
      <w:r>
        <w:rPr>
          <w:rFonts w:hint="eastAsia"/>
          <w:shd w:val="clear" w:color="auto" w:fill="FFFFFF"/>
        </w:rPr>
        <w:t>1.0x</w:t>
      </w:r>
      <w:r>
        <w:rPr>
          <w:rFonts w:hint="eastAsia"/>
          <w:shd w:val="clear" w:color="auto" w:fill="FFFFFF"/>
        </w:rPr>
        <w:t>、</w:t>
      </w:r>
      <w:r>
        <w:rPr>
          <w:rFonts w:hint="eastAsia"/>
          <w:shd w:val="clear" w:color="auto" w:fill="FFFFFF"/>
        </w:rPr>
        <w:t>1.2x</w:t>
      </w:r>
      <w:r>
        <w:rPr>
          <w:rFonts w:hint="eastAsia"/>
          <w:shd w:val="clear" w:color="auto" w:fill="FFFFFF"/>
        </w:rPr>
        <w:t>、</w:t>
      </w:r>
      <w:r>
        <w:rPr>
          <w:rFonts w:hint="eastAsia"/>
          <w:shd w:val="clear" w:color="auto" w:fill="FFFFFF"/>
        </w:rPr>
        <w:t>1.7x</w:t>
      </w:r>
      <w:r>
        <w:rPr>
          <w:rFonts w:hint="eastAsia"/>
          <w:shd w:val="clear" w:color="auto" w:fill="FFFFFF"/>
        </w:rPr>
        <w:t>），旨在更公平地评估不同疾病负担。同时，手册整合了</w:t>
      </w:r>
      <w:r>
        <w:rPr>
          <w:rFonts w:hint="eastAsia"/>
          <w:shd w:val="clear" w:color="auto" w:fill="FFFFFF"/>
        </w:rPr>
        <w:t>RWE</w:t>
      </w:r>
      <w:r>
        <w:rPr>
          <w:rFonts w:hint="eastAsia"/>
          <w:shd w:val="clear" w:color="auto" w:fill="FFFFFF"/>
        </w:rPr>
        <w:t>框架，鼓励其在填补随机对照试验证据空白中的应用，并提升了对不确定性的容忍度。</w:t>
      </w:r>
    </w:p>
    <w:p w14:paraId="072AD035" w14:textId="77777777" w:rsidR="00DF3040" w:rsidRDefault="007E4424" w:rsidP="00A24278">
      <w:pPr>
        <w:pStyle w:val="a9"/>
        <w:jc w:val="both"/>
        <w:rPr>
          <w:shd w:val="clear" w:color="auto" w:fill="FFFFFF"/>
        </w:rPr>
      </w:pPr>
      <w:r>
        <w:rPr>
          <w:rFonts w:hint="eastAsia"/>
          <w:shd w:val="clear" w:color="auto" w:fill="FFFFFF"/>
        </w:rPr>
        <w:t>2022</w:t>
      </w:r>
      <w:r>
        <w:rPr>
          <w:rFonts w:hint="eastAsia"/>
          <w:shd w:val="clear" w:color="auto" w:fill="FFFFFF"/>
        </w:rPr>
        <w:t>年后，</w:t>
      </w:r>
      <w:r>
        <w:rPr>
          <w:rFonts w:hint="eastAsia"/>
          <w:shd w:val="clear" w:color="auto" w:fill="FFFFFF"/>
        </w:rPr>
        <w:t>NICE</w:t>
      </w:r>
      <w:r>
        <w:rPr>
          <w:rFonts w:hint="eastAsia"/>
          <w:shd w:val="clear" w:color="auto" w:fill="FFFFFF"/>
        </w:rPr>
        <w:t>转向“模块化更新”（</w:t>
      </w:r>
      <w:r>
        <w:rPr>
          <w:rFonts w:hint="eastAsia"/>
          <w:shd w:val="clear" w:color="auto" w:fill="FFFFFF"/>
        </w:rPr>
        <w:t>Modular Updates</w:t>
      </w:r>
      <w:r>
        <w:rPr>
          <w:rFonts w:hint="eastAsia"/>
          <w:shd w:val="clear" w:color="auto" w:fill="FFFFFF"/>
        </w:rPr>
        <w:t>）策略，如</w:t>
      </w:r>
      <w:r>
        <w:rPr>
          <w:rFonts w:hint="eastAsia"/>
          <w:shd w:val="clear" w:color="auto" w:fill="FFFFFF"/>
        </w:rPr>
        <w:t>2025</w:t>
      </w:r>
      <w:r>
        <w:rPr>
          <w:rFonts w:hint="eastAsia"/>
          <w:shd w:val="clear" w:color="auto" w:fill="FFFFFF"/>
        </w:rPr>
        <w:t>年</w:t>
      </w:r>
      <w:r>
        <w:rPr>
          <w:rFonts w:hint="eastAsia"/>
          <w:shd w:val="clear" w:color="auto" w:fill="FFFFFF"/>
        </w:rPr>
        <w:t>5</w:t>
      </w:r>
      <w:r>
        <w:rPr>
          <w:rFonts w:hint="eastAsia"/>
          <w:shd w:val="clear" w:color="auto" w:fill="FFFFFF"/>
        </w:rPr>
        <w:t>月更新引入了健康不平等（</w:t>
      </w:r>
      <w:r>
        <w:rPr>
          <w:rFonts w:hint="eastAsia"/>
          <w:shd w:val="clear" w:color="auto" w:fill="FFFFFF"/>
        </w:rPr>
        <w:t>Health Inequalities</w:t>
      </w:r>
      <w:r>
        <w:rPr>
          <w:rFonts w:hint="eastAsia"/>
          <w:shd w:val="clear" w:color="auto" w:fill="FFFFFF"/>
        </w:rPr>
        <w:t>）的定量考量，鼓励使用分布式成本效益分析（</w:t>
      </w:r>
      <w:r>
        <w:rPr>
          <w:rFonts w:hint="eastAsia"/>
          <w:shd w:val="clear" w:color="auto" w:fill="FFFFFF"/>
        </w:rPr>
        <w:t>Distributional Cost-Effectiveness Analysis, DCEA</w:t>
      </w:r>
      <w:r>
        <w:rPr>
          <w:rFonts w:hint="eastAsia"/>
          <w:shd w:val="clear" w:color="auto" w:fill="FFFFFF"/>
        </w:rPr>
        <w:t>）评估技术对不同社会经济群体的健康获益分布。</w:t>
      </w:r>
    </w:p>
    <w:bookmarkEnd w:id="14"/>
    <w:p w14:paraId="072AD036" w14:textId="01006E32" w:rsidR="00DF3040" w:rsidRDefault="007E4424" w:rsidP="00A24278">
      <w:pPr>
        <w:pStyle w:val="a9"/>
        <w:ind w:firstLineChars="200" w:firstLine="420"/>
        <w:jc w:val="both"/>
        <w:rPr>
          <w:shd w:val="clear" w:color="auto" w:fill="FFFFFF"/>
        </w:rPr>
      </w:pPr>
      <w:r>
        <w:rPr>
          <w:rFonts w:hint="eastAsia"/>
          <w:shd w:val="clear" w:color="auto" w:fill="FFFFFF"/>
        </w:rPr>
        <w:t>2025</w:t>
      </w:r>
      <w:r>
        <w:rPr>
          <w:rFonts w:hint="eastAsia"/>
          <w:shd w:val="clear" w:color="auto" w:fill="FFFFFF"/>
        </w:rPr>
        <w:t>年</w:t>
      </w:r>
      <w:r>
        <w:rPr>
          <w:rFonts w:hint="eastAsia"/>
          <w:shd w:val="clear" w:color="auto" w:fill="FFFFFF"/>
        </w:rPr>
        <w:t>9</w:t>
      </w:r>
      <w:r>
        <w:rPr>
          <w:rFonts w:hint="eastAsia"/>
          <w:shd w:val="clear" w:color="auto" w:fill="FFFFFF"/>
        </w:rPr>
        <w:t>月</w:t>
      </w:r>
      <w:r w:rsidR="00A24278">
        <w:rPr>
          <w:rFonts w:hint="eastAsia"/>
          <w:shd w:val="clear" w:color="auto" w:fill="FFFFFF"/>
        </w:rPr>
        <w:t>NICE</w:t>
      </w:r>
      <w:r>
        <w:rPr>
          <w:rFonts w:hint="eastAsia"/>
          <w:shd w:val="clear" w:color="auto" w:fill="FFFFFF"/>
        </w:rPr>
        <w:t>进一步更新</w:t>
      </w:r>
      <w:r>
        <w:rPr>
          <w:rFonts w:hint="eastAsia"/>
          <w:shd w:val="clear" w:color="auto" w:fill="FFFFFF"/>
        </w:rPr>
        <w:t>RWE</w:t>
      </w:r>
      <w:r>
        <w:rPr>
          <w:rFonts w:hint="eastAsia"/>
          <w:shd w:val="clear" w:color="auto" w:fill="FFFFFF"/>
        </w:rPr>
        <w:t>框架，纳入对非结构化数据（</w:t>
      </w:r>
      <w:r>
        <w:rPr>
          <w:rFonts w:hint="eastAsia"/>
          <w:shd w:val="clear" w:color="auto" w:fill="FFFFFF"/>
        </w:rPr>
        <w:t>Unstructured Data</w:t>
      </w:r>
      <w:r>
        <w:rPr>
          <w:rFonts w:hint="eastAsia"/>
          <w:shd w:val="clear" w:color="auto" w:fill="FFFFFF"/>
        </w:rPr>
        <w:t>）利用的指导，体现了为人工智能（</w:t>
      </w:r>
      <w:r>
        <w:rPr>
          <w:rFonts w:hint="eastAsia"/>
          <w:shd w:val="clear" w:color="auto" w:fill="FFFFFF"/>
        </w:rPr>
        <w:t>Artificial Intelligence, AI</w:t>
      </w:r>
      <w:r>
        <w:rPr>
          <w:rFonts w:hint="eastAsia"/>
          <w:shd w:val="clear" w:color="auto" w:fill="FFFFFF"/>
        </w:rPr>
        <w:t>）时代评估做准备的前瞻性。</w:t>
      </w:r>
      <w:r>
        <w:rPr>
          <w:shd w:val="clear" w:color="auto" w:fill="FFFFFF"/>
        </w:rPr>
        <w:t xml:space="preserve">2026 </w:t>
      </w:r>
      <w:r>
        <w:rPr>
          <w:shd w:val="clear" w:color="auto" w:fill="FFFFFF"/>
        </w:rPr>
        <w:t>年</w:t>
      </w:r>
      <w:r>
        <w:rPr>
          <w:rFonts w:hint="eastAsia"/>
          <w:shd w:val="clear" w:color="auto" w:fill="FFFFFF"/>
        </w:rPr>
        <w:t>2</w:t>
      </w:r>
      <w:r>
        <w:rPr>
          <w:rFonts w:hint="eastAsia"/>
          <w:shd w:val="clear" w:color="auto" w:fill="FFFFFF"/>
        </w:rPr>
        <w:t>月</w:t>
      </w:r>
      <w:r>
        <w:rPr>
          <w:shd w:val="clear" w:color="auto" w:fill="FFFFFF"/>
        </w:rPr>
        <w:t>，英国政府已确认将</w:t>
      </w:r>
      <w:r>
        <w:rPr>
          <w:shd w:val="clear" w:color="auto" w:fill="FFFFFF"/>
        </w:rPr>
        <w:t xml:space="preserve"> NICE </w:t>
      </w:r>
      <w:r>
        <w:rPr>
          <w:shd w:val="clear" w:color="auto" w:fill="FFFFFF"/>
        </w:rPr>
        <w:t>在技术评估中使用的标准成本效果阈值由</w:t>
      </w:r>
      <w:r>
        <w:rPr>
          <w:shd w:val="clear" w:color="auto" w:fill="FFFFFF"/>
        </w:rPr>
        <w:t xml:space="preserve"> £20,000–£30,000/QALY </w:t>
      </w:r>
      <w:r>
        <w:rPr>
          <w:shd w:val="clear" w:color="auto" w:fill="FFFFFF"/>
        </w:rPr>
        <w:t>上调至</w:t>
      </w:r>
      <w:r>
        <w:rPr>
          <w:shd w:val="clear" w:color="auto" w:fill="FFFFFF"/>
        </w:rPr>
        <w:t xml:space="preserve"> £25,000–£35,000/QALY</w:t>
      </w:r>
      <w:r>
        <w:rPr>
          <w:shd w:val="clear" w:color="auto" w:fill="FFFFFF"/>
        </w:rPr>
        <w:t>，并拟自</w:t>
      </w:r>
      <w:r>
        <w:rPr>
          <w:shd w:val="clear" w:color="auto" w:fill="FFFFFF"/>
        </w:rPr>
        <w:t xml:space="preserve"> 2026 </w:t>
      </w:r>
      <w:r>
        <w:rPr>
          <w:shd w:val="clear" w:color="auto" w:fill="FFFFFF"/>
        </w:rPr>
        <w:t>年</w:t>
      </w:r>
      <w:r>
        <w:rPr>
          <w:shd w:val="clear" w:color="auto" w:fill="FFFFFF"/>
        </w:rPr>
        <w:t xml:space="preserve"> 4 </w:t>
      </w:r>
      <w:r>
        <w:rPr>
          <w:shd w:val="clear" w:color="auto" w:fill="FFFFFF"/>
        </w:rPr>
        <w:t>月起实施，且该调整不追溯既往结论。</w:t>
      </w:r>
    </w:p>
    <w:p w14:paraId="072AD037" w14:textId="77777777" w:rsidR="00DF3040" w:rsidRDefault="007E4424" w:rsidP="00A24278">
      <w:pPr>
        <w:pStyle w:val="ab"/>
        <w:widowControl/>
        <w:shd w:val="clear" w:color="auto" w:fill="FFFFFF"/>
        <w:spacing w:line="360" w:lineRule="auto"/>
        <w:ind w:firstLineChars="200" w:firstLine="560"/>
        <w:outlineLvl w:val="1"/>
        <w:rPr>
          <w:rFonts w:ascii="Times New Roman" w:eastAsia="宋体" w:hAnsi="Times New Roman" w:cs="Times New Roman"/>
          <w:color w:val="0F1115"/>
          <w:sz w:val="28"/>
          <w:szCs w:val="28"/>
          <w:shd w:val="clear" w:color="auto" w:fill="FFFFFF"/>
        </w:rPr>
      </w:pPr>
      <w:bookmarkStart w:id="15" w:name="_Toc26091"/>
      <w:r>
        <w:rPr>
          <w:rFonts w:ascii="Times New Roman" w:eastAsia="宋体" w:hAnsi="Times New Roman" w:cs="Times New Roman" w:hint="eastAsia"/>
          <w:color w:val="0F1115"/>
          <w:sz w:val="28"/>
          <w:szCs w:val="28"/>
          <w:shd w:val="clear" w:color="auto" w:fill="FFFFFF"/>
        </w:rPr>
        <w:t>（二）英国药物经济学评价指南的</w:t>
      </w:r>
      <w:bookmarkEnd w:id="15"/>
      <w:r>
        <w:rPr>
          <w:rFonts w:ascii="Times New Roman" w:eastAsia="宋体" w:hAnsi="Times New Roman" w:cs="Times New Roman" w:hint="eastAsia"/>
          <w:color w:val="0F1115"/>
          <w:sz w:val="28"/>
          <w:szCs w:val="28"/>
          <w:shd w:val="clear" w:color="auto" w:fill="FFFFFF"/>
        </w:rPr>
        <w:t>特点</w:t>
      </w:r>
    </w:p>
    <w:p w14:paraId="072AD038" w14:textId="77777777" w:rsidR="00DF3040" w:rsidRDefault="007E4424" w:rsidP="00A24278">
      <w:pPr>
        <w:pStyle w:val="a9"/>
        <w:ind w:firstLineChars="200" w:firstLine="420"/>
        <w:jc w:val="both"/>
        <w:rPr>
          <w:shd w:val="clear" w:color="auto" w:fill="FFFFFF"/>
        </w:rPr>
      </w:pPr>
      <w:r>
        <w:rPr>
          <w:rFonts w:hint="eastAsia"/>
          <w:shd w:val="clear" w:color="auto" w:fill="FFFFFF"/>
        </w:rPr>
        <w:t>英国药物经济学评价指南体系在二十余年的发展历程中，形成了其独特而鲜明的特征，深刻反映了英国医疗卫生体系的制度环境和社会价值取向。</w:t>
      </w:r>
    </w:p>
    <w:p w14:paraId="072AD039" w14:textId="77777777" w:rsidR="00DF3040" w:rsidRDefault="007E4424" w:rsidP="00A24278">
      <w:pPr>
        <w:pStyle w:val="a9"/>
        <w:ind w:firstLineChars="200" w:firstLine="420"/>
        <w:jc w:val="both"/>
        <w:rPr>
          <w:shd w:val="clear" w:color="auto" w:fill="FFFFFF"/>
        </w:rPr>
      </w:pPr>
      <w:r>
        <w:rPr>
          <w:rFonts w:hint="eastAsia"/>
          <w:shd w:val="clear" w:color="auto" w:fill="FFFFFF"/>
        </w:rPr>
        <w:t>首先，指南将刚性阈值与隐性灵活性结合。</w:t>
      </w:r>
      <w:r>
        <w:rPr>
          <w:rFonts w:hint="eastAsia"/>
          <w:shd w:val="clear" w:color="auto" w:fill="FFFFFF"/>
        </w:rPr>
        <w:t>NICE</w:t>
      </w:r>
      <w:r>
        <w:rPr>
          <w:rFonts w:hint="eastAsia"/>
          <w:shd w:val="clear" w:color="auto" w:fill="FFFFFF"/>
        </w:rPr>
        <w:t>自</w:t>
      </w:r>
      <w:r>
        <w:rPr>
          <w:rFonts w:hint="eastAsia"/>
          <w:shd w:val="clear" w:color="auto" w:fill="FFFFFF"/>
        </w:rPr>
        <w:t>2004</w:t>
      </w:r>
      <w:r>
        <w:rPr>
          <w:rFonts w:hint="eastAsia"/>
          <w:shd w:val="clear" w:color="auto" w:fill="FFFFFF"/>
        </w:rPr>
        <w:t>年确立的</w:t>
      </w:r>
      <w:r>
        <w:rPr>
          <w:rFonts w:hint="eastAsia"/>
          <w:shd w:val="clear" w:color="auto" w:fill="FFFFFF"/>
        </w:rPr>
        <w:t>2</w:t>
      </w:r>
      <w:r>
        <w:rPr>
          <w:rFonts w:hint="eastAsia"/>
          <w:shd w:val="clear" w:color="auto" w:fill="FFFFFF"/>
        </w:rPr>
        <w:t>万至</w:t>
      </w:r>
      <w:r>
        <w:rPr>
          <w:rFonts w:hint="eastAsia"/>
          <w:shd w:val="clear" w:color="auto" w:fill="FFFFFF"/>
        </w:rPr>
        <w:t>3</w:t>
      </w:r>
      <w:r>
        <w:rPr>
          <w:rFonts w:hint="eastAsia"/>
          <w:shd w:val="clear" w:color="auto" w:fill="FFFFFF"/>
        </w:rPr>
        <w:t>万英镑</w:t>
      </w:r>
      <w:r>
        <w:rPr>
          <w:rFonts w:hint="eastAsia"/>
          <w:shd w:val="clear" w:color="auto" w:fill="FFFFFF"/>
        </w:rPr>
        <w:t>/QALY</w:t>
      </w:r>
      <w:r>
        <w:rPr>
          <w:rFonts w:hint="eastAsia"/>
          <w:shd w:val="clear" w:color="auto" w:fill="FFFFFF"/>
        </w:rPr>
        <w:t>阈值在名义上保持刚性，从未随通货膨胀调整，这意味着实际评估难度随时间增加；然而，</w:t>
      </w:r>
      <w:r>
        <w:rPr>
          <w:rFonts w:hint="eastAsia"/>
          <w:shd w:val="clear" w:color="auto" w:fill="FFFFFF"/>
        </w:rPr>
        <w:lastRenderedPageBreak/>
        <w:t>指南通过引入“疾病严重程度修正”、“高度专业化技术”（</w:t>
      </w:r>
      <w:r>
        <w:rPr>
          <w:rFonts w:hint="eastAsia"/>
          <w:shd w:val="clear" w:color="auto" w:fill="FFFFFF"/>
        </w:rPr>
        <w:t xml:space="preserve">Highly </w:t>
      </w:r>
      <w:proofErr w:type="spellStart"/>
      <w:r>
        <w:rPr>
          <w:rFonts w:hint="eastAsia"/>
          <w:shd w:val="clear" w:color="auto" w:fill="FFFFFF"/>
        </w:rPr>
        <w:t>Specialised</w:t>
      </w:r>
      <w:proofErr w:type="spellEnd"/>
      <w:r>
        <w:rPr>
          <w:rFonts w:hint="eastAsia"/>
          <w:shd w:val="clear" w:color="auto" w:fill="FFFFFF"/>
        </w:rPr>
        <w:t xml:space="preserve"> Technologies, HST</w:t>
      </w:r>
      <w:r>
        <w:rPr>
          <w:rFonts w:hint="eastAsia"/>
          <w:shd w:val="clear" w:color="auto" w:fill="FFFFFF"/>
        </w:rPr>
        <w:t>，阈值可达</w:t>
      </w:r>
      <w:r>
        <w:rPr>
          <w:rFonts w:hint="eastAsia"/>
          <w:shd w:val="clear" w:color="auto" w:fill="FFFFFF"/>
        </w:rPr>
        <w:t>30</w:t>
      </w:r>
      <w:r>
        <w:rPr>
          <w:rFonts w:hint="eastAsia"/>
          <w:shd w:val="clear" w:color="auto" w:fill="FFFFFF"/>
        </w:rPr>
        <w:t>万英镑）以及癌症药物基金（</w:t>
      </w:r>
      <w:r>
        <w:rPr>
          <w:rFonts w:hint="eastAsia"/>
          <w:shd w:val="clear" w:color="auto" w:fill="FFFFFF"/>
        </w:rPr>
        <w:t>Cancer Drugs Fund, CDF</w:t>
      </w:r>
      <w:r>
        <w:rPr>
          <w:rFonts w:hint="eastAsia"/>
          <w:shd w:val="clear" w:color="auto" w:fill="FFFFFF"/>
        </w:rPr>
        <w:t>）等机制，在不改变名义阈值的情况下，为高价值药物创造了隐性的“泄压阀”，实现了原则性与实践灵活性的统一。</w:t>
      </w:r>
      <w:r>
        <w:rPr>
          <w:rFonts w:hint="eastAsia"/>
          <w:shd w:val="clear" w:color="auto" w:fill="FFFFFF"/>
        </w:rPr>
        <w:t xml:space="preserve">  </w:t>
      </w:r>
    </w:p>
    <w:p w14:paraId="072AD03A" w14:textId="77777777" w:rsidR="00DF3040" w:rsidRDefault="007E4424" w:rsidP="00A24278">
      <w:pPr>
        <w:pStyle w:val="a9"/>
        <w:ind w:firstLineChars="200" w:firstLine="420"/>
        <w:jc w:val="both"/>
        <w:rPr>
          <w:shd w:val="clear" w:color="auto" w:fill="FFFFFF"/>
        </w:rPr>
      </w:pPr>
      <w:r>
        <w:rPr>
          <w:rFonts w:hint="eastAsia"/>
          <w:shd w:val="clear" w:color="auto" w:fill="FFFFFF"/>
        </w:rPr>
        <w:t>其次，指南始终坚持严格的</w:t>
      </w:r>
      <w:r>
        <w:rPr>
          <w:rFonts w:hint="eastAsia"/>
          <w:shd w:val="clear" w:color="auto" w:fill="FFFFFF"/>
        </w:rPr>
        <w:t>NHS</w:t>
      </w:r>
      <w:r>
        <w:rPr>
          <w:rFonts w:hint="eastAsia"/>
          <w:shd w:val="clear" w:color="auto" w:fill="FFFFFF"/>
        </w:rPr>
        <w:t>与个人社会服务（</w:t>
      </w:r>
      <w:r>
        <w:rPr>
          <w:rFonts w:hint="eastAsia"/>
          <w:shd w:val="clear" w:color="auto" w:fill="FFFFFF"/>
        </w:rPr>
        <w:t>Personal Social Services, PSS</w:t>
      </w:r>
      <w:r>
        <w:rPr>
          <w:rFonts w:hint="eastAsia"/>
          <w:shd w:val="clear" w:color="auto" w:fill="FFFFFF"/>
        </w:rPr>
        <w:t>）成本视角，拒绝采纳更广泛的“全社会视角”（</w:t>
      </w:r>
      <w:r>
        <w:rPr>
          <w:rFonts w:hint="eastAsia"/>
          <w:shd w:val="clear" w:color="auto" w:fill="FFFFFF"/>
        </w:rPr>
        <w:t>Societal Perspective</w:t>
      </w:r>
      <w:r>
        <w:rPr>
          <w:rFonts w:hint="eastAsia"/>
          <w:shd w:val="clear" w:color="auto" w:fill="FFFFFF"/>
        </w:rPr>
        <w:t>），这反映了英国公共财政的“竖井”效应（</w:t>
      </w:r>
      <w:r>
        <w:rPr>
          <w:rFonts w:hint="eastAsia"/>
          <w:shd w:val="clear" w:color="auto" w:fill="FFFFFF"/>
        </w:rPr>
        <w:t>Silo Effect</w:t>
      </w:r>
      <w:r>
        <w:rPr>
          <w:rFonts w:hint="eastAsia"/>
          <w:shd w:val="clear" w:color="auto" w:fill="FFFFFF"/>
        </w:rPr>
        <w:t>），即卫生预算与社会福利预算相互独立，使得药物带来的生产力收益等社会效益在基础分析中被忽略。指南对程序正义（</w:t>
      </w:r>
      <w:r>
        <w:rPr>
          <w:rFonts w:hint="eastAsia"/>
          <w:shd w:val="clear" w:color="auto" w:fill="FFFFFF"/>
        </w:rPr>
        <w:t>Accountability for Reasonableness</w:t>
      </w:r>
      <w:r>
        <w:rPr>
          <w:rFonts w:hint="eastAsia"/>
          <w:shd w:val="clear" w:color="auto" w:fill="FFFFFF"/>
        </w:rPr>
        <w:t>）与透明度的极致追求是其另一核心特征。</w:t>
      </w:r>
      <w:r>
        <w:rPr>
          <w:rFonts w:hint="eastAsia"/>
          <w:shd w:val="clear" w:color="auto" w:fill="FFFFFF"/>
        </w:rPr>
        <w:t>NICE</w:t>
      </w:r>
      <w:r>
        <w:rPr>
          <w:rFonts w:hint="eastAsia"/>
          <w:shd w:val="clear" w:color="auto" w:fill="FFFFFF"/>
        </w:rPr>
        <w:t>的每一次指南更新都伴随详尽的公众咨询、利益相关方研讨及对反馈的书面回复，其评估委员会（</w:t>
      </w:r>
      <w:r>
        <w:rPr>
          <w:rFonts w:hint="eastAsia"/>
          <w:shd w:val="clear" w:color="auto" w:fill="FFFFFF"/>
        </w:rPr>
        <w:t>Appraisal Committee</w:t>
      </w:r>
      <w:r>
        <w:rPr>
          <w:rFonts w:hint="eastAsia"/>
          <w:shd w:val="clear" w:color="auto" w:fill="FFFFFF"/>
        </w:rPr>
        <w:t>）不仅包括临床专家和卫生经济学家，还强制包含患者专家（</w:t>
      </w:r>
      <w:r>
        <w:rPr>
          <w:rFonts w:hint="eastAsia"/>
          <w:shd w:val="clear" w:color="auto" w:fill="FFFFFF"/>
        </w:rPr>
        <w:t>Patient Experts</w:t>
      </w:r>
      <w:r>
        <w:rPr>
          <w:rFonts w:hint="eastAsia"/>
          <w:shd w:val="clear" w:color="auto" w:fill="FFFFFF"/>
        </w:rPr>
        <w:t>）和非专业成员（</w:t>
      </w:r>
      <w:r>
        <w:rPr>
          <w:rFonts w:hint="eastAsia"/>
          <w:shd w:val="clear" w:color="auto" w:fill="FFFFFF"/>
        </w:rPr>
        <w:t>Lay Members</w:t>
      </w:r>
      <w:r>
        <w:rPr>
          <w:rFonts w:hint="eastAsia"/>
          <w:shd w:val="clear" w:color="auto" w:fill="FFFFFF"/>
        </w:rPr>
        <w:t>），</w:t>
      </w:r>
      <w:r>
        <w:rPr>
          <w:rFonts w:hint="eastAsia"/>
          <w:shd w:val="clear" w:color="auto" w:fill="FFFFFF"/>
        </w:rPr>
        <w:t>2022</w:t>
      </w:r>
      <w:r>
        <w:rPr>
          <w:rFonts w:hint="eastAsia"/>
          <w:shd w:val="clear" w:color="auto" w:fill="FFFFFF"/>
        </w:rPr>
        <w:t>年手册进一步强化了患者体验证据（特别是定性证据）的地位，这种包容和透明的程序旨在弥补单纯</w:t>
      </w:r>
      <w:r>
        <w:rPr>
          <w:rFonts w:hint="eastAsia"/>
          <w:shd w:val="clear" w:color="auto" w:fill="FFFFFF"/>
        </w:rPr>
        <w:t>QALY</w:t>
      </w:r>
      <w:r>
        <w:rPr>
          <w:rFonts w:hint="eastAsia"/>
          <w:shd w:val="clear" w:color="auto" w:fill="FFFFFF"/>
        </w:rPr>
        <w:t>计算可能遗漏的生命质量细节，增强决策的社会合法性。</w:t>
      </w:r>
    </w:p>
    <w:p w14:paraId="072AD03B" w14:textId="75AF2BEF" w:rsidR="00DF3040" w:rsidRDefault="007E4424" w:rsidP="00A24278">
      <w:pPr>
        <w:pStyle w:val="a9"/>
        <w:ind w:firstLineChars="200" w:firstLine="420"/>
        <w:jc w:val="both"/>
        <w:rPr>
          <w:shd w:val="clear" w:color="auto" w:fill="FFFFFF"/>
        </w:rPr>
      </w:pPr>
      <w:r>
        <w:rPr>
          <w:rFonts w:hint="eastAsia"/>
          <w:shd w:val="clear" w:color="auto" w:fill="FFFFFF"/>
        </w:rPr>
        <w:t>最后，</w:t>
      </w:r>
      <w:r w:rsidR="002E6708" w:rsidRPr="002E6708">
        <w:rPr>
          <w:rFonts w:hint="eastAsia"/>
          <w:shd w:val="clear" w:color="auto" w:fill="FFFFFF"/>
        </w:rPr>
        <w:t>该指南对预防与治疗干预的评价设计，存在方法学规则与核心价值目标的不一致性</w:t>
      </w:r>
      <w:r>
        <w:rPr>
          <w:rFonts w:hint="eastAsia"/>
          <w:shd w:val="clear" w:color="auto" w:fill="FFFFFF"/>
        </w:rPr>
        <w:t>。尽管</w:t>
      </w:r>
      <w:r>
        <w:rPr>
          <w:rFonts w:hint="eastAsia"/>
          <w:shd w:val="clear" w:color="auto" w:fill="FFFFFF"/>
        </w:rPr>
        <w:t>NICE</w:t>
      </w:r>
      <w:r>
        <w:rPr>
          <w:rFonts w:hint="eastAsia"/>
          <w:shd w:val="clear" w:color="auto" w:fill="FFFFFF"/>
        </w:rPr>
        <w:t>声称重视预防，但其坚持的</w:t>
      </w:r>
      <w:r>
        <w:rPr>
          <w:rFonts w:hint="eastAsia"/>
          <w:shd w:val="clear" w:color="auto" w:fill="FFFFFF"/>
        </w:rPr>
        <w:t>3.5%</w:t>
      </w:r>
      <w:r>
        <w:rPr>
          <w:rFonts w:hint="eastAsia"/>
          <w:shd w:val="clear" w:color="auto" w:fill="FFFFFF"/>
        </w:rPr>
        <w:t>统一贴现率不利于长期预防性干预（如疫苗接种），因为未来健康获益的现值会被大幅削减，这凸显了</w:t>
      </w:r>
      <w:r>
        <w:rPr>
          <w:rFonts w:hint="eastAsia"/>
          <w:shd w:val="clear" w:color="auto" w:fill="FFFFFF"/>
        </w:rPr>
        <w:t>NICE</w:t>
      </w:r>
      <w:r>
        <w:rPr>
          <w:rFonts w:hint="eastAsia"/>
          <w:shd w:val="clear" w:color="auto" w:fill="FFFFFF"/>
        </w:rPr>
        <w:t>作为公共资金“守门人”对当前预算冲击（</w:t>
      </w:r>
      <w:r>
        <w:rPr>
          <w:rFonts w:hint="eastAsia"/>
          <w:shd w:val="clear" w:color="auto" w:fill="FFFFFF"/>
        </w:rPr>
        <w:t>Budget Impact</w:t>
      </w:r>
      <w:r>
        <w:rPr>
          <w:rFonts w:hint="eastAsia"/>
          <w:shd w:val="clear" w:color="auto" w:fill="FFFFFF"/>
        </w:rPr>
        <w:t>）的高度敏感，而非优先考虑代际公平，与其他国家对预防性疫苗采用更低贴现率（如</w:t>
      </w:r>
      <w:r>
        <w:rPr>
          <w:rFonts w:hint="eastAsia"/>
          <w:shd w:val="clear" w:color="auto" w:fill="FFFFFF"/>
        </w:rPr>
        <w:t>1.5%</w:t>
      </w:r>
      <w:r>
        <w:rPr>
          <w:rFonts w:hint="eastAsia"/>
          <w:shd w:val="clear" w:color="auto" w:fill="FFFFFF"/>
        </w:rPr>
        <w:t>）形成对比。这些特点共同塑造了</w:t>
      </w:r>
      <w:r>
        <w:rPr>
          <w:rFonts w:hint="eastAsia"/>
          <w:shd w:val="clear" w:color="auto" w:fill="FFFFFF"/>
        </w:rPr>
        <w:t>NICE</w:t>
      </w:r>
      <w:r>
        <w:rPr>
          <w:rFonts w:hint="eastAsia"/>
          <w:shd w:val="clear" w:color="auto" w:fill="FFFFFF"/>
        </w:rPr>
        <w:t>药物经济学评价体系在科学严谨性、社会价值判断和财政现实之间复杂平衡的独特形象。</w:t>
      </w:r>
    </w:p>
    <w:p w14:paraId="072AD03C" w14:textId="77777777" w:rsidR="00DF3040" w:rsidRDefault="007E4424" w:rsidP="00A24278">
      <w:pPr>
        <w:pStyle w:val="ab"/>
        <w:widowControl/>
        <w:shd w:val="clear" w:color="auto" w:fill="FFFFFF"/>
        <w:spacing w:line="360" w:lineRule="auto"/>
        <w:ind w:firstLineChars="200" w:firstLine="602"/>
        <w:outlineLvl w:val="0"/>
        <w:rPr>
          <w:rFonts w:ascii="Times New Roman" w:eastAsia="黑体" w:hAnsi="Times New Roman" w:cs="Times New Roman"/>
          <w:b/>
          <w:bCs/>
          <w:color w:val="0F1115"/>
          <w:sz w:val="30"/>
          <w:szCs w:val="30"/>
          <w:shd w:val="clear" w:color="auto" w:fill="FFFFFF"/>
        </w:rPr>
      </w:pPr>
      <w:bookmarkStart w:id="16" w:name="_Toc13966"/>
      <w:r>
        <w:rPr>
          <w:rFonts w:ascii="Times New Roman" w:eastAsia="黑体" w:hAnsi="Times New Roman" w:cs="Times New Roman" w:hint="eastAsia"/>
          <w:b/>
          <w:bCs/>
          <w:color w:val="0F1115"/>
          <w:sz w:val="30"/>
          <w:szCs w:val="30"/>
          <w:shd w:val="clear" w:color="auto" w:fill="FFFFFF"/>
        </w:rPr>
        <w:t>二、加拿大药物经济学评价指南</w:t>
      </w:r>
      <w:bookmarkEnd w:id="16"/>
    </w:p>
    <w:p w14:paraId="072AD03D" w14:textId="77777777" w:rsidR="00DF3040" w:rsidRDefault="007E4424" w:rsidP="00A24278">
      <w:pPr>
        <w:pStyle w:val="a9"/>
        <w:jc w:val="both"/>
      </w:pPr>
      <w:bookmarkStart w:id="17" w:name="_Toc3199"/>
      <w:r>
        <w:rPr>
          <w:rFonts w:hint="eastAsia"/>
        </w:rPr>
        <w:t>（一）加拿大药物经济学评价指南的发展</w:t>
      </w:r>
      <w:bookmarkEnd w:id="17"/>
    </w:p>
    <w:p w14:paraId="072AD03E" w14:textId="686F85D3" w:rsidR="00DF3040" w:rsidRDefault="007E4424" w:rsidP="00A24278">
      <w:pPr>
        <w:spacing w:line="360" w:lineRule="auto"/>
        <w:ind w:firstLineChars="200" w:firstLine="420"/>
        <w:rPr>
          <w:shd w:val="clear" w:color="auto" w:fill="FFFFFF"/>
        </w:rPr>
      </w:pPr>
      <w:r w:rsidRPr="00A24278">
        <w:rPr>
          <w:rFonts w:ascii="Times New Roman" w:eastAsia="宋体" w:hAnsi="Times New Roman" w:cs="Times New Roman" w:hint="eastAsia"/>
          <w:color w:val="0F1115"/>
          <w:szCs w:val="21"/>
          <w:shd w:val="clear" w:color="auto" w:fill="FFFFFF"/>
        </w:rPr>
        <w:t>作为全球最早将药物经济学制度化的国家之一，加拿大的评价体系以其独特的“联邦协调</w:t>
      </w:r>
      <w:r w:rsidRPr="00A24278">
        <w:rPr>
          <w:rFonts w:ascii="Times New Roman" w:eastAsia="宋体" w:hAnsi="Times New Roman" w:cs="Times New Roman" w:hint="eastAsia"/>
          <w:color w:val="0F1115"/>
          <w:szCs w:val="21"/>
          <w:shd w:val="clear" w:color="auto" w:fill="FFFFFF"/>
        </w:rPr>
        <w:t>-</w:t>
      </w:r>
      <w:r w:rsidRPr="00A24278">
        <w:rPr>
          <w:rFonts w:ascii="Times New Roman" w:eastAsia="宋体" w:hAnsi="Times New Roman" w:cs="Times New Roman" w:hint="eastAsia"/>
          <w:color w:val="0F1115"/>
          <w:szCs w:val="21"/>
          <w:shd w:val="clear" w:color="auto" w:fill="FFFFFF"/>
        </w:rPr>
        <w:t>省级执行”双轨机制、极具前沿性的方法学探索以及对社会公平性的高度关注，在国际卫生技术评估领域占有举足轻重的地位。加拿大卫生技术经济评估指南的发展历史可追溯至</w:t>
      </w:r>
      <w:r w:rsidRPr="00A24278">
        <w:rPr>
          <w:rFonts w:ascii="Times New Roman" w:eastAsia="宋体" w:hAnsi="Times New Roman" w:cs="Times New Roman" w:hint="eastAsia"/>
          <w:color w:val="0F1115"/>
          <w:szCs w:val="21"/>
          <w:shd w:val="clear" w:color="auto" w:fill="FFFFFF"/>
        </w:rPr>
        <w:t>20</w:t>
      </w:r>
      <w:r w:rsidRPr="00A24278">
        <w:rPr>
          <w:rFonts w:ascii="Times New Roman" w:eastAsia="宋体" w:hAnsi="Times New Roman" w:cs="Times New Roman" w:hint="eastAsia"/>
          <w:color w:val="0F1115"/>
          <w:szCs w:val="21"/>
          <w:shd w:val="clear" w:color="auto" w:fill="FFFFFF"/>
        </w:rPr>
        <w:t>世纪</w:t>
      </w:r>
      <w:r w:rsidRPr="00A24278">
        <w:rPr>
          <w:rFonts w:ascii="Times New Roman" w:eastAsia="宋体" w:hAnsi="Times New Roman" w:cs="Times New Roman" w:hint="eastAsia"/>
          <w:color w:val="0F1115"/>
          <w:szCs w:val="21"/>
          <w:shd w:val="clear" w:color="auto" w:fill="FFFFFF"/>
        </w:rPr>
        <w:t>90</w:t>
      </w:r>
      <w:r w:rsidRPr="00A24278">
        <w:rPr>
          <w:rFonts w:ascii="Times New Roman" w:eastAsia="宋体" w:hAnsi="Times New Roman" w:cs="Times New Roman" w:hint="eastAsia"/>
          <w:color w:val="0F1115"/>
          <w:szCs w:val="21"/>
          <w:shd w:val="clear" w:color="auto" w:fill="FFFFFF"/>
        </w:rPr>
        <w:t>年代初期，当时正值全球药物经济学领域快速兴起，加拿大医疗体系面临新药研发</w:t>
      </w:r>
      <w:r>
        <w:rPr>
          <w:rFonts w:hint="eastAsia"/>
          <w:shd w:val="clear" w:color="auto" w:fill="FFFFFF"/>
        </w:rPr>
        <w:t>成本激增与公共预算有限的矛盾。</w:t>
      </w:r>
    </w:p>
    <w:p w14:paraId="072AD03F" w14:textId="645BE058" w:rsidR="00DF3040" w:rsidRDefault="007E4424" w:rsidP="00A24278">
      <w:pPr>
        <w:pStyle w:val="a9"/>
        <w:jc w:val="both"/>
        <w:rPr>
          <w:shd w:val="clear" w:color="auto" w:fill="FFFFFF"/>
        </w:rPr>
      </w:pPr>
      <w:r>
        <w:rPr>
          <w:rFonts w:hint="eastAsia"/>
          <w:shd w:val="clear" w:color="auto" w:fill="FFFFFF"/>
        </w:rPr>
        <w:t>1994</w:t>
      </w:r>
      <w:r>
        <w:rPr>
          <w:rFonts w:hint="eastAsia"/>
          <w:shd w:val="clear" w:color="auto" w:fill="FFFFFF"/>
        </w:rPr>
        <w:t>年，加拿大药品和卫生技术局（</w:t>
      </w:r>
      <w:r>
        <w:rPr>
          <w:rFonts w:hint="eastAsia"/>
          <w:shd w:val="clear" w:color="auto" w:fill="FFFFFF"/>
        </w:rPr>
        <w:t>Canadian Agency for Drugs and Technologies in Health, CADTH</w:t>
      </w:r>
      <w:r>
        <w:rPr>
          <w:rFonts w:hint="eastAsia"/>
          <w:shd w:val="clear" w:color="auto" w:fill="FFFFFF"/>
        </w:rPr>
        <w:t>）的前身加拿大卫生技术评估协调办公室（</w:t>
      </w:r>
      <w:r>
        <w:rPr>
          <w:rFonts w:hint="eastAsia"/>
          <w:shd w:val="clear" w:color="auto" w:fill="FFFFFF"/>
        </w:rPr>
        <w:t>Canadian Coordinating Office for Health Technology Assessment, CCOHTA</w:t>
      </w:r>
      <w:r>
        <w:rPr>
          <w:rFonts w:hint="eastAsia"/>
          <w:shd w:val="clear" w:color="auto" w:fill="FFFFFF"/>
        </w:rPr>
        <w:t>）发布了首版《药品经济评估指南》（</w:t>
      </w:r>
      <w:r>
        <w:rPr>
          <w:rFonts w:hint="eastAsia"/>
          <w:shd w:val="clear" w:color="auto" w:fill="FFFFFF"/>
        </w:rPr>
        <w:t xml:space="preserve">Canadian Coordinating </w:t>
      </w:r>
      <w:r>
        <w:rPr>
          <w:rFonts w:hint="eastAsia"/>
          <w:shd w:val="clear" w:color="auto" w:fill="FFFFFF"/>
        </w:rPr>
        <w:lastRenderedPageBreak/>
        <w:t xml:space="preserve">Office for Health Technology Assessment (CCOHTA). Guidelines for economic evaluation of pharmaceuticals, </w:t>
      </w:r>
      <w:proofErr w:type="spellStart"/>
      <w:r>
        <w:rPr>
          <w:rFonts w:hint="eastAsia"/>
          <w:shd w:val="clear" w:color="auto" w:fill="FFFFFF"/>
        </w:rPr>
        <w:t>lst</w:t>
      </w:r>
      <w:proofErr w:type="spellEnd"/>
      <w:r>
        <w:rPr>
          <w:rFonts w:hint="eastAsia"/>
          <w:shd w:val="clear" w:color="auto" w:fill="FFFFFF"/>
        </w:rPr>
        <w:t xml:space="preserve"> ed. Ottawa: CCOHTA, 1994</w:t>
      </w:r>
      <w:r>
        <w:rPr>
          <w:rFonts w:hint="eastAsia"/>
          <w:shd w:val="clear" w:color="auto" w:fill="FFFFFF"/>
        </w:rPr>
        <w:t>），标志着该国正式建立系统化的药物经济学评价体系。该版本首次提出社会视角的主导地位，要求全面纳入直接医疗成本外的间接成本，并采用</w:t>
      </w:r>
      <w:r>
        <w:rPr>
          <w:rFonts w:hint="eastAsia"/>
          <w:shd w:val="clear" w:color="auto" w:fill="FFFFFF"/>
        </w:rPr>
        <w:t>5%</w:t>
      </w:r>
      <w:r>
        <w:rPr>
          <w:rFonts w:hint="eastAsia"/>
          <w:shd w:val="clear" w:color="auto" w:fill="FFFFFF"/>
        </w:rPr>
        <w:t>的贴现率反映社会时间偏好，同时鼓励使用</w:t>
      </w:r>
      <w:r>
        <w:rPr>
          <w:rFonts w:hint="eastAsia"/>
          <w:shd w:val="clear" w:color="auto" w:fill="FFFFFF"/>
        </w:rPr>
        <w:t>QALYs</w:t>
      </w:r>
      <w:r>
        <w:rPr>
          <w:rFonts w:hint="eastAsia"/>
          <w:shd w:val="clear" w:color="auto" w:fill="FFFFFF"/>
        </w:rPr>
        <w:t>作为健康产出指标。然而，这种理想化的社会视角在实践中遭遇挑战，由于加拿大各省卫生预算的独立性，支付方往往难以承担社会视角下的间接成本，导致研究结果与决策需求脱节。</w:t>
      </w:r>
    </w:p>
    <w:p w14:paraId="791A387C" w14:textId="4B55BAEE" w:rsidR="005A68D1" w:rsidRDefault="007E4424" w:rsidP="00A24278">
      <w:pPr>
        <w:pStyle w:val="a9"/>
        <w:ind w:firstLineChars="200" w:firstLine="420"/>
        <w:jc w:val="both"/>
        <w:rPr>
          <w:shd w:val="clear" w:color="auto" w:fill="FFFFFF"/>
        </w:rPr>
      </w:pPr>
      <w:r>
        <w:rPr>
          <w:rFonts w:hint="eastAsia"/>
          <w:shd w:val="clear" w:color="auto" w:fill="FFFFFF"/>
        </w:rPr>
        <w:t>1997</w:t>
      </w:r>
      <w:r>
        <w:rPr>
          <w:rFonts w:hint="eastAsia"/>
          <w:shd w:val="clear" w:color="auto" w:fill="FFFFFF"/>
        </w:rPr>
        <w:t>年发布的第二版指南通过引入“参考案例”制度实现了方法学的重大突破，强制要求所有基础分析遵循统一的方法学参数（如</w:t>
      </w:r>
      <w:r>
        <w:rPr>
          <w:rFonts w:hint="eastAsia"/>
          <w:shd w:val="clear" w:color="auto" w:fill="FFFFFF"/>
        </w:rPr>
        <w:t>5%</w:t>
      </w:r>
      <w:r>
        <w:rPr>
          <w:rFonts w:hint="eastAsia"/>
          <w:shd w:val="clear" w:color="auto" w:fill="FFFFFF"/>
        </w:rPr>
        <w:t>贴现率、社会视角），并将敏感性分析限定为次要结论。这一标准化举措显著提升了研究结果的可比性，但仍未解决支付方视角与社会视角的矛盾。</w:t>
      </w:r>
    </w:p>
    <w:p w14:paraId="49E81DE6" w14:textId="0BFFB0F0" w:rsidR="005A68D1" w:rsidRDefault="007E4424" w:rsidP="00A24278">
      <w:pPr>
        <w:pStyle w:val="a9"/>
        <w:ind w:firstLineChars="200" w:firstLine="420"/>
        <w:jc w:val="both"/>
        <w:rPr>
          <w:shd w:val="clear" w:color="auto" w:fill="FFFFFF"/>
        </w:rPr>
      </w:pPr>
      <w:r>
        <w:rPr>
          <w:rFonts w:hint="eastAsia"/>
          <w:shd w:val="clear" w:color="auto" w:fill="FFFFFF"/>
        </w:rPr>
        <w:t>进入</w:t>
      </w:r>
      <w:r>
        <w:rPr>
          <w:rFonts w:hint="eastAsia"/>
          <w:shd w:val="clear" w:color="auto" w:fill="FFFFFF"/>
        </w:rPr>
        <w:t>21</w:t>
      </w:r>
      <w:r>
        <w:rPr>
          <w:rFonts w:hint="eastAsia"/>
          <w:shd w:val="clear" w:color="auto" w:fill="FFFFFF"/>
        </w:rPr>
        <w:t>世纪后，第三版指南于</w:t>
      </w:r>
      <w:r>
        <w:rPr>
          <w:rFonts w:hint="eastAsia"/>
          <w:shd w:val="clear" w:color="auto" w:fill="FFFFFF"/>
        </w:rPr>
        <w:t>2006</w:t>
      </w:r>
      <w:r>
        <w:rPr>
          <w:rFonts w:hint="eastAsia"/>
          <w:shd w:val="clear" w:color="auto" w:fill="FFFFFF"/>
        </w:rPr>
        <w:t>年问世，进一步强化了标准化要求，</w:t>
      </w:r>
      <w:r w:rsidR="00727E24" w:rsidRPr="00727E24">
        <w:rPr>
          <w:rFonts w:hint="eastAsia"/>
          <w:shd w:val="clear" w:color="auto" w:fill="FFFFFF"/>
        </w:rPr>
        <w:t>在方法学上进一步强化了标准化要求，但仍延续了较高的</w:t>
      </w:r>
      <w:r w:rsidR="00727E24" w:rsidRPr="00727E24">
        <w:rPr>
          <w:rFonts w:hint="eastAsia"/>
          <w:shd w:val="clear" w:color="auto" w:fill="FFFFFF"/>
        </w:rPr>
        <w:t>5%</w:t>
      </w:r>
      <w:r w:rsidR="00727E24" w:rsidRPr="00727E24">
        <w:rPr>
          <w:rFonts w:hint="eastAsia"/>
          <w:shd w:val="clear" w:color="auto" w:fill="FFFFFF"/>
        </w:rPr>
        <w:t>贴现率，并在理论上强调社会视角的重要性。然而在实际应用中，多数研究已逐渐转向医疗支付方视角，这也使得该版本在国际</w:t>
      </w:r>
      <w:r w:rsidR="00727E24" w:rsidRPr="00727E24">
        <w:rPr>
          <w:rFonts w:hint="eastAsia"/>
          <w:shd w:val="clear" w:color="auto" w:fill="FFFFFF"/>
        </w:rPr>
        <w:t>HTA</w:t>
      </w:r>
      <w:r w:rsidR="00727E24" w:rsidRPr="00727E24">
        <w:rPr>
          <w:rFonts w:hint="eastAsia"/>
          <w:shd w:val="clear" w:color="auto" w:fill="FFFFFF"/>
        </w:rPr>
        <w:t>方法逐步降低贴现率并强化决策导向的背景下，被认为具有一定的保守性</w:t>
      </w:r>
      <w:r>
        <w:rPr>
          <w:rFonts w:hint="eastAsia"/>
          <w:shd w:val="clear" w:color="auto" w:fill="FFFFFF"/>
        </w:rPr>
        <w:t>。</w:t>
      </w:r>
    </w:p>
    <w:p w14:paraId="46909F33" w14:textId="5FF50EC2" w:rsidR="00A13546" w:rsidRDefault="00F3375A" w:rsidP="00A24278">
      <w:pPr>
        <w:pStyle w:val="a9"/>
        <w:ind w:firstLineChars="200" w:firstLine="420"/>
        <w:jc w:val="both"/>
        <w:rPr>
          <w:shd w:val="clear" w:color="auto" w:fill="FFFFFF"/>
        </w:rPr>
      </w:pPr>
      <w:r w:rsidRPr="00F3375A">
        <w:rPr>
          <w:rFonts w:hint="eastAsia"/>
          <w:shd w:val="clear" w:color="auto" w:fill="FFFFFF"/>
        </w:rPr>
        <w:t>2017</w:t>
      </w:r>
      <w:r w:rsidRPr="00F3375A">
        <w:rPr>
          <w:rFonts w:hint="eastAsia"/>
          <w:shd w:val="clear" w:color="auto" w:fill="FFFFFF"/>
        </w:rPr>
        <w:t>年发布的第四版指南在方法学框架上进行了重要更新</w:t>
      </w:r>
      <w:r w:rsidR="00B2643E">
        <w:rPr>
          <w:rFonts w:hint="eastAsia"/>
          <w:shd w:val="clear" w:color="auto" w:fill="FFFFFF"/>
        </w:rPr>
        <w:t>：</w:t>
      </w:r>
      <w:r w:rsidR="007E4424">
        <w:rPr>
          <w:rFonts w:hint="eastAsia"/>
          <w:shd w:val="clear" w:color="auto" w:fill="FFFFFF"/>
        </w:rPr>
        <w:t>公共医疗保健</w:t>
      </w:r>
      <w:commentRangeStart w:id="18"/>
      <w:r w:rsidR="007E4424">
        <w:rPr>
          <w:rFonts w:hint="eastAsia"/>
          <w:shd w:val="clear" w:color="auto" w:fill="FFFFFF"/>
        </w:rPr>
        <w:t>支付方视角取代社会视角</w:t>
      </w:r>
      <w:commentRangeEnd w:id="18"/>
      <w:r w:rsidR="007E4424">
        <w:rPr>
          <w:rStyle w:val="a6"/>
        </w:rPr>
        <w:commentReference w:id="18"/>
      </w:r>
      <w:r w:rsidR="007E4424">
        <w:rPr>
          <w:rFonts w:hint="eastAsia"/>
          <w:shd w:val="clear" w:color="auto" w:fill="FFFFFF"/>
        </w:rPr>
        <w:t>成为参考案例的核心，贴现率下调至</w:t>
      </w:r>
      <w:r w:rsidR="007E4424">
        <w:rPr>
          <w:rFonts w:hint="eastAsia"/>
          <w:shd w:val="clear" w:color="auto" w:fill="FFFFFF"/>
        </w:rPr>
        <w:t>1.5%</w:t>
      </w:r>
      <w:r w:rsidR="007E4424">
        <w:rPr>
          <w:rFonts w:hint="eastAsia"/>
          <w:shd w:val="clear" w:color="auto" w:fill="FFFFFF"/>
        </w:rPr>
        <w:t>，并强制推行概率敏感性分析（</w:t>
      </w:r>
      <w:r w:rsidR="00DA165D" w:rsidRPr="00DA165D">
        <w:rPr>
          <w:shd w:val="clear" w:color="auto" w:fill="FFFFFF"/>
        </w:rPr>
        <w:t>Probabilistic Sensitivity Analysis</w:t>
      </w:r>
      <w:r w:rsidR="00DA165D">
        <w:rPr>
          <w:rFonts w:hint="eastAsia"/>
          <w:shd w:val="clear" w:color="auto" w:fill="FFFFFF"/>
        </w:rPr>
        <w:t>，</w:t>
      </w:r>
      <w:r w:rsidR="007E4424">
        <w:rPr>
          <w:rFonts w:hint="eastAsia"/>
          <w:shd w:val="clear" w:color="auto" w:fill="FFFFFF"/>
        </w:rPr>
        <w:t>PSA</w:t>
      </w:r>
      <w:r w:rsidR="007E4424">
        <w:rPr>
          <w:rFonts w:hint="eastAsia"/>
          <w:shd w:val="clear" w:color="auto" w:fill="FFFFFF"/>
        </w:rPr>
        <w:t>）与成本效果可接受曲线（</w:t>
      </w:r>
      <w:r w:rsidR="00A13546" w:rsidRPr="00A13546">
        <w:rPr>
          <w:shd w:val="clear" w:color="auto" w:fill="FFFFFF"/>
        </w:rPr>
        <w:t>Cost-Effectiveness Acceptability Curve</w:t>
      </w:r>
      <w:r w:rsidR="00A13546">
        <w:rPr>
          <w:rFonts w:hint="eastAsia"/>
          <w:shd w:val="clear" w:color="auto" w:fill="FFFFFF"/>
        </w:rPr>
        <w:t>，</w:t>
      </w:r>
      <w:r w:rsidR="007E4424">
        <w:rPr>
          <w:rFonts w:hint="eastAsia"/>
          <w:shd w:val="clear" w:color="auto" w:fill="FFFFFF"/>
        </w:rPr>
        <w:t>CEAC</w:t>
      </w:r>
      <w:r w:rsidR="007E4424">
        <w:rPr>
          <w:rFonts w:hint="eastAsia"/>
          <w:shd w:val="clear" w:color="auto" w:fill="FFFFFF"/>
        </w:rPr>
        <w:t>）。</w:t>
      </w:r>
    </w:p>
    <w:p w14:paraId="072AD043" w14:textId="18D14887" w:rsidR="00DF3040" w:rsidRDefault="007E4424" w:rsidP="00A24278">
      <w:pPr>
        <w:pStyle w:val="a9"/>
        <w:ind w:firstLineChars="200" w:firstLine="420"/>
        <w:jc w:val="both"/>
        <w:rPr>
          <w:sz w:val="24"/>
          <w:szCs w:val="24"/>
          <w:shd w:val="clear" w:color="auto" w:fill="FFFFFF"/>
        </w:rPr>
      </w:pPr>
      <w:r>
        <w:rPr>
          <w:rFonts w:hint="eastAsia"/>
          <w:shd w:val="clear" w:color="auto" w:fill="FFFFFF"/>
        </w:rPr>
        <w:t>CADTH</w:t>
      </w:r>
      <w:r>
        <w:rPr>
          <w:rFonts w:hint="eastAsia"/>
          <w:shd w:val="clear" w:color="auto" w:fill="FFFFFF"/>
        </w:rPr>
        <w:t>于</w:t>
      </w:r>
      <w:r>
        <w:rPr>
          <w:rFonts w:hint="eastAsia"/>
          <w:shd w:val="clear" w:color="auto" w:fill="FFFFFF"/>
        </w:rPr>
        <w:t>2024</w:t>
      </w:r>
      <w:r>
        <w:rPr>
          <w:rFonts w:hint="eastAsia"/>
          <w:shd w:val="clear" w:color="auto" w:fill="FFFFFF"/>
        </w:rPr>
        <w:t>年进一步转型为加拿大药物局（</w:t>
      </w:r>
      <w:r>
        <w:rPr>
          <w:rFonts w:hint="eastAsia"/>
          <w:shd w:val="clear" w:color="auto" w:fill="FFFFFF"/>
        </w:rPr>
        <w:t>Canada's Drug Agency, CDA-AMC</w:t>
      </w:r>
      <w:r>
        <w:rPr>
          <w:rFonts w:hint="eastAsia"/>
          <w:shd w:val="clear" w:color="auto" w:fill="FFFFFF"/>
        </w:rPr>
        <w:t>），肩负起更广泛的药品管理协调职能。后续更新中，加拿大持续推动方法学创新。</w:t>
      </w:r>
      <w:r>
        <w:rPr>
          <w:rFonts w:hint="eastAsia"/>
          <w:shd w:val="clear" w:color="auto" w:fill="FFFFFF"/>
        </w:rPr>
        <w:t>2024</w:t>
      </w:r>
      <w:r>
        <w:rPr>
          <w:rFonts w:hint="eastAsia"/>
          <w:shd w:val="clear" w:color="auto" w:fill="FFFFFF"/>
        </w:rPr>
        <w:t>年将</w:t>
      </w:r>
      <w:r>
        <w:rPr>
          <w:rFonts w:hint="eastAsia"/>
          <w:shd w:val="clear" w:color="auto" w:fill="FFFFFF"/>
        </w:rPr>
        <w:t>BIA</w:t>
      </w:r>
      <w:r>
        <w:rPr>
          <w:rFonts w:hint="eastAsia"/>
          <w:shd w:val="clear" w:color="auto" w:fill="FFFFFF"/>
        </w:rPr>
        <w:t>独立化并强调流行病学路径建模，同年启动社会视角试点以评估基因疗法等颠覆性技术的多维价值，</w:t>
      </w:r>
      <w:r>
        <w:rPr>
          <w:rFonts w:hint="eastAsia"/>
          <w:shd w:val="clear" w:color="auto" w:fill="FFFFFF"/>
        </w:rPr>
        <w:t>2025</w:t>
      </w:r>
      <w:r>
        <w:rPr>
          <w:rFonts w:hint="eastAsia"/>
          <w:shd w:val="clear" w:color="auto" w:fill="FFFFFF"/>
        </w:rPr>
        <w:t>年则针对替代终点验证提出统计学要求，确保模型预测的可靠性。</w:t>
      </w:r>
    </w:p>
    <w:p w14:paraId="072AD044" w14:textId="77777777" w:rsidR="00DF3040" w:rsidRDefault="007E4424" w:rsidP="00A24278">
      <w:pPr>
        <w:pStyle w:val="a9"/>
        <w:jc w:val="both"/>
      </w:pPr>
      <w:bookmarkStart w:id="19" w:name="_Toc19397"/>
      <w:r>
        <w:rPr>
          <w:rFonts w:hint="eastAsia"/>
        </w:rPr>
        <w:t>（二）加拿大药物经济学评价指南的特点</w:t>
      </w:r>
      <w:bookmarkEnd w:id="19"/>
    </w:p>
    <w:p w14:paraId="072AD045" w14:textId="77777777" w:rsidR="00DF3040" w:rsidRDefault="007E4424" w:rsidP="00A24278">
      <w:pPr>
        <w:pStyle w:val="a9"/>
        <w:ind w:firstLineChars="200" w:firstLine="420"/>
        <w:jc w:val="both"/>
        <w:rPr>
          <w:shd w:val="clear" w:color="auto" w:fill="FFFFFF"/>
        </w:rPr>
      </w:pPr>
      <w:r>
        <w:rPr>
          <w:rFonts w:hint="eastAsia"/>
          <w:shd w:val="clear" w:color="auto" w:fill="FFFFFF"/>
        </w:rPr>
        <w:t>加拿大药物经济学评价指南体系最显著的特点在于其严谨性、前瞻性与灵活性。</w:t>
      </w:r>
    </w:p>
    <w:p w14:paraId="072AD046" w14:textId="42D9F96E" w:rsidR="00DF3040" w:rsidRDefault="007E4424" w:rsidP="00A24278">
      <w:pPr>
        <w:pStyle w:val="a9"/>
        <w:ind w:firstLineChars="200" w:firstLine="420"/>
        <w:jc w:val="both"/>
        <w:rPr>
          <w:shd w:val="clear" w:color="auto" w:fill="FFFFFF"/>
        </w:rPr>
      </w:pPr>
      <w:r>
        <w:rPr>
          <w:rFonts w:hint="eastAsia"/>
          <w:shd w:val="clear" w:color="auto" w:fill="FFFFFF"/>
        </w:rPr>
        <w:t>首先，</w:t>
      </w:r>
      <w:r w:rsidR="00A36E94" w:rsidRPr="00A36E94">
        <w:rPr>
          <w:rFonts w:hint="eastAsia"/>
          <w:shd w:val="clear" w:color="auto" w:fill="FFFFFF"/>
          <w:lang w:eastAsia="zh"/>
        </w:rPr>
        <w:t>“参考案例”制度构成了整个方法学体系的基石，这一制度通过对关键分析要素进行明确而统一的规范，体现出加拿大药物经济学评价指南在方法学设计上的高度严谨性。指南要求所有提交的经济学评价报告必须首先提供一项完全符合标准化参数设定的基础分析，包括统一的分析视角、时间范围、贴现处理、成本与效用测量方法以及结果呈现方式等。通过对核心参数与分析结构进行制度化约束，该制度显著提高了不同时期、不同疾病领域研究结果之间的可比性，同时有效减少了研究者通过选择不同方法学设定而影响结果的空间，</w:t>
      </w:r>
      <w:r w:rsidR="00A36E94" w:rsidRPr="00A36E94">
        <w:rPr>
          <w:rFonts w:hint="eastAsia"/>
          <w:shd w:val="clear" w:color="auto" w:fill="FFFFFF"/>
          <w:lang w:eastAsia="zh"/>
        </w:rPr>
        <w:lastRenderedPageBreak/>
        <w:t>从而在制度层面防止厂商利用模型设定进行策略性调整，为决策者提供了更加稳定且可信的比较基础。</w:t>
      </w:r>
    </w:p>
    <w:p w14:paraId="072AD047" w14:textId="77777777" w:rsidR="00DF3040" w:rsidRDefault="007E4424" w:rsidP="00A24278">
      <w:pPr>
        <w:pStyle w:val="a9"/>
        <w:ind w:firstLineChars="200" w:firstLine="420"/>
        <w:jc w:val="both"/>
        <w:rPr>
          <w:shd w:val="clear" w:color="auto" w:fill="FFFFFF"/>
        </w:rPr>
      </w:pPr>
      <w:r>
        <w:rPr>
          <w:rFonts w:hint="eastAsia"/>
          <w:shd w:val="clear" w:color="auto" w:fill="FFFFFF"/>
        </w:rPr>
        <w:t>其次，指南在贴现率设定上表现出显著的前瞻性，第四版指南采用的</w:t>
      </w:r>
      <w:r>
        <w:rPr>
          <w:rFonts w:hint="eastAsia"/>
          <w:shd w:val="clear" w:color="auto" w:fill="FFFFFF"/>
        </w:rPr>
        <w:t>1.5%</w:t>
      </w:r>
      <w:r>
        <w:rPr>
          <w:rFonts w:hint="eastAsia"/>
          <w:shd w:val="clear" w:color="auto" w:fill="FFFFFF"/>
        </w:rPr>
        <w:t>贴现率在全球主要</w:t>
      </w:r>
      <w:r>
        <w:rPr>
          <w:rFonts w:hint="eastAsia"/>
          <w:shd w:val="clear" w:color="auto" w:fill="FFFFFF"/>
        </w:rPr>
        <w:t>HTA</w:t>
      </w:r>
      <w:r>
        <w:rPr>
          <w:rFonts w:hint="eastAsia"/>
          <w:shd w:val="clear" w:color="auto" w:fill="FFFFFF"/>
        </w:rPr>
        <w:t>机构中最低，这一设定基于政府长期实际借贷成本，使得对儿科药物、基因疗法和疫苗等具有长期获益的技术的评估更为公平，体现了强烈的代际公平考量。</w:t>
      </w:r>
    </w:p>
    <w:p w14:paraId="072AD048" w14:textId="77777777" w:rsidR="00DF3040" w:rsidRDefault="007E4424" w:rsidP="00A24278">
      <w:pPr>
        <w:pStyle w:val="a9"/>
        <w:ind w:firstLineChars="200" w:firstLine="420"/>
        <w:jc w:val="both"/>
        <w:rPr>
          <w:shd w:val="clear" w:color="auto" w:fill="FFFFFF"/>
        </w:rPr>
      </w:pPr>
      <w:r>
        <w:rPr>
          <w:rFonts w:hint="eastAsia"/>
          <w:shd w:val="clear" w:color="auto" w:fill="FFFFFF"/>
        </w:rPr>
        <w:t>最后，在分析视角选择上，加拿大指南展现出独特的务实精神与动态调整能力。从早期的理想化社会视角，到第四版确立支付方视角为核心，再到</w:t>
      </w:r>
      <w:r>
        <w:rPr>
          <w:rFonts w:hint="eastAsia"/>
          <w:shd w:val="clear" w:color="auto" w:fill="FFFFFF"/>
        </w:rPr>
        <w:t>2024</w:t>
      </w:r>
      <w:r>
        <w:rPr>
          <w:rFonts w:hint="eastAsia"/>
          <w:shd w:val="clear" w:color="auto" w:fill="FFFFFF"/>
        </w:rPr>
        <w:t>年针对颠覆性疗法重启社会视角试点，这种灵活策略确保评估既符合决策现实，又能捕捉特殊技术的全价值。此外，加拿大体系采用</w:t>
      </w:r>
      <w:r>
        <w:rPr>
          <w:rFonts w:hint="eastAsia"/>
          <w:shd w:val="clear" w:color="auto" w:fill="FFFFFF"/>
          <w:lang w:eastAsia="zh"/>
        </w:rPr>
        <w:t>“</w:t>
      </w:r>
      <w:r>
        <w:rPr>
          <w:rFonts w:hint="eastAsia"/>
          <w:shd w:val="clear" w:color="auto" w:fill="FFFFFF"/>
        </w:rPr>
        <w:t>隐性阈值</w:t>
      </w:r>
      <w:r>
        <w:rPr>
          <w:rFonts w:hint="eastAsia"/>
          <w:shd w:val="clear" w:color="auto" w:fill="FFFFFF"/>
          <w:lang w:eastAsia="zh"/>
        </w:rPr>
        <w:t>”</w:t>
      </w:r>
      <w:r>
        <w:rPr>
          <w:rFonts w:hint="eastAsia"/>
          <w:shd w:val="clear" w:color="auto" w:fill="FFFFFF"/>
        </w:rPr>
        <w:t>策略，虽未公开明确成本效果阈值，但实证研究表明其隐含参照约</w:t>
      </w:r>
      <w:r>
        <w:rPr>
          <w:rFonts w:hint="eastAsia"/>
          <w:shd w:val="clear" w:color="auto" w:fill="FFFFFF"/>
        </w:rPr>
        <w:t>5</w:t>
      </w:r>
      <w:r>
        <w:rPr>
          <w:rFonts w:hint="eastAsia"/>
          <w:shd w:val="clear" w:color="auto" w:fill="FFFFFF"/>
        </w:rPr>
        <w:t>万加元</w:t>
      </w:r>
      <w:r>
        <w:rPr>
          <w:rFonts w:hint="eastAsia"/>
          <w:shd w:val="clear" w:color="auto" w:fill="FFFFFF"/>
        </w:rPr>
        <w:t>/QALY</w:t>
      </w:r>
      <w:r>
        <w:rPr>
          <w:rFonts w:hint="eastAsia"/>
          <w:shd w:val="clear" w:color="auto" w:fill="FFFFFF"/>
        </w:rPr>
        <w:t>的标准，这种</w:t>
      </w:r>
      <w:r>
        <w:rPr>
          <w:rFonts w:hint="eastAsia"/>
          <w:shd w:val="clear" w:color="auto" w:fill="FFFFFF"/>
          <w:lang w:eastAsia="zh"/>
        </w:rPr>
        <w:t>“</w:t>
      </w:r>
      <w:r>
        <w:rPr>
          <w:rFonts w:hint="eastAsia"/>
          <w:shd w:val="clear" w:color="auto" w:fill="FFFFFF"/>
        </w:rPr>
        <w:t>战略性模糊</w:t>
      </w:r>
      <w:r>
        <w:rPr>
          <w:rFonts w:hint="eastAsia"/>
          <w:shd w:val="clear" w:color="auto" w:fill="FFFFFF"/>
          <w:lang w:eastAsia="zh"/>
        </w:rPr>
        <w:t>”</w:t>
      </w:r>
      <w:r>
        <w:rPr>
          <w:rFonts w:hint="eastAsia"/>
          <w:shd w:val="clear" w:color="auto" w:fill="FFFFFF"/>
        </w:rPr>
        <w:t>为价格谈判提供了更大灵活性。指南还通过模块化更新机制保持时效性，针对精准医疗、细胞基因治疗等新技术及时发布专项指导，如伴随诊断评估指南和替代终点验证要求，确保方法学与科技发展同步。这些特点共同构成了加拿大药物经济学评价体系既坚持学术严谨又注重决策实用的独特风格，使其在全球</w:t>
      </w:r>
      <w:r>
        <w:rPr>
          <w:rFonts w:hint="eastAsia"/>
          <w:shd w:val="clear" w:color="auto" w:fill="FFFFFF"/>
        </w:rPr>
        <w:t>HTA</w:t>
      </w:r>
      <w:r>
        <w:rPr>
          <w:rFonts w:hint="eastAsia"/>
          <w:shd w:val="clear" w:color="auto" w:fill="FFFFFF"/>
        </w:rPr>
        <w:t>领域具有重要影响力。</w:t>
      </w:r>
    </w:p>
    <w:p w14:paraId="072AD049" w14:textId="77777777" w:rsidR="00DF3040" w:rsidRDefault="007E4424" w:rsidP="00A24278">
      <w:pPr>
        <w:pStyle w:val="ab"/>
        <w:widowControl/>
        <w:shd w:val="clear" w:color="auto" w:fill="FFFFFF"/>
        <w:spacing w:line="360" w:lineRule="auto"/>
        <w:ind w:firstLineChars="200" w:firstLine="602"/>
        <w:outlineLvl w:val="0"/>
        <w:rPr>
          <w:rFonts w:ascii="Times New Roman" w:eastAsia="黑体" w:hAnsi="Times New Roman" w:cs="Times New Roman"/>
          <w:b/>
          <w:bCs/>
          <w:color w:val="0F1115"/>
          <w:sz w:val="30"/>
          <w:szCs w:val="30"/>
          <w:shd w:val="clear" w:color="auto" w:fill="FFFFFF"/>
        </w:rPr>
      </w:pPr>
      <w:bookmarkStart w:id="20" w:name="_Toc10278"/>
      <w:r>
        <w:rPr>
          <w:rFonts w:ascii="Times New Roman" w:eastAsia="黑体" w:hAnsi="Times New Roman" w:cs="Times New Roman" w:hint="eastAsia"/>
          <w:b/>
          <w:bCs/>
          <w:color w:val="0F1115"/>
          <w:sz w:val="30"/>
          <w:szCs w:val="30"/>
          <w:shd w:val="clear" w:color="auto" w:fill="FFFFFF"/>
          <w:lang w:eastAsia="zh"/>
        </w:rPr>
        <w:t>三</w:t>
      </w:r>
      <w:r>
        <w:rPr>
          <w:rFonts w:ascii="Times New Roman" w:eastAsia="黑体" w:hAnsi="Times New Roman" w:cs="Times New Roman" w:hint="eastAsia"/>
          <w:b/>
          <w:bCs/>
          <w:color w:val="0F1115"/>
          <w:sz w:val="30"/>
          <w:szCs w:val="30"/>
          <w:shd w:val="clear" w:color="auto" w:fill="FFFFFF"/>
        </w:rPr>
        <w:t>、澳大利亚药物经济学评价指南</w:t>
      </w:r>
      <w:bookmarkEnd w:id="20"/>
    </w:p>
    <w:p w14:paraId="072AD04A" w14:textId="77777777" w:rsidR="00DF3040" w:rsidRDefault="007E4424" w:rsidP="00A24278">
      <w:pPr>
        <w:pStyle w:val="a9"/>
        <w:jc w:val="both"/>
      </w:pPr>
      <w:bookmarkStart w:id="21" w:name="_Toc12817"/>
      <w:r>
        <w:rPr>
          <w:rFonts w:hint="eastAsia"/>
        </w:rPr>
        <w:t>（一）澳大利亚药物经济学评价指南的发展</w:t>
      </w:r>
      <w:bookmarkEnd w:id="21"/>
    </w:p>
    <w:p w14:paraId="5DA66A1E" w14:textId="42E6CC4D" w:rsidR="00B0714B" w:rsidRDefault="007E4424" w:rsidP="00A24278">
      <w:pPr>
        <w:pStyle w:val="a9"/>
        <w:ind w:firstLineChars="200" w:firstLine="420"/>
        <w:jc w:val="both"/>
        <w:rPr>
          <w:shd w:val="clear" w:color="auto" w:fill="FFFFFF"/>
        </w:rPr>
      </w:pPr>
      <w:r>
        <w:rPr>
          <w:rFonts w:hint="eastAsia"/>
          <w:shd w:val="clear" w:color="auto" w:fill="FFFFFF"/>
        </w:rPr>
        <w:t>澳大利亚是全球首个将药物经济学评价作为药品报销强制性要求的国家。</w:t>
      </w:r>
      <w:r>
        <w:rPr>
          <w:rFonts w:hint="eastAsia"/>
          <w:shd w:val="clear" w:color="auto" w:fill="FFFFFF"/>
        </w:rPr>
        <w:t>1990</w:t>
      </w:r>
      <w:r>
        <w:rPr>
          <w:rFonts w:hint="eastAsia"/>
          <w:shd w:val="clear" w:color="auto" w:fill="FFFFFF"/>
        </w:rPr>
        <w:t>年</w:t>
      </w:r>
      <w:r>
        <w:rPr>
          <w:rFonts w:hint="eastAsia"/>
          <w:shd w:val="clear" w:color="auto" w:fill="FFFFFF"/>
        </w:rPr>
        <w:t>8</w:t>
      </w:r>
      <w:r>
        <w:rPr>
          <w:rFonts w:hint="eastAsia"/>
          <w:shd w:val="clear" w:color="auto" w:fill="FFFFFF"/>
        </w:rPr>
        <w:t>月，澳大利亚联邦卫生部发布了《药物福利咨询委员会提交书准备指南》的草案，标志着药物经济学评价从理论探索进入政策实践阶段。该草案初步提出了经济学评价的基本框架，并设定了一系列方法学参数，其中最具代表性的是将贴现率确定为</w:t>
      </w:r>
      <w:r>
        <w:rPr>
          <w:rFonts w:hint="eastAsia"/>
          <w:shd w:val="clear" w:color="auto" w:fill="FFFFFF"/>
        </w:rPr>
        <w:t>5%</w:t>
      </w:r>
      <w:r>
        <w:rPr>
          <w:rFonts w:hint="eastAsia"/>
          <w:shd w:val="clear" w:color="auto" w:fill="FFFFFF"/>
        </w:rPr>
        <w:t>。经过两年试运行后，</w:t>
      </w:r>
      <w:r>
        <w:rPr>
          <w:rFonts w:hint="eastAsia"/>
          <w:shd w:val="clear" w:color="auto" w:fill="FFFFFF"/>
        </w:rPr>
        <w:t>1992</w:t>
      </w:r>
      <w:r>
        <w:rPr>
          <w:rFonts w:hint="eastAsia"/>
          <w:shd w:val="clear" w:color="auto" w:fill="FFFFFF"/>
        </w:rPr>
        <w:t>年</w:t>
      </w:r>
      <w:r>
        <w:rPr>
          <w:rFonts w:hint="eastAsia"/>
          <w:shd w:val="clear" w:color="auto" w:fill="FFFFFF"/>
        </w:rPr>
        <w:t>8</w:t>
      </w:r>
      <w:r>
        <w:rPr>
          <w:rFonts w:hint="eastAsia"/>
          <w:shd w:val="clear" w:color="auto" w:fill="FFFFFF"/>
        </w:rPr>
        <w:t>月正式推出第二版指南，进一步明确了参照药的选择标准，并于</w:t>
      </w:r>
      <w:r>
        <w:rPr>
          <w:rFonts w:hint="eastAsia"/>
          <w:shd w:val="clear" w:color="auto" w:fill="FFFFFF"/>
        </w:rPr>
        <w:t>1993</w:t>
      </w:r>
      <w:r>
        <w:rPr>
          <w:rFonts w:hint="eastAsia"/>
          <w:shd w:val="clear" w:color="auto" w:fill="FFFFFF"/>
        </w:rPr>
        <w:t>年</w:t>
      </w:r>
      <w:r>
        <w:rPr>
          <w:rFonts w:hint="eastAsia"/>
          <w:shd w:val="clear" w:color="auto" w:fill="FFFFFF"/>
        </w:rPr>
        <w:t>1</w:t>
      </w:r>
      <w:r>
        <w:rPr>
          <w:rFonts w:hint="eastAsia"/>
          <w:shd w:val="clear" w:color="auto" w:fill="FFFFFF"/>
        </w:rPr>
        <w:t>月起强制实施，开创了全球强制性药物经济学评价的先河。</w:t>
      </w:r>
    </w:p>
    <w:p w14:paraId="072AD04D" w14:textId="204FB955" w:rsidR="00DF3040" w:rsidRDefault="007E4424" w:rsidP="00A24278">
      <w:pPr>
        <w:pStyle w:val="a9"/>
        <w:ind w:firstLineChars="200" w:firstLine="420"/>
        <w:jc w:val="both"/>
        <w:rPr>
          <w:shd w:val="clear" w:color="auto" w:fill="FFFFFF"/>
        </w:rPr>
      </w:pPr>
      <w:r>
        <w:rPr>
          <w:rFonts w:hint="eastAsia"/>
          <w:shd w:val="clear" w:color="auto" w:fill="FFFFFF"/>
        </w:rPr>
        <w:t>1995</w:t>
      </w:r>
      <w:r>
        <w:rPr>
          <w:rFonts w:hint="eastAsia"/>
          <w:shd w:val="clear" w:color="auto" w:fill="FFFFFF"/>
        </w:rPr>
        <w:t>年</w:t>
      </w:r>
      <w:r>
        <w:rPr>
          <w:rFonts w:hint="eastAsia"/>
          <w:shd w:val="clear" w:color="auto" w:fill="FFFFFF"/>
        </w:rPr>
        <w:t>11</w:t>
      </w:r>
      <w:r>
        <w:rPr>
          <w:rFonts w:hint="eastAsia"/>
          <w:shd w:val="clear" w:color="auto" w:fill="FFFFFF"/>
        </w:rPr>
        <w:t>月发布的第三版指南进行了实质性修订，明确拒绝成本效益分析，转而确立成本效用分析作为主要评价方法，强调以质量调整生命年作为健康产出的衡量指标，同时配套发布《资源项目及其相关成本手册》，以统一医疗资源成本计算标准。</w:t>
      </w:r>
    </w:p>
    <w:p w14:paraId="54C0D1FF" w14:textId="62AEBC53" w:rsidR="00B0714B" w:rsidRDefault="007E4424" w:rsidP="00A24278">
      <w:pPr>
        <w:pStyle w:val="a9"/>
        <w:ind w:firstLineChars="200" w:firstLine="420"/>
        <w:jc w:val="both"/>
        <w:rPr>
          <w:shd w:val="clear" w:color="auto" w:fill="FFFFFF"/>
        </w:rPr>
      </w:pPr>
      <w:r>
        <w:rPr>
          <w:rFonts w:hint="eastAsia"/>
          <w:shd w:val="clear" w:color="auto" w:fill="FFFFFF"/>
        </w:rPr>
        <w:t>进入</w:t>
      </w:r>
      <w:r>
        <w:rPr>
          <w:rFonts w:hint="eastAsia"/>
          <w:shd w:val="clear" w:color="auto" w:fill="FFFFFF"/>
        </w:rPr>
        <w:t>21</w:t>
      </w:r>
      <w:r>
        <w:rPr>
          <w:rFonts w:hint="eastAsia"/>
          <w:shd w:val="clear" w:color="auto" w:fill="FFFFFF"/>
        </w:rPr>
        <w:t>世纪后，随着医药技术发展和《澳美自由贸易协定》对透明度要求的提高，</w:t>
      </w:r>
      <w:r>
        <w:rPr>
          <w:rFonts w:hint="eastAsia"/>
          <w:shd w:val="clear" w:color="auto" w:fill="FFFFFF"/>
        </w:rPr>
        <w:t>2006</w:t>
      </w:r>
      <w:r>
        <w:rPr>
          <w:rFonts w:hint="eastAsia"/>
          <w:shd w:val="clear" w:color="auto" w:fill="FFFFFF"/>
        </w:rPr>
        <w:t>年</w:t>
      </w:r>
      <w:r>
        <w:rPr>
          <w:rFonts w:hint="eastAsia"/>
          <w:shd w:val="clear" w:color="auto" w:fill="FFFFFF"/>
        </w:rPr>
        <w:t>11</w:t>
      </w:r>
      <w:r>
        <w:rPr>
          <w:rFonts w:hint="eastAsia"/>
          <w:shd w:val="clear" w:color="auto" w:fill="FFFFFF"/>
        </w:rPr>
        <w:t>月发布的第四版指南对文本结构进行了全面重组与扩展，增加了对疫苗等特殊产品的评价指导，并强调证据推导的逻辑连贯性。此后至</w:t>
      </w:r>
      <w:r>
        <w:rPr>
          <w:rFonts w:hint="eastAsia"/>
          <w:shd w:val="clear" w:color="auto" w:fill="FFFFFF"/>
        </w:rPr>
        <w:t>2016</w:t>
      </w:r>
      <w:r>
        <w:rPr>
          <w:rFonts w:hint="eastAsia"/>
          <w:shd w:val="clear" w:color="auto" w:fill="FFFFFF"/>
        </w:rPr>
        <w:t>年间，指南历经</w:t>
      </w:r>
      <w:r>
        <w:rPr>
          <w:rFonts w:hint="eastAsia"/>
          <w:shd w:val="clear" w:color="auto" w:fill="FFFFFF"/>
        </w:rPr>
        <w:t>4.1</w:t>
      </w:r>
      <w:r>
        <w:rPr>
          <w:rFonts w:hint="eastAsia"/>
          <w:shd w:val="clear" w:color="auto" w:fill="FFFFFF"/>
        </w:rPr>
        <w:t>至</w:t>
      </w:r>
      <w:r>
        <w:rPr>
          <w:rFonts w:hint="eastAsia"/>
          <w:shd w:val="clear" w:color="auto" w:fill="FFFFFF"/>
        </w:rPr>
        <w:t>4.5</w:t>
      </w:r>
      <w:r>
        <w:rPr>
          <w:rFonts w:hint="eastAsia"/>
          <w:shd w:val="clear" w:color="auto" w:fill="FFFFFF"/>
        </w:rPr>
        <w:t>版本的迭代更新，主要侧重于数字化与流程优化，例如引入标准化</w:t>
      </w:r>
      <w:r>
        <w:rPr>
          <w:rFonts w:hint="eastAsia"/>
          <w:shd w:val="clear" w:color="auto" w:fill="FFFFFF"/>
        </w:rPr>
        <w:t>Excel</w:t>
      </w:r>
      <w:r>
        <w:rPr>
          <w:rFonts w:hint="eastAsia"/>
          <w:shd w:val="clear" w:color="auto" w:fill="FFFFFF"/>
        </w:rPr>
        <w:t>模板和全面推行电子化提</w:t>
      </w:r>
      <w:r>
        <w:rPr>
          <w:rFonts w:hint="eastAsia"/>
          <w:shd w:val="clear" w:color="auto" w:fill="FFFFFF"/>
        </w:rPr>
        <w:lastRenderedPageBreak/>
        <w:t>交。</w:t>
      </w:r>
      <w:r w:rsidR="008D5AD0">
        <w:rPr>
          <w:rFonts w:hint="eastAsia"/>
          <w:shd w:val="clear" w:color="auto" w:fill="FFFFFF"/>
        </w:rPr>
        <w:t xml:space="preserve"> </w:t>
      </w:r>
      <w:r>
        <w:rPr>
          <w:rFonts w:hint="eastAsia"/>
          <w:shd w:val="clear" w:color="auto" w:fill="FFFFFF"/>
        </w:rPr>
        <w:t>2016</w:t>
      </w:r>
      <w:r>
        <w:rPr>
          <w:rFonts w:hint="eastAsia"/>
          <w:shd w:val="clear" w:color="auto" w:fill="FFFFFF"/>
        </w:rPr>
        <w:t>年</w:t>
      </w:r>
      <w:r>
        <w:rPr>
          <w:rFonts w:hint="eastAsia"/>
          <w:shd w:val="clear" w:color="auto" w:fill="FFFFFF"/>
        </w:rPr>
        <w:t>9</w:t>
      </w:r>
      <w:r>
        <w:rPr>
          <w:rFonts w:hint="eastAsia"/>
          <w:shd w:val="clear" w:color="auto" w:fill="FFFFFF"/>
        </w:rPr>
        <w:t>月推出的第五版指南是方法学演进的重要转折点，其结构简化为五大模块（背景、临床评估、经济学评估、药品使用实践及附加信息），并明确提出“实用主义”导向，允许在合理前提下灵活采用非标准方法。</w:t>
      </w:r>
    </w:p>
    <w:p w14:paraId="072AD050" w14:textId="77777777" w:rsidR="00DF3040" w:rsidRDefault="007E4424" w:rsidP="00A24278">
      <w:pPr>
        <w:pStyle w:val="a9"/>
        <w:ind w:firstLineChars="200" w:firstLine="420"/>
        <w:jc w:val="both"/>
        <w:rPr>
          <w:shd w:val="clear" w:color="auto" w:fill="FFFFFF"/>
        </w:rPr>
      </w:pPr>
      <w:r>
        <w:rPr>
          <w:rFonts w:hint="eastAsia"/>
          <w:shd w:val="clear" w:color="auto" w:fill="FFFFFF"/>
        </w:rPr>
        <w:t>2024</w:t>
      </w:r>
      <w:r>
        <w:rPr>
          <w:rFonts w:hint="eastAsia"/>
          <w:shd w:val="clear" w:color="auto" w:fill="FFFFFF"/>
        </w:rPr>
        <w:t>年</w:t>
      </w:r>
      <w:r>
        <w:rPr>
          <w:rFonts w:hint="eastAsia"/>
          <w:shd w:val="clear" w:color="auto" w:fill="FFFFFF"/>
        </w:rPr>
        <w:t>9</w:t>
      </w:r>
      <w:r>
        <w:rPr>
          <w:rFonts w:hint="eastAsia"/>
          <w:shd w:val="clear" w:color="auto" w:fill="FFFFFF"/>
        </w:rPr>
        <w:t>月，基于《卫生技术评估政策与方法审查》的最终报告，澳大利亚启动了指南的深度改革，计划推行贴现率双轨制、优化参照药选择机制，并引入原住民健康公平性考量，标志着指南向更具包容性和动态调整的方向演进。</w:t>
      </w:r>
    </w:p>
    <w:p w14:paraId="072AD051" w14:textId="77777777" w:rsidR="00DF3040" w:rsidRDefault="007E4424" w:rsidP="00A24278">
      <w:pPr>
        <w:pStyle w:val="a9"/>
        <w:jc w:val="both"/>
      </w:pPr>
      <w:bookmarkStart w:id="22" w:name="_Toc13865"/>
      <w:r>
        <w:rPr>
          <w:rFonts w:hint="eastAsia"/>
        </w:rPr>
        <w:t>（二）澳大利亚药物经济学评价指南的特点</w:t>
      </w:r>
      <w:bookmarkEnd w:id="22"/>
    </w:p>
    <w:p w14:paraId="072AD052" w14:textId="4BA255EE" w:rsidR="00DF3040" w:rsidRDefault="006C476C" w:rsidP="00A24278">
      <w:pPr>
        <w:pStyle w:val="a9"/>
        <w:ind w:firstLineChars="200" w:firstLine="420"/>
        <w:jc w:val="both"/>
        <w:rPr>
          <w:shd w:val="clear" w:color="auto" w:fill="FFFFFF"/>
        </w:rPr>
      </w:pPr>
      <w:r w:rsidRPr="006C476C">
        <w:rPr>
          <w:rFonts w:hint="eastAsia"/>
          <w:shd w:val="clear" w:color="auto" w:fill="FFFFFF"/>
        </w:rPr>
        <w:t>澳大利亚药物经济学评价指南在长期实践中形成了一套具有鲜明特色的方法学框架，其核心在于要求所有经济学评价均基于与现有治疗方案的比较，并通过增量成本效果分析评估拟议药物相对于替代治疗的成本与健康收益差异，从而为公共资金在有限医疗资源约束下的合理配置提供决策依据。同时，指南通过明确比较对象、参数设定和分析方法等具体技术要求，以确保公共医疗资金使用的效率与透明性。</w:t>
      </w:r>
    </w:p>
    <w:p w14:paraId="072AD053" w14:textId="77777777" w:rsidR="00DF3040" w:rsidRDefault="007E4424" w:rsidP="00A24278">
      <w:pPr>
        <w:pStyle w:val="a9"/>
        <w:ind w:firstLineChars="200" w:firstLine="420"/>
        <w:jc w:val="both"/>
        <w:rPr>
          <w:shd w:val="clear" w:color="auto" w:fill="FFFFFF"/>
        </w:rPr>
      </w:pPr>
      <w:r>
        <w:rPr>
          <w:rFonts w:hint="eastAsia"/>
          <w:shd w:val="clear" w:color="auto" w:fill="FFFFFF"/>
        </w:rPr>
        <w:t>首先，在贴现率方面，指南自</w:t>
      </w:r>
      <w:r>
        <w:rPr>
          <w:rFonts w:hint="eastAsia"/>
          <w:shd w:val="clear" w:color="auto" w:fill="FFFFFF"/>
        </w:rPr>
        <w:t>1990</w:t>
      </w:r>
      <w:r>
        <w:rPr>
          <w:rFonts w:hint="eastAsia"/>
          <w:shd w:val="clear" w:color="auto" w:fill="FFFFFF"/>
        </w:rPr>
        <w:t>年起长期坚持对成本和健康产出均采用</w:t>
      </w:r>
      <w:r>
        <w:rPr>
          <w:rFonts w:hint="eastAsia"/>
          <w:shd w:val="clear" w:color="auto" w:fill="FFFFFF"/>
        </w:rPr>
        <w:t>5%</w:t>
      </w:r>
      <w:r>
        <w:rPr>
          <w:rFonts w:hint="eastAsia"/>
          <w:shd w:val="clear" w:color="auto" w:fill="FFFFFF"/>
        </w:rPr>
        <w:t>的年贴现率，这一参数高于国际主流水平（如英国的</w:t>
      </w:r>
      <w:r>
        <w:rPr>
          <w:rFonts w:hint="eastAsia"/>
          <w:shd w:val="clear" w:color="auto" w:fill="FFFFFF"/>
        </w:rPr>
        <w:t>3.5%</w:t>
      </w:r>
      <w:r>
        <w:rPr>
          <w:rFonts w:hint="eastAsia"/>
          <w:shd w:val="clear" w:color="auto" w:fill="FFFFFF"/>
        </w:rPr>
        <w:t>），虽体现了对社会时间偏好的保守估计，但也被批评系统性低估了预防性疗法和长期获益药物的价值。直至</w:t>
      </w:r>
      <w:r>
        <w:rPr>
          <w:rFonts w:hint="eastAsia"/>
          <w:shd w:val="clear" w:color="auto" w:fill="FFFFFF"/>
        </w:rPr>
        <w:t>2024</w:t>
      </w:r>
      <w:r>
        <w:rPr>
          <w:rFonts w:hint="eastAsia"/>
          <w:shd w:val="clear" w:color="auto" w:fill="FFFFFF"/>
        </w:rPr>
        <w:t>年改革建议将其调整为</w:t>
      </w:r>
      <w:r>
        <w:rPr>
          <w:rFonts w:hint="eastAsia"/>
          <w:shd w:val="clear" w:color="auto" w:fill="FFFFFF"/>
        </w:rPr>
        <w:t>3.5%</w:t>
      </w:r>
      <w:r>
        <w:rPr>
          <w:rFonts w:hint="eastAsia"/>
          <w:shd w:val="clear" w:color="auto" w:fill="FFFFFF"/>
        </w:rPr>
        <w:t>（基准）与</w:t>
      </w:r>
      <w:r>
        <w:rPr>
          <w:rFonts w:hint="eastAsia"/>
          <w:shd w:val="clear" w:color="auto" w:fill="FFFFFF"/>
        </w:rPr>
        <w:t>1.5%</w:t>
      </w:r>
      <w:r>
        <w:rPr>
          <w:rFonts w:hint="eastAsia"/>
          <w:shd w:val="clear" w:color="auto" w:fill="FFFFFF"/>
        </w:rPr>
        <w:t>（长期获益）的双轨制，以更公平地评价创新药。</w:t>
      </w:r>
    </w:p>
    <w:p w14:paraId="072AD054" w14:textId="77777777" w:rsidR="00DF3040" w:rsidRDefault="007E4424" w:rsidP="00A24278">
      <w:pPr>
        <w:pStyle w:val="a9"/>
        <w:ind w:firstLineChars="200" w:firstLine="420"/>
        <w:jc w:val="both"/>
        <w:rPr>
          <w:shd w:val="clear" w:color="auto" w:fill="FFFFFF"/>
        </w:rPr>
      </w:pPr>
      <w:r>
        <w:rPr>
          <w:rFonts w:hint="eastAsia"/>
          <w:shd w:val="clear" w:color="auto" w:fill="FFFFFF"/>
        </w:rPr>
        <w:t>其次，在参照药选择上，指南严格遵循“最低成本的参照药”规则，要求新药与临床中最常用且成本最低的现有疗法对比，虽有效控制支出，却可能抑制创新药的定价空间。</w:t>
      </w:r>
      <w:r>
        <w:rPr>
          <w:rFonts w:hint="eastAsia"/>
          <w:shd w:val="clear" w:color="auto" w:fill="FFFFFF"/>
        </w:rPr>
        <w:t>2024</w:t>
      </w:r>
      <w:r>
        <w:rPr>
          <w:rFonts w:hint="eastAsia"/>
          <w:shd w:val="clear" w:color="auto" w:fill="FFFFFF"/>
        </w:rPr>
        <w:t>年改革建议赋予该规则更多灵活性，以更好体现创新价值。</w:t>
      </w:r>
    </w:p>
    <w:p w14:paraId="072AD055" w14:textId="77777777" w:rsidR="00DF3040" w:rsidRDefault="007E4424" w:rsidP="00A24278">
      <w:pPr>
        <w:pStyle w:val="a9"/>
        <w:ind w:firstLineChars="200" w:firstLine="420"/>
        <w:jc w:val="both"/>
        <w:rPr>
          <w:shd w:val="clear" w:color="auto" w:fill="FFFFFF"/>
        </w:rPr>
      </w:pPr>
      <w:r>
        <w:rPr>
          <w:rFonts w:hint="eastAsia"/>
          <w:shd w:val="clear" w:color="auto" w:fill="FFFFFF"/>
        </w:rPr>
        <w:t>此外，指南坚持采用医疗卫生系统视角作为基本分析框架，排除生产力损失等社会性收益，此举虽保障了评估的规范性，但可能削弱对具有广泛社会效益药物的支持。为弥补标准方法的局限性，指南还引入了一系列特殊机制，例如管理准入协议通过风险共担方式应对证据不确定性，救援规则为罕见病或绝症药物提供伦理豁免通道，以及平行审评机制缩短药品上市与报销之间的时间差。值得注意的是，指南始终采用隐性的成本效果阈值（通常低于</w:t>
      </w:r>
      <w:r>
        <w:rPr>
          <w:rFonts w:hint="eastAsia"/>
          <w:shd w:val="clear" w:color="auto" w:fill="FFFFFF"/>
        </w:rPr>
        <w:t>5</w:t>
      </w:r>
      <w:r>
        <w:rPr>
          <w:rFonts w:hint="eastAsia"/>
          <w:shd w:val="clear" w:color="auto" w:fill="FFFFFF"/>
        </w:rPr>
        <w:t>万澳元</w:t>
      </w:r>
      <w:r>
        <w:rPr>
          <w:rFonts w:hint="eastAsia"/>
          <w:shd w:val="clear" w:color="auto" w:fill="FFFFFF"/>
        </w:rPr>
        <w:t>/QALY</w:t>
      </w:r>
      <w:r>
        <w:rPr>
          <w:rFonts w:hint="eastAsia"/>
          <w:shd w:val="clear" w:color="auto" w:fill="FFFFFF"/>
        </w:rPr>
        <w:t>），赋予评估机构较大的自由裁量权，而非如英国</w:t>
      </w:r>
      <w:r>
        <w:rPr>
          <w:rFonts w:hint="eastAsia"/>
          <w:shd w:val="clear" w:color="auto" w:fill="FFFFFF"/>
        </w:rPr>
        <w:t>NICE</w:t>
      </w:r>
      <w:r>
        <w:rPr>
          <w:rFonts w:hint="eastAsia"/>
          <w:shd w:val="clear" w:color="auto" w:fill="FFFFFF"/>
        </w:rPr>
        <w:t>设定明确数值。总体而言，澳大利亚指南的特点体现在其参数设置的稳定性、规则执行的严格性以及机制设计的实用性，并在近年改革中逐步向公平性、灵活性与动态化方向转型，为全球药物经济学评价体系的发展提供了重要参考。</w:t>
      </w:r>
    </w:p>
    <w:p w14:paraId="072AD056" w14:textId="77777777" w:rsidR="00DF3040" w:rsidRDefault="007E4424" w:rsidP="00A24278">
      <w:pPr>
        <w:pStyle w:val="ab"/>
        <w:widowControl/>
        <w:shd w:val="clear" w:color="auto" w:fill="FFFFFF"/>
        <w:spacing w:line="360" w:lineRule="auto"/>
        <w:ind w:firstLineChars="200" w:firstLine="602"/>
        <w:outlineLvl w:val="0"/>
        <w:rPr>
          <w:rFonts w:ascii="Times New Roman" w:eastAsia="黑体" w:hAnsi="Times New Roman" w:cs="Times New Roman"/>
          <w:b/>
          <w:bCs/>
          <w:color w:val="0F1115"/>
          <w:sz w:val="30"/>
          <w:szCs w:val="30"/>
          <w:shd w:val="clear" w:color="auto" w:fill="FFFFFF"/>
          <w:lang w:eastAsia="zh"/>
        </w:rPr>
      </w:pPr>
      <w:bookmarkStart w:id="23" w:name="_Toc3431"/>
      <w:r>
        <w:rPr>
          <w:rFonts w:ascii="Times New Roman" w:eastAsia="黑体" w:hAnsi="Times New Roman" w:cs="Times New Roman" w:hint="eastAsia"/>
          <w:b/>
          <w:bCs/>
          <w:color w:val="0F1115"/>
          <w:sz w:val="30"/>
          <w:szCs w:val="30"/>
          <w:shd w:val="clear" w:color="auto" w:fill="FFFFFF"/>
        </w:rPr>
        <w:t>四</w:t>
      </w:r>
      <w:r>
        <w:rPr>
          <w:rFonts w:ascii="Times New Roman" w:eastAsia="黑体" w:hAnsi="Times New Roman" w:cs="Times New Roman" w:hint="eastAsia"/>
          <w:b/>
          <w:bCs/>
          <w:color w:val="0F1115"/>
          <w:sz w:val="30"/>
          <w:szCs w:val="30"/>
          <w:shd w:val="clear" w:color="auto" w:fill="FFFFFF"/>
          <w:lang w:eastAsia="zh"/>
        </w:rPr>
        <w:t>、泰国药物经济学评价指南</w:t>
      </w:r>
      <w:bookmarkEnd w:id="23"/>
    </w:p>
    <w:p w14:paraId="072AD057" w14:textId="77777777" w:rsidR="00DF3040" w:rsidRDefault="007E4424" w:rsidP="00A24278">
      <w:pPr>
        <w:ind w:firstLineChars="200" w:firstLine="560"/>
        <w:outlineLvl w:val="1"/>
        <w:rPr>
          <w:sz w:val="28"/>
          <w:szCs w:val="28"/>
        </w:rPr>
      </w:pPr>
      <w:bookmarkStart w:id="24" w:name="_Toc2166"/>
      <w:r>
        <w:rPr>
          <w:rFonts w:hint="eastAsia"/>
          <w:sz w:val="28"/>
          <w:szCs w:val="28"/>
        </w:rPr>
        <w:lastRenderedPageBreak/>
        <w:t>（一）泰国药物经济学评价指南的发展</w:t>
      </w:r>
      <w:bookmarkEnd w:id="24"/>
    </w:p>
    <w:p w14:paraId="7CB5FE6F" w14:textId="6FB8445F" w:rsidR="00DF68ED" w:rsidRDefault="007E4424" w:rsidP="00A24278">
      <w:pPr>
        <w:pStyle w:val="a9"/>
        <w:ind w:firstLineChars="200" w:firstLine="420"/>
        <w:jc w:val="both"/>
        <w:rPr>
          <w:shd w:val="clear" w:color="auto" w:fill="FFFFFF"/>
        </w:rPr>
      </w:pPr>
      <w:r>
        <w:rPr>
          <w:rFonts w:hint="eastAsia"/>
          <w:shd w:val="clear" w:color="auto" w:fill="FFFFFF"/>
        </w:rPr>
        <w:t>泰国药物经济学评价指南的发展与其中等收入国家身份和全民健康覆盖（</w:t>
      </w:r>
      <w:r>
        <w:rPr>
          <w:rFonts w:hint="eastAsia"/>
          <w:shd w:val="clear" w:color="auto" w:fill="FFFFFF"/>
        </w:rPr>
        <w:t>Universal Health Coverage, UHC</w:t>
      </w:r>
      <w:r>
        <w:rPr>
          <w:rFonts w:hint="eastAsia"/>
          <w:shd w:val="clear" w:color="auto" w:fill="FFFFFF"/>
        </w:rPr>
        <w:t>）体系的推进紧密相连。在</w:t>
      </w:r>
      <w:r>
        <w:rPr>
          <w:rFonts w:hint="eastAsia"/>
          <w:shd w:val="clear" w:color="auto" w:fill="FFFFFF"/>
        </w:rPr>
        <w:t>2002</w:t>
      </w:r>
      <w:r>
        <w:rPr>
          <w:rFonts w:hint="eastAsia"/>
          <w:shd w:val="clear" w:color="auto" w:fill="FFFFFF"/>
        </w:rPr>
        <w:t>年泰国确立覆盖约</w:t>
      </w:r>
      <w:r>
        <w:rPr>
          <w:rFonts w:hint="eastAsia"/>
          <w:shd w:val="clear" w:color="auto" w:fill="FFFFFF"/>
        </w:rPr>
        <w:t>75%</w:t>
      </w:r>
      <w:r>
        <w:rPr>
          <w:rFonts w:hint="eastAsia"/>
          <w:shd w:val="clear" w:color="auto" w:fill="FFFFFF"/>
        </w:rPr>
        <w:t>人口的全民覆盖计划（</w:t>
      </w:r>
      <w:r>
        <w:rPr>
          <w:rFonts w:hint="eastAsia"/>
          <w:shd w:val="clear" w:color="auto" w:fill="FFFFFF"/>
        </w:rPr>
        <w:t>Universal Coverage Scheme, UCS</w:t>
      </w:r>
      <w:r>
        <w:rPr>
          <w:rFonts w:hint="eastAsia"/>
          <w:shd w:val="clear" w:color="auto" w:fill="FFFFFF"/>
        </w:rPr>
        <w:t>，即“</w:t>
      </w:r>
      <w:r>
        <w:rPr>
          <w:rFonts w:hint="eastAsia"/>
          <w:shd w:val="clear" w:color="auto" w:fill="FFFFFF"/>
        </w:rPr>
        <w:t>30</w:t>
      </w:r>
      <w:r>
        <w:rPr>
          <w:rFonts w:hint="eastAsia"/>
          <w:shd w:val="clear" w:color="auto" w:fill="FFFFFF"/>
        </w:rPr>
        <w:t>泰铢计划”）后，如何在有限预算下科学配置医疗资源成为紧迫课题。</w:t>
      </w:r>
      <w:r>
        <w:rPr>
          <w:rFonts w:hint="eastAsia"/>
          <w:shd w:val="clear" w:color="auto" w:fill="FFFFFF"/>
        </w:rPr>
        <w:t>2007</w:t>
      </w:r>
      <w:r>
        <w:rPr>
          <w:rFonts w:hint="eastAsia"/>
          <w:shd w:val="clear" w:color="auto" w:fill="FFFFFF"/>
        </w:rPr>
        <w:t>年，隶属于泰国公共卫生部国际卫生政策项目的卫生干预与技术评估项目（</w:t>
      </w:r>
      <w:r>
        <w:rPr>
          <w:rFonts w:hint="eastAsia"/>
          <w:shd w:val="clear" w:color="auto" w:fill="FFFFFF"/>
        </w:rPr>
        <w:t>Health Intervention and Technology Assessment Program, HITAP</w:t>
      </w:r>
      <w:r>
        <w:rPr>
          <w:rFonts w:hint="eastAsia"/>
          <w:shd w:val="clear" w:color="auto" w:fill="FFFFFF"/>
        </w:rPr>
        <w:t>）成立，标志着泰国卫生技术评估体系建设的里程碑。在此之前，药物经济学研究处于零散探索阶段，虽自</w:t>
      </w:r>
      <w:r>
        <w:rPr>
          <w:rFonts w:hint="eastAsia"/>
          <w:shd w:val="clear" w:color="auto" w:fill="FFFFFF"/>
        </w:rPr>
        <w:t>20</w:t>
      </w:r>
      <w:r>
        <w:rPr>
          <w:rFonts w:hint="eastAsia"/>
          <w:shd w:val="clear" w:color="auto" w:fill="FFFFFF"/>
        </w:rPr>
        <w:t>世纪</w:t>
      </w:r>
      <w:r>
        <w:rPr>
          <w:rFonts w:hint="eastAsia"/>
          <w:shd w:val="clear" w:color="auto" w:fill="FFFFFF"/>
        </w:rPr>
        <w:t>80</w:t>
      </w:r>
      <w:r>
        <w:rPr>
          <w:rFonts w:hint="eastAsia"/>
          <w:shd w:val="clear" w:color="auto" w:fill="FFFFFF"/>
        </w:rPr>
        <w:t>年代便有学者尝试成本效果分析，且</w:t>
      </w:r>
      <w:r>
        <w:rPr>
          <w:rFonts w:hint="eastAsia"/>
          <w:shd w:val="clear" w:color="auto" w:fill="FFFFFF"/>
        </w:rPr>
        <w:t>2005</w:t>
      </w:r>
      <w:r>
        <w:rPr>
          <w:rFonts w:hint="eastAsia"/>
          <w:shd w:val="clear" w:color="auto" w:fill="FFFFFF"/>
        </w:rPr>
        <w:t>年国际药物经济学与结果研究学会（</w:t>
      </w:r>
      <w:r>
        <w:rPr>
          <w:rFonts w:hint="eastAsia"/>
          <w:shd w:val="clear" w:color="auto" w:fill="FFFFFF"/>
        </w:rPr>
        <w:t>International Society for Pharmacoeconomics and Outcomes Research, ISPOR</w:t>
      </w:r>
      <w:r>
        <w:rPr>
          <w:rFonts w:hint="eastAsia"/>
          <w:shd w:val="clear" w:color="auto" w:fill="FFFFFF"/>
        </w:rPr>
        <w:t>）泰国分会成立推动了学科共同体形成，但方法学混乱、标准不一严重制约了证据在国家基本药物目录（</w:t>
      </w:r>
      <w:r>
        <w:rPr>
          <w:rFonts w:hint="eastAsia"/>
          <w:shd w:val="clear" w:color="auto" w:fill="FFFFFF"/>
        </w:rPr>
        <w:t>National List of Essential Medicines, NLEM</w:t>
      </w:r>
      <w:r>
        <w:rPr>
          <w:rFonts w:hint="eastAsia"/>
          <w:shd w:val="clear" w:color="auto" w:fill="FFFFFF"/>
        </w:rPr>
        <w:t>）决策中的应用。</w:t>
      </w:r>
    </w:p>
    <w:p w14:paraId="4451984E" w14:textId="0B568D89" w:rsidR="00DF68ED" w:rsidRDefault="007E4424" w:rsidP="00A24278">
      <w:pPr>
        <w:pStyle w:val="a9"/>
        <w:ind w:firstLineChars="200" w:firstLine="420"/>
        <w:jc w:val="both"/>
        <w:rPr>
          <w:shd w:val="clear" w:color="auto" w:fill="FFFFFF"/>
        </w:rPr>
      </w:pPr>
      <w:r>
        <w:rPr>
          <w:rFonts w:hint="eastAsia"/>
          <w:shd w:val="clear" w:color="auto" w:fill="FFFFFF"/>
        </w:rPr>
        <w:t>在此背景下，</w:t>
      </w:r>
      <w:r>
        <w:rPr>
          <w:rFonts w:hint="eastAsia"/>
          <w:shd w:val="clear" w:color="auto" w:fill="FFFFFF"/>
        </w:rPr>
        <w:t>HITAP</w:t>
      </w:r>
      <w:r>
        <w:rPr>
          <w:rFonts w:hint="eastAsia"/>
          <w:shd w:val="clear" w:color="auto" w:fill="FFFFFF"/>
        </w:rPr>
        <w:t>于</w:t>
      </w:r>
      <w:r>
        <w:rPr>
          <w:rFonts w:hint="eastAsia"/>
          <w:shd w:val="clear" w:color="auto" w:fill="FFFFFF"/>
        </w:rPr>
        <w:t>2008</w:t>
      </w:r>
      <w:r>
        <w:rPr>
          <w:rFonts w:hint="eastAsia"/>
          <w:shd w:val="clear" w:color="auto" w:fill="FFFFFF"/>
        </w:rPr>
        <w:t>年发布了第一版《泰国卫生技术评估指南》，这是泰国首部标准化的经济学评价操作规范。该指南兼具教科书与行政标准双重属性，确立了全社会视角为基准分析视角，强调纳入直接医疗成本、直接非医疗成本及间接成本；推荐对成本和健康产出均采用</w:t>
      </w:r>
      <w:r>
        <w:rPr>
          <w:rFonts w:hint="eastAsia"/>
          <w:shd w:val="clear" w:color="auto" w:fill="FFFFFF"/>
        </w:rPr>
        <w:t>3%</w:t>
      </w:r>
      <w:r>
        <w:rPr>
          <w:rFonts w:hint="eastAsia"/>
          <w:shd w:val="clear" w:color="auto" w:fill="FFFFFF"/>
        </w:rPr>
        <w:t>的统一贴现率，并建议敏感性分析范围为</w:t>
      </w:r>
      <w:r>
        <w:rPr>
          <w:rFonts w:hint="eastAsia"/>
          <w:shd w:val="clear" w:color="auto" w:fill="FFFFFF"/>
        </w:rPr>
        <w:t>0%</w:t>
      </w:r>
      <w:r>
        <w:rPr>
          <w:rFonts w:hint="eastAsia"/>
          <w:shd w:val="clear" w:color="auto" w:fill="FFFFFF"/>
        </w:rPr>
        <w:t>至</w:t>
      </w:r>
      <w:r>
        <w:rPr>
          <w:rFonts w:hint="eastAsia"/>
          <w:shd w:val="clear" w:color="auto" w:fill="FFFFFF"/>
        </w:rPr>
        <w:t>6%</w:t>
      </w:r>
      <w:r>
        <w:rPr>
          <w:rFonts w:hint="eastAsia"/>
          <w:shd w:val="clear" w:color="auto" w:fill="FFFFFF"/>
        </w:rPr>
        <w:t>；同时明确以</w:t>
      </w:r>
      <w:r>
        <w:rPr>
          <w:rFonts w:hint="eastAsia"/>
          <w:shd w:val="clear" w:color="auto" w:fill="FFFFFF"/>
        </w:rPr>
        <w:t>QALY</w:t>
      </w:r>
      <w:r>
        <w:rPr>
          <w:rFonts w:hint="eastAsia"/>
          <w:shd w:val="clear" w:color="auto" w:fill="FFFFFF"/>
        </w:rPr>
        <w:t>为核心产出指标，推荐使用基于泰国本土人群偏好的</w:t>
      </w:r>
      <w:r>
        <w:rPr>
          <w:rFonts w:hint="eastAsia"/>
          <w:shd w:val="clear" w:color="auto" w:fill="FFFFFF"/>
        </w:rPr>
        <w:t>EQ-5D</w:t>
      </w:r>
      <w:r>
        <w:rPr>
          <w:rFonts w:hint="eastAsia"/>
          <w:shd w:val="clear" w:color="auto" w:fill="FFFFFF"/>
        </w:rPr>
        <w:t>量表测量健康效用值。然而，第一版指南在实践中暴露出缺乏预算影响分析指导、理论晦涩操作性不足、数据滞后等问题。</w:t>
      </w:r>
    </w:p>
    <w:p w14:paraId="064CC1E6" w14:textId="0408DAD5" w:rsidR="00DF68ED" w:rsidRDefault="007E4424" w:rsidP="00A24278">
      <w:pPr>
        <w:pStyle w:val="a9"/>
        <w:jc w:val="both"/>
        <w:rPr>
          <w:shd w:val="clear" w:color="auto" w:fill="FFFFFF"/>
        </w:rPr>
      </w:pPr>
      <w:r>
        <w:rPr>
          <w:rFonts w:hint="eastAsia"/>
          <w:shd w:val="clear" w:color="auto" w:fill="FFFFFF"/>
        </w:rPr>
        <w:t>为解决上述缺陷，</w:t>
      </w:r>
      <w:r>
        <w:rPr>
          <w:rFonts w:hint="eastAsia"/>
          <w:shd w:val="clear" w:color="auto" w:fill="FFFFFF"/>
        </w:rPr>
        <w:t>HITAP</w:t>
      </w:r>
      <w:r>
        <w:rPr>
          <w:rFonts w:hint="eastAsia"/>
          <w:shd w:val="clear" w:color="auto" w:fill="FFFFFF"/>
        </w:rPr>
        <w:t>在全面审查</w:t>
      </w:r>
      <w:r>
        <w:rPr>
          <w:rFonts w:hint="eastAsia"/>
          <w:shd w:val="clear" w:color="auto" w:fill="FFFFFF"/>
        </w:rPr>
        <w:t>2008</w:t>
      </w:r>
      <w:r>
        <w:rPr>
          <w:rFonts w:hint="eastAsia"/>
          <w:shd w:val="clear" w:color="auto" w:fill="FFFFFF"/>
        </w:rPr>
        <w:t>年至</w:t>
      </w:r>
      <w:r>
        <w:rPr>
          <w:rFonts w:hint="eastAsia"/>
          <w:shd w:val="clear" w:color="auto" w:fill="FFFFFF"/>
        </w:rPr>
        <w:t>2012</w:t>
      </w:r>
      <w:r>
        <w:rPr>
          <w:rFonts w:hint="eastAsia"/>
          <w:shd w:val="clear" w:color="auto" w:fill="FFFFFF"/>
        </w:rPr>
        <w:t>年间</w:t>
      </w:r>
      <w:r>
        <w:rPr>
          <w:rFonts w:hint="eastAsia"/>
          <w:shd w:val="clear" w:color="auto" w:fill="FFFFFF"/>
        </w:rPr>
        <w:t>89</w:t>
      </w:r>
      <w:r>
        <w:rPr>
          <w:rFonts w:hint="eastAsia"/>
          <w:shd w:val="clear" w:color="auto" w:fill="FFFFFF"/>
        </w:rPr>
        <w:t>项本土研究质量的基础上，于</w:t>
      </w:r>
      <w:r>
        <w:rPr>
          <w:rFonts w:hint="eastAsia"/>
          <w:shd w:val="clear" w:color="auto" w:fill="FFFFFF"/>
        </w:rPr>
        <w:t>2014</w:t>
      </w:r>
      <w:r>
        <w:rPr>
          <w:rFonts w:hint="eastAsia"/>
          <w:shd w:val="clear" w:color="auto" w:fill="FFFFFF"/>
        </w:rPr>
        <w:t>年发布了第二版指南。此次修订实现了从理论到行政强制的跃升：强制性引入</w:t>
      </w:r>
      <w:r>
        <w:rPr>
          <w:rFonts w:hint="eastAsia"/>
          <w:shd w:val="clear" w:color="auto" w:fill="FFFFFF"/>
        </w:rPr>
        <w:t>BIA</w:t>
      </w:r>
      <w:r>
        <w:rPr>
          <w:rFonts w:hint="eastAsia"/>
          <w:shd w:val="clear" w:color="auto" w:fill="FFFFFF"/>
        </w:rPr>
        <w:t>，要求从支付方视角估算</w:t>
      </w:r>
      <w:r>
        <w:rPr>
          <w:rFonts w:hint="eastAsia"/>
          <w:shd w:val="clear" w:color="auto" w:fill="FFFFFF"/>
        </w:rPr>
        <w:t>3</w:t>
      </w:r>
      <w:r>
        <w:rPr>
          <w:rFonts w:hint="eastAsia"/>
          <w:shd w:val="clear" w:color="auto" w:fill="FFFFFF"/>
        </w:rPr>
        <w:t>至</w:t>
      </w:r>
      <w:r>
        <w:rPr>
          <w:rFonts w:hint="eastAsia"/>
          <w:shd w:val="clear" w:color="auto" w:fill="FFFFFF"/>
        </w:rPr>
        <w:t>5</w:t>
      </w:r>
      <w:r>
        <w:rPr>
          <w:rFonts w:hint="eastAsia"/>
          <w:shd w:val="clear" w:color="auto" w:fill="FFFFFF"/>
        </w:rPr>
        <w:t>年财政冲击；成本效果阈值为</w:t>
      </w:r>
      <w:r>
        <w:rPr>
          <w:rFonts w:hint="eastAsia"/>
          <w:shd w:val="clear" w:color="auto" w:fill="FFFFFF"/>
        </w:rPr>
        <w:t>16</w:t>
      </w:r>
      <w:r>
        <w:rPr>
          <w:rFonts w:hint="eastAsia"/>
          <w:shd w:val="clear" w:color="auto" w:fill="FFFFFF"/>
        </w:rPr>
        <w:t>万泰铢</w:t>
      </w:r>
      <w:r>
        <w:rPr>
          <w:rFonts w:hint="eastAsia"/>
          <w:shd w:val="clear" w:color="auto" w:fill="FFFFFF"/>
        </w:rPr>
        <w:t>/QALY</w:t>
      </w:r>
      <w:r>
        <w:rPr>
          <w:rFonts w:hint="eastAsia"/>
          <w:shd w:val="clear" w:color="auto" w:fill="FFFFFF"/>
        </w:rPr>
        <w:t>（约合当时人均</w:t>
      </w:r>
      <w:r>
        <w:rPr>
          <w:rFonts w:hint="eastAsia"/>
          <w:shd w:val="clear" w:color="auto" w:fill="FFFFFF"/>
        </w:rPr>
        <w:t>GDP</w:t>
      </w:r>
      <w:r>
        <w:rPr>
          <w:rFonts w:hint="eastAsia"/>
          <w:shd w:val="clear" w:color="auto" w:fill="FFFFFF"/>
        </w:rPr>
        <w:t>的</w:t>
      </w:r>
      <w:r>
        <w:rPr>
          <w:rFonts w:hint="eastAsia"/>
          <w:shd w:val="clear" w:color="auto" w:fill="FFFFFF"/>
        </w:rPr>
        <w:t>1.2</w:t>
      </w:r>
      <w:r>
        <w:rPr>
          <w:rFonts w:hint="eastAsia"/>
          <w:shd w:val="clear" w:color="auto" w:fill="FFFFFF"/>
        </w:rPr>
        <w:t>倍），使其成为价格谈判的核心工具；新增社会与伦理分析章节，要求定性讨论技术应用的公平性影响；发布《标准成本清单》统一成本测算，并对持续超过</w:t>
      </w:r>
      <w:r>
        <w:rPr>
          <w:rFonts w:hint="eastAsia"/>
          <w:shd w:val="clear" w:color="auto" w:fill="FFFFFF"/>
        </w:rPr>
        <w:t>30</w:t>
      </w:r>
      <w:r>
        <w:rPr>
          <w:rFonts w:hint="eastAsia"/>
          <w:shd w:val="clear" w:color="auto" w:fill="FFFFFF"/>
        </w:rPr>
        <w:t>年的健康获益引入成本</w:t>
      </w:r>
      <w:r>
        <w:rPr>
          <w:rFonts w:hint="eastAsia"/>
          <w:shd w:val="clear" w:color="auto" w:fill="FFFFFF"/>
        </w:rPr>
        <w:t>4%</w:t>
      </w:r>
      <w:r>
        <w:rPr>
          <w:rFonts w:hint="eastAsia"/>
          <w:shd w:val="clear" w:color="auto" w:fill="FFFFFF"/>
        </w:rPr>
        <w:t>、健康产出</w:t>
      </w:r>
      <w:r>
        <w:rPr>
          <w:rFonts w:hint="eastAsia"/>
          <w:shd w:val="clear" w:color="auto" w:fill="FFFFFF"/>
        </w:rPr>
        <w:t>2%</w:t>
      </w:r>
      <w:r>
        <w:rPr>
          <w:rFonts w:hint="eastAsia"/>
          <w:shd w:val="clear" w:color="auto" w:fill="FFFFFF"/>
        </w:rPr>
        <w:t>的差异化贴现率。这一版本使指南成为</w:t>
      </w:r>
      <w:r>
        <w:rPr>
          <w:rFonts w:hint="eastAsia"/>
          <w:shd w:val="clear" w:color="auto" w:fill="FFFFFF"/>
        </w:rPr>
        <w:t>NLEM</w:t>
      </w:r>
      <w:r>
        <w:rPr>
          <w:rFonts w:hint="eastAsia"/>
          <w:shd w:val="clear" w:color="auto" w:fill="FFFFFF"/>
        </w:rPr>
        <w:t>准入的“守门人”，卫生经济学工作组（</w:t>
      </w:r>
      <w:r>
        <w:rPr>
          <w:rFonts w:hint="eastAsia"/>
          <w:shd w:val="clear" w:color="auto" w:fill="FFFFFF"/>
        </w:rPr>
        <w:t>Health Economics Working Group, HEWG</w:t>
      </w:r>
      <w:r>
        <w:rPr>
          <w:rFonts w:hint="eastAsia"/>
          <w:shd w:val="clear" w:color="auto" w:fill="FFFFFF"/>
        </w:rPr>
        <w:t>）依据其对企业提交档案进行严格审查。</w:t>
      </w:r>
    </w:p>
    <w:p w14:paraId="072AD05B" w14:textId="1DFEA61F" w:rsidR="00DF3040" w:rsidRDefault="007E4424" w:rsidP="00A24278">
      <w:pPr>
        <w:pStyle w:val="a9"/>
        <w:ind w:firstLineChars="200" w:firstLine="420"/>
        <w:jc w:val="both"/>
        <w:rPr>
          <w:sz w:val="24"/>
          <w:szCs w:val="24"/>
          <w:shd w:val="clear" w:color="auto" w:fill="FFFFFF"/>
        </w:rPr>
      </w:pPr>
      <w:r>
        <w:rPr>
          <w:rFonts w:hint="eastAsia"/>
          <w:shd w:val="clear" w:color="auto" w:fill="FFFFFF"/>
        </w:rPr>
        <w:t>2021</w:t>
      </w:r>
      <w:r>
        <w:rPr>
          <w:rFonts w:hint="eastAsia"/>
          <w:shd w:val="clear" w:color="auto" w:fill="FFFFFF"/>
        </w:rPr>
        <w:t>年后，指南进入深化与拓展期，</w:t>
      </w:r>
      <w:r>
        <w:rPr>
          <w:rFonts w:hint="eastAsia"/>
          <w:shd w:val="clear" w:color="auto" w:fill="FFFFFF"/>
        </w:rPr>
        <w:t>HITAP</w:t>
      </w:r>
      <w:r>
        <w:rPr>
          <w:rFonts w:hint="eastAsia"/>
          <w:shd w:val="clear" w:color="auto" w:fill="FFFFFF"/>
        </w:rPr>
        <w:t>采取模块化更新策略应对精准医疗和数字疗法等新挑战。关键进展包括：发布《在亚洲使用真实世界数据和真实世界证据支持药品报销决策的指南》（</w:t>
      </w:r>
      <w:commentRangeStart w:id="25"/>
      <w:r>
        <w:rPr>
          <w:rFonts w:hint="eastAsia"/>
          <w:shd w:val="clear" w:color="auto" w:fill="FFFFFF"/>
        </w:rPr>
        <w:t>REALISE</w:t>
      </w:r>
      <w:commentRangeEnd w:id="25"/>
      <w:r>
        <w:rPr>
          <w:rStyle w:val="a6"/>
        </w:rPr>
        <w:commentReference w:id="25"/>
      </w:r>
      <w:r>
        <w:rPr>
          <w:rFonts w:hint="eastAsia"/>
          <w:shd w:val="clear" w:color="auto" w:fill="FFFFFF"/>
        </w:rPr>
        <w:t xml:space="preserve"> Guidance</w:t>
      </w:r>
      <w:r w:rsidR="00F46513">
        <w:rPr>
          <w:rFonts w:hint="eastAsia"/>
          <w:shd w:val="clear" w:color="auto" w:fill="FFFFFF"/>
        </w:rPr>
        <w:t>，</w:t>
      </w:r>
      <w:r w:rsidR="003B4C58" w:rsidRPr="003B4C58">
        <w:rPr>
          <w:shd w:val="clear" w:color="auto" w:fill="FFFFFF"/>
        </w:rPr>
        <w:t xml:space="preserve">Real-world Evidence for Asia – Leveraging data to Inform </w:t>
      </w:r>
      <w:proofErr w:type="spellStart"/>
      <w:r w:rsidR="003B4C58" w:rsidRPr="003B4C58">
        <w:rPr>
          <w:shd w:val="clear" w:color="auto" w:fill="FFFFFF"/>
        </w:rPr>
        <w:t>decisionS</w:t>
      </w:r>
      <w:proofErr w:type="spellEnd"/>
      <w:r w:rsidR="003B4C58" w:rsidRPr="003B4C58">
        <w:rPr>
          <w:shd w:val="clear" w:color="auto" w:fill="FFFFFF"/>
        </w:rPr>
        <w:t xml:space="preserve"> on medicines</w:t>
      </w:r>
      <w:r>
        <w:rPr>
          <w:rFonts w:hint="eastAsia"/>
          <w:shd w:val="clear" w:color="auto" w:fill="FFFFFF"/>
        </w:rPr>
        <w:t>），规范真实世界数据在</w:t>
      </w:r>
      <w:r>
        <w:rPr>
          <w:rFonts w:hint="eastAsia"/>
          <w:shd w:val="clear" w:color="auto" w:fill="FFFFFF"/>
        </w:rPr>
        <w:t>RCT</w:t>
      </w:r>
      <w:r>
        <w:rPr>
          <w:rFonts w:hint="eastAsia"/>
          <w:shd w:val="clear" w:color="auto" w:fill="FFFFFF"/>
        </w:rPr>
        <w:t>证据时的应用；引入英国医学研究理事</w:t>
      </w:r>
      <w:r>
        <w:rPr>
          <w:rFonts w:hint="eastAsia"/>
          <w:shd w:val="clear" w:color="auto" w:fill="FFFFFF"/>
        </w:rPr>
        <w:lastRenderedPageBreak/>
        <w:t>会（</w:t>
      </w:r>
      <w:r>
        <w:rPr>
          <w:rFonts w:hint="eastAsia"/>
          <w:shd w:val="clear" w:color="auto" w:fill="FFFFFF"/>
        </w:rPr>
        <w:t>Medical Research Council, MRC</w:t>
      </w:r>
      <w:r>
        <w:rPr>
          <w:rFonts w:hint="eastAsia"/>
          <w:shd w:val="clear" w:color="auto" w:fill="FFFFFF"/>
        </w:rPr>
        <w:t>）的复杂干预评估框架，探索系统动力学模型在公共卫生干预评估中的应用；更新</w:t>
      </w:r>
      <w:r>
        <w:rPr>
          <w:rFonts w:hint="eastAsia"/>
          <w:shd w:val="clear" w:color="auto" w:fill="FFFFFF"/>
        </w:rPr>
        <w:t>HTA</w:t>
      </w:r>
      <w:r>
        <w:rPr>
          <w:rFonts w:hint="eastAsia"/>
          <w:shd w:val="clear" w:color="auto" w:fill="FFFFFF"/>
        </w:rPr>
        <w:t>流程指南，向患者社会组织开放议题提名权；针对高值药品设立</w:t>
      </w:r>
      <w:r>
        <w:rPr>
          <w:rFonts w:hint="eastAsia"/>
          <w:shd w:val="clear" w:color="auto" w:fill="FFFFFF"/>
        </w:rPr>
        <w:t>NLEM</w:t>
      </w:r>
      <w:r>
        <w:rPr>
          <w:rFonts w:hint="eastAsia"/>
          <w:shd w:val="clear" w:color="auto" w:fill="FFFFFF"/>
        </w:rPr>
        <w:t>的“</w:t>
      </w:r>
      <w:r>
        <w:rPr>
          <w:rFonts w:hint="eastAsia"/>
          <w:shd w:val="clear" w:color="auto" w:fill="FFFFFF"/>
        </w:rPr>
        <w:t>E3</w:t>
      </w:r>
      <w:r>
        <w:rPr>
          <w:rFonts w:hint="eastAsia"/>
          <w:shd w:val="clear" w:color="auto" w:fill="FFFFFF"/>
        </w:rPr>
        <w:t>”子目录，在年度预算上限内为孤儿药等提供特殊准入通道。这一历程体现了泰国从方法学引进到本土创新，再到区域标准输出的完整进阶。</w:t>
      </w:r>
    </w:p>
    <w:p w14:paraId="072AD05C" w14:textId="77777777" w:rsidR="00DF3040" w:rsidRDefault="007E4424" w:rsidP="00A24278">
      <w:pPr>
        <w:ind w:firstLineChars="200" w:firstLine="560"/>
        <w:outlineLvl w:val="1"/>
        <w:rPr>
          <w:sz w:val="28"/>
          <w:szCs w:val="28"/>
        </w:rPr>
      </w:pPr>
      <w:bookmarkStart w:id="26" w:name="_Toc6300"/>
      <w:r>
        <w:rPr>
          <w:rFonts w:hint="eastAsia"/>
          <w:sz w:val="28"/>
          <w:szCs w:val="28"/>
        </w:rPr>
        <w:t>（二）泰国药物经济学评价指南的特点</w:t>
      </w:r>
      <w:bookmarkEnd w:id="26"/>
    </w:p>
    <w:p w14:paraId="072AD05D" w14:textId="77777777" w:rsidR="00DF3040" w:rsidRDefault="007E4424" w:rsidP="00A24278">
      <w:pPr>
        <w:pStyle w:val="a9"/>
        <w:ind w:firstLineChars="200" w:firstLine="420"/>
        <w:jc w:val="both"/>
        <w:rPr>
          <w:shd w:val="clear" w:color="auto" w:fill="FFFFFF"/>
        </w:rPr>
      </w:pPr>
      <w:r>
        <w:rPr>
          <w:rFonts w:hint="eastAsia"/>
          <w:shd w:val="clear" w:color="auto" w:fill="FFFFFF"/>
        </w:rPr>
        <w:t>泰国药物经济学评价指南体系在发展过程中形成了基于本土国情、制度与实践紧密结合的鲜明特征。</w:t>
      </w:r>
    </w:p>
    <w:p w14:paraId="072AD05E" w14:textId="2E4DE42D" w:rsidR="00DF3040" w:rsidRDefault="007E4424" w:rsidP="00A24278">
      <w:pPr>
        <w:pStyle w:val="a9"/>
        <w:ind w:firstLineChars="200" w:firstLine="420"/>
        <w:jc w:val="both"/>
        <w:rPr>
          <w:shd w:val="clear" w:color="auto" w:fill="FFFFFF"/>
        </w:rPr>
      </w:pPr>
      <w:r>
        <w:rPr>
          <w:rFonts w:hint="eastAsia"/>
          <w:shd w:val="clear" w:color="auto" w:fill="FFFFFF"/>
        </w:rPr>
        <w:t>首要特点是始终坚持全社会视角作为基准分析视角，这与</w:t>
      </w:r>
      <w:r>
        <w:rPr>
          <w:rFonts w:hint="eastAsia"/>
          <w:shd w:val="clear" w:color="auto" w:fill="FFFFFF"/>
        </w:rPr>
        <w:t>NICE</w:t>
      </w:r>
      <w:r>
        <w:rPr>
          <w:rFonts w:hint="eastAsia"/>
          <w:shd w:val="clear" w:color="auto" w:fill="FFFFFF"/>
        </w:rPr>
        <w:t>等主要采用支付方视角的发达国家指南形成鲜明对比。其深层逻辑在于：作为中等收入国家，患者家庭承担的非医疗成本（如交通、误工）是导致灾难性卫生支出的关键因素，全社会视角通过强制量化这些隐形成本，确保评估结果更真实反映技术对患者综合负担的影响，从而推动资源向真正减轻社会整体疾病负担的干预措施倾斜。</w:t>
      </w:r>
    </w:p>
    <w:p w14:paraId="072AD05F" w14:textId="77777777" w:rsidR="00DF3040" w:rsidRDefault="007E4424" w:rsidP="00A24278">
      <w:pPr>
        <w:pStyle w:val="a9"/>
        <w:ind w:firstLineChars="200" w:firstLine="420"/>
        <w:jc w:val="both"/>
        <w:rPr>
          <w:shd w:val="clear" w:color="auto" w:fill="FFFFFF"/>
        </w:rPr>
      </w:pPr>
      <w:r>
        <w:rPr>
          <w:rFonts w:hint="eastAsia"/>
          <w:shd w:val="clear" w:color="auto" w:fill="FFFFFF"/>
        </w:rPr>
        <w:t>其次，泰国建立了显性、动态且与行政决策直接挂钩的成本效果阈值管理机制。</w:t>
      </w:r>
      <w:r>
        <w:rPr>
          <w:rFonts w:hint="eastAsia"/>
          <w:shd w:val="clear" w:color="auto" w:fill="FFFFFF"/>
        </w:rPr>
        <w:t>16</w:t>
      </w:r>
      <w:r>
        <w:rPr>
          <w:rFonts w:hint="eastAsia"/>
          <w:shd w:val="clear" w:color="auto" w:fill="FFFFFF"/>
        </w:rPr>
        <w:t>万泰铢</w:t>
      </w:r>
      <w:r>
        <w:rPr>
          <w:rFonts w:hint="eastAsia"/>
          <w:shd w:val="clear" w:color="auto" w:fill="FFFFFF"/>
        </w:rPr>
        <w:t>/QALY</w:t>
      </w:r>
      <w:r>
        <w:rPr>
          <w:rFonts w:hint="eastAsia"/>
          <w:shd w:val="clear" w:color="auto" w:fill="FFFFFF"/>
        </w:rPr>
        <w:t>的阈值并非基于单纯支付意愿调查，而是结合卫生预算供给侧约束计算得出，并随经济发展经历从</w:t>
      </w:r>
      <w:r>
        <w:rPr>
          <w:rFonts w:hint="eastAsia"/>
          <w:shd w:val="clear" w:color="auto" w:fill="FFFFFF"/>
        </w:rPr>
        <w:t>10</w:t>
      </w:r>
      <w:r>
        <w:rPr>
          <w:rFonts w:hint="eastAsia"/>
          <w:shd w:val="clear" w:color="auto" w:fill="FFFFFF"/>
        </w:rPr>
        <w:t>万泰铢（</w:t>
      </w:r>
      <w:r>
        <w:rPr>
          <w:rFonts w:hint="eastAsia"/>
          <w:shd w:val="clear" w:color="auto" w:fill="FFFFFF"/>
        </w:rPr>
        <w:t>2008</w:t>
      </w:r>
      <w:r>
        <w:rPr>
          <w:rFonts w:hint="eastAsia"/>
          <w:shd w:val="clear" w:color="auto" w:fill="FFFFFF"/>
        </w:rPr>
        <w:t>年）、</w:t>
      </w:r>
      <w:r>
        <w:rPr>
          <w:rFonts w:hint="eastAsia"/>
          <w:shd w:val="clear" w:color="auto" w:fill="FFFFFF"/>
        </w:rPr>
        <w:t>12</w:t>
      </w:r>
      <w:r>
        <w:rPr>
          <w:rFonts w:hint="eastAsia"/>
          <w:shd w:val="clear" w:color="auto" w:fill="FFFFFF"/>
        </w:rPr>
        <w:t>万泰铢（</w:t>
      </w:r>
      <w:r>
        <w:rPr>
          <w:rFonts w:hint="eastAsia"/>
          <w:shd w:val="clear" w:color="auto" w:fill="FFFFFF"/>
        </w:rPr>
        <w:t>2010</w:t>
      </w:r>
      <w:r>
        <w:rPr>
          <w:rFonts w:hint="eastAsia"/>
          <w:shd w:val="clear" w:color="auto" w:fill="FFFFFF"/>
        </w:rPr>
        <w:t>年）到</w:t>
      </w:r>
      <w:r>
        <w:rPr>
          <w:rFonts w:hint="eastAsia"/>
          <w:shd w:val="clear" w:color="auto" w:fill="FFFFFF"/>
        </w:rPr>
        <w:t>16</w:t>
      </w:r>
      <w:r>
        <w:rPr>
          <w:rFonts w:hint="eastAsia"/>
          <w:shd w:val="clear" w:color="auto" w:fill="FFFFFF"/>
        </w:rPr>
        <w:t>万泰铢（</w:t>
      </w:r>
      <w:r>
        <w:rPr>
          <w:rFonts w:hint="eastAsia"/>
          <w:shd w:val="clear" w:color="auto" w:fill="FFFFFF"/>
        </w:rPr>
        <w:t>2013</w:t>
      </w:r>
      <w:r>
        <w:rPr>
          <w:rFonts w:hint="eastAsia"/>
          <w:shd w:val="clear" w:color="auto" w:fill="FFFFFF"/>
        </w:rPr>
        <w:t>年）的调整。这种透明规则极大降低了决策随意性，提升了行政效率。</w:t>
      </w:r>
    </w:p>
    <w:p w14:paraId="072AD060" w14:textId="77777777" w:rsidR="00DF3040" w:rsidRDefault="007E4424" w:rsidP="00A24278">
      <w:pPr>
        <w:pStyle w:val="a9"/>
        <w:ind w:firstLineChars="200" w:firstLine="420"/>
        <w:jc w:val="both"/>
        <w:rPr>
          <w:shd w:val="clear" w:color="auto" w:fill="FFFFFF"/>
        </w:rPr>
      </w:pPr>
      <w:r>
        <w:rPr>
          <w:rFonts w:hint="eastAsia"/>
          <w:shd w:val="clear" w:color="auto" w:fill="FFFFFF"/>
        </w:rPr>
        <w:t>第三，泰国构建了“学术机构评估</w:t>
      </w:r>
      <w:r>
        <w:rPr>
          <w:rFonts w:hint="eastAsia"/>
          <w:shd w:val="clear" w:color="auto" w:fill="FFFFFF"/>
        </w:rPr>
        <w:t>+</w:t>
      </w:r>
      <w:r>
        <w:rPr>
          <w:rFonts w:hint="eastAsia"/>
          <w:shd w:val="clear" w:color="auto" w:fill="FFFFFF"/>
        </w:rPr>
        <w:t>政府委员会决策”的双层治理结构，确保指南的严格执行与质量控管。</w:t>
      </w:r>
      <w:r>
        <w:rPr>
          <w:rFonts w:hint="eastAsia"/>
          <w:shd w:val="clear" w:color="auto" w:fill="FFFFFF"/>
        </w:rPr>
        <w:t>HITAP</w:t>
      </w:r>
      <w:r>
        <w:rPr>
          <w:rFonts w:hint="eastAsia"/>
          <w:shd w:val="clear" w:color="auto" w:fill="FFFFFF"/>
        </w:rPr>
        <w:t>作为独立技术引擎，负责指南开发、更新及本土能力建设；而</w:t>
      </w:r>
      <w:r>
        <w:rPr>
          <w:rFonts w:hint="eastAsia"/>
          <w:shd w:val="clear" w:color="auto" w:fill="FFFFFF"/>
        </w:rPr>
        <w:t>NLEM</w:t>
      </w:r>
      <w:r>
        <w:rPr>
          <w:rFonts w:hint="eastAsia"/>
          <w:shd w:val="clear" w:color="auto" w:fill="FFFFFF"/>
        </w:rPr>
        <w:t>小组委员会下设的</w:t>
      </w:r>
      <w:r>
        <w:rPr>
          <w:rFonts w:hint="eastAsia"/>
          <w:shd w:val="clear" w:color="auto" w:fill="FFFFFF"/>
        </w:rPr>
        <w:t>HEWG</w:t>
      </w:r>
      <w:r>
        <w:rPr>
          <w:rFonts w:hint="eastAsia"/>
          <w:shd w:val="clear" w:color="auto" w:fill="FFFFFF"/>
        </w:rPr>
        <w:t>则依据指南对企业提交的档案进行实质性审查，对数据存疑项目可委托第三方验证。这种制衡机制有效防止了指南空转，使其成为</w:t>
      </w:r>
      <w:r>
        <w:rPr>
          <w:rFonts w:hint="eastAsia"/>
          <w:shd w:val="clear" w:color="auto" w:fill="FFFFFF"/>
        </w:rPr>
        <w:t>NLEM</w:t>
      </w:r>
      <w:r>
        <w:rPr>
          <w:rFonts w:hint="eastAsia"/>
          <w:shd w:val="clear" w:color="auto" w:fill="FFFFFF"/>
        </w:rPr>
        <w:t>遴选的实质性标准。</w:t>
      </w:r>
    </w:p>
    <w:p w14:paraId="072AD061" w14:textId="77777777" w:rsidR="00DF3040" w:rsidRDefault="007E4424" w:rsidP="00A24278">
      <w:pPr>
        <w:pStyle w:val="a9"/>
        <w:ind w:firstLineChars="200" w:firstLine="420"/>
        <w:jc w:val="both"/>
        <w:rPr>
          <w:shd w:val="clear" w:color="auto" w:fill="FFFFFF"/>
        </w:rPr>
      </w:pPr>
      <w:r>
        <w:rPr>
          <w:rFonts w:hint="eastAsia"/>
          <w:shd w:val="clear" w:color="auto" w:fill="FFFFFF"/>
        </w:rPr>
        <w:t>第四，泰国指南高度重视本土化数据基础设施与人才培养。</w:t>
      </w:r>
      <w:r>
        <w:rPr>
          <w:rFonts w:hint="eastAsia"/>
          <w:shd w:val="clear" w:color="auto" w:fill="FFFFFF"/>
        </w:rPr>
        <w:t>HITAP</w:t>
      </w:r>
      <w:r>
        <w:rPr>
          <w:rFonts w:hint="eastAsia"/>
          <w:shd w:val="clear" w:color="auto" w:fill="FFFFFF"/>
        </w:rPr>
        <w:t>通过导师制、奖学金计划与大学合作，系统培养能熟练运用指南的本土人才队伍；同时持续更新《标准成本清单》和泰国版</w:t>
      </w:r>
      <w:r>
        <w:rPr>
          <w:rFonts w:hint="eastAsia"/>
          <w:shd w:val="clear" w:color="auto" w:fill="FFFFFF"/>
        </w:rPr>
        <w:t>EQ-5D</w:t>
      </w:r>
      <w:r>
        <w:rPr>
          <w:rFonts w:hint="eastAsia"/>
          <w:shd w:val="clear" w:color="auto" w:fill="FFFFFF"/>
        </w:rPr>
        <w:t>效用值积分体系，确保参数符合本土实际。此外，指南在贴现率设置上展现灵活性，对疫苗等长期获益干预允许采用差异化贴现率（成本</w:t>
      </w:r>
      <w:r>
        <w:rPr>
          <w:rFonts w:hint="eastAsia"/>
          <w:shd w:val="clear" w:color="auto" w:fill="FFFFFF"/>
        </w:rPr>
        <w:t>4%</w:t>
      </w:r>
      <w:r>
        <w:rPr>
          <w:rFonts w:hint="eastAsia"/>
          <w:shd w:val="clear" w:color="auto" w:fill="FFFFFF"/>
        </w:rPr>
        <w:t>、健康产出</w:t>
      </w:r>
      <w:r>
        <w:rPr>
          <w:rFonts w:hint="eastAsia"/>
          <w:shd w:val="clear" w:color="auto" w:fill="FFFFFF"/>
        </w:rPr>
        <w:t>2%</w:t>
      </w:r>
      <w:r>
        <w:rPr>
          <w:rFonts w:hint="eastAsia"/>
          <w:shd w:val="clear" w:color="auto" w:fill="FFFFFF"/>
        </w:rPr>
        <w:t>），体现了对代际公平的考量。</w:t>
      </w:r>
    </w:p>
    <w:p w14:paraId="072AD062" w14:textId="77777777" w:rsidR="00DF3040" w:rsidRDefault="007E4424" w:rsidP="00A24278">
      <w:pPr>
        <w:pStyle w:val="a9"/>
        <w:ind w:firstLineChars="200" w:firstLine="420"/>
        <w:jc w:val="both"/>
        <w:rPr>
          <w:shd w:val="clear" w:color="auto" w:fill="FFFFFF"/>
        </w:rPr>
      </w:pPr>
      <w:r>
        <w:rPr>
          <w:rFonts w:hint="eastAsia"/>
          <w:shd w:val="clear" w:color="auto" w:fill="FFFFFF"/>
        </w:rPr>
        <w:t>最后，泰国指南以开放态度整合前沿方法学，如通过</w:t>
      </w:r>
      <w:r>
        <w:rPr>
          <w:rFonts w:hint="eastAsia"/>
          <w:shd w:val="clear" w:color="auto" w:fill="FFFFFF"/>
        </w:rPr>
        <w:t>REALISE</w:t>
      </w:r>
      <w:r>
        <w:rPr>
          <w:rFonts w:hint="eastAsia"/>
          <w:shd w:val="clear" w:color="auto" w:fill="FFFFFF"/>
        </w:rPr>
        <w:t>指南规范真实世界证据在亚洲人群外推性和长期疗效评估中的应用，并探索复杂干预评估框架以应对公共卫生项目的多维度影响。这些特点共同塑造了泰国药物经济学评价体系在科学严谨性、本土适应性和行政执行力之间的独特平衡，为其他发展中国家提供了重要范本。</w:t>
      </w:r>
    </w:p>
    <w:p w14:paraId="072AD063" w14:textId="77777777" w:rsidR="00DF3040" w:rsidRDefault="00DF3040" w:rsidP="00A24278">
      <w:pPr>
        <w:pStyle w:val="a9"/>
        <w:rPr>
          <w:shd w:val="clear" w:color="auto" w:fill="FFFFFF"/>
        </w:rPr>
      </w:pPr>
    </w:p>
    <w:p w14:paraId="072AD064" w14:textId="21D46D52" w:rsidR="00DF3040" w:rsidRDefault="003B4C58" w:rsidP="00A24278">
      <w:pPr>
        <w:pStyle w:val="a9"/>
        <w:rPr>
          <w:shd w:val="clear" w:color="auto" w:fill="FFFFFF"/>
        </w:rPr>
      </w:pPr>
      <w:r>
        <w:rPr>
          <w:rFonts w:hint="eastAsia"/>
          <w:shd w:val="clear" w:color="auto" w:fill="FFFFFF"/>
        </w:rPr>
        <w:t>参考：</w:t>
      </w:r>
    </w:p>
    <w:p w14:paraId="699CAB44" w14:textId="62226589" w:rsidR="003B4C58" w:rsidRDefault="003B4C58" w:rsidP="00A24278">
      <w:pPr>
        <w:pStyle w:val="a9"/>
        <w:rPr>
          <w:shd w:val="clear" w:color="auto" w:fill="FFFFFF"/>
        </w:rPr>
      </w:pPr>
      <w:r>
        <w:rPr>
          <w:rFonts w:hint="eastAsia"/>
          <w:shd w:val="clear" w:color="auto" w:fill="FFFFFF"/>
        </w:rPr>
        <w:t>英国</w:t>
      </w:r>
      <w:r w:rsidR="00A24278">
        <w:rPr>
          <w:rFonts w:hint="eastAsia"/>
          <w:shd w:val="clear" w:color="auto" w:fill="FFFFFF"/>
        </w:rPr>
        <w:t>：</w:t>
      </w:r>
    </w:p>
    <w:p w14:paraId="58A80C60" w14:textId="792E7CA8" w:rsidR="00E04A59" w:rsidRPr="00E04A59" w:rsidRDefault="00E04A59" w:rsidP="00E04A59">
      <w:pPr>
        <w:pStyle w:val="a9"/>
        <w:rPr>
          <w:shd w:val="clear" w:color="auto" w:fill="FFFFFF"/>
        </w:rPr>
      </w:pPr>
      <w:r w:rsidRPr="00E04A59">
        <w:rPr>
          <w:rFonts w:hint="eastAsia"/>
          <w:b/>
          <w:bCs/>
          <w:shd w:val="clear" w:color="auto" w:fill="FFFFFF"/>
        </w:rPr>
        <w:t>Guide to the Methods of Technology Appraisal</w:t>
      </w:r>
      <w:r>
        <w:rPr>
          <w:rFonts w:hint="eastAsia"/>
          <w:shd w:val="clear" w:color="auto" w:fill="FFFFFF"/>
        </w:rPr>
        <w:t>：</w:t>
      </w:r>
      <w:r w:rsidRPr="00E04A59">
        <w:rPr>
          <w:rFonts w:hint="eastAsia"/>
          <w:shd w:val="clear" w:color="auto" w:fill="FFFFFF"/>
        </w:rPr>
        <w:t>https://assets.publishing.service.gov.uk/media/5a7a5acee5274a34770e6144/NICE_guide_to_the_methods_of_technology_appraisal.pdf</w:t>
      </w:r>
      <w:r w:rsidRPr="00E04A59">
        <w:rPr>
          <w:rFonts w:hint="eastAsia"/>
          <w:shd w:val="clear" w:color="auto" w:fill="FFFFFF"/>
        </w:rPr>
        <w:t>）</w:t>
      </w:r>
    </w:p>
    <w:p w14:paraId="44121877" w14:textId="4EDA69ED" w:rsidR="00E04A59" w:rsidRDefault="00E04A59" w:rsidP="00E04A59">
      <w:pPr>
        <w:pStyle w:val="a9"/>
        <w:rPr>
          <w:shd w:val="clear" w:color="auto" w:fill="FFFFFF"/>
        </w:rPr>
      </w:pPr>
      <w:r w:rsidRPr="00E04A59">
        <w:rPr>
          <w:b/>
          <w:bCs/>
          <w:shd w:val="clear" w:color="auto" w:fill="FFFFFF"/>
        </w:rPr>
        <w:t>Appraising life-extending, end-of-life treatments</w:t>
      </w:r>
      <w:r w:rsidRPr="00E04A59">
        <w:rPr>
          <w:rFonts w:hint="eastAsia"/>
          <w:b/>
          <w:bCs/>
          <w:shd w:val="clear" w:color="auto" w:fill="FFFFFF"/>
        </w:rPr>
        <w:t>：</w:t>
      </w:r>
      <w:hyperlink r:id="rId10" w:history="1">
        <w:r w:rsidRPr="00084647">
          <w:rPr>
            <w:rStyle w:val="a7"/>
            <w:rFonts w:hint="eastAsia"/>
            <w:shd w:val="clear" w:color="auto" w:fill="FFFFFF"/>
          </w:rPr>
          <w:t>https://www.nice.org.uk/guidance/gid-tag387/documents/appraising-life-extending-end-of-life-treatments-paper2</w:t>
        </w:r>
      </w:hyperlink>
    </w:p>
    <w:p w14:paraId="2C2FC4BA" w14:textId="23763D6B" w:rsidR="00E04A59" w:rsidRPr="00E04A59" w:rsidRDefault="00E04A59" w:rsidP="00E04A59">
      <w:pPr>
        <w:pStyle w:val="a9"/>
        <w:rPr>
          <w:b/>
          <w:bCs/>
          <w:shd w:val="clear" w:color="auto" w:fill="FFFFFF"/>
        </w:rPr>
      </w:pPr>
      <w:r w:rsidRPr="00E04A59">
        <w:rPr>
          <w:b/>
          <w:bCs/>
          <w:shd w:val="clear" w:color="auto" w:fill="FFFFFF"/>
        </w:rPr>
        <w:t>Guide to the Methods of Technology Appraisal 2013 (PMG9)</w:t>
      </w:r>
      <w:r>
        <w:rPr>
          <w:rFonts w:hint="eastAsia"/>
          <w:b/>
          <w:bCs/>
          <w:shd w:val="clear" w:color="auto" w:fill="FFFFFF"/>
        </w:rPr>
        <w:t>：</w:t>
      </w:r>
    </w:p>
    <w:p w14:paraId="41EF9BA3" w14:textId="2C1E9466" w:rsidR="00E04A59" w:rsidRPr="00E04A59" w:rsidRDefault="00E04A59" w:rsidP="00E04A59">
      <w:pPr>
        <w:pStyle w:val="a9"/>
        <w:rPr>
          <w:shd w:val="clear" w:color="auto" w:fill="FFFFFF"/>
        </w:rPr>
      </w:pPr>
      <w:r w:rsidRPr="00E04A59">
        <w:rPr>
          <w:rFonts w:hint="eastAsia"/>
          <w:shd w:val="clear" w:color="auto" w:fill="FFFFFF"/>
        </w:rPr>
        <w:t>https://www.nice.org.uk/process/pmg9/resources/guide-to-the-methods-of-technology-appraisal-2013-pdf-2007975843781</w:t>
      </w:r>
    </w:p>
    <w:p w14:paraId="392E05F9" w14:textId="561AF721" w:rsidR="00A24278" w:rsidRDefault="00E04A59" w:rsidP="00E04A59">
      <w:pPr>
        <w:pStyle w:val="a9"/>
        <w:rPr>
          <w:shd w:val="clear" w:color="auto" w:fill="FFFFFF"/>
        </w:rPr>
      </w:pPr>
      <w:r w:rsidRPr="00E04A59">
        <w:rPr>
          <w:rFonts w:hint="eastAsia"/>
          <w:b/>
          <w:bCs/>
          <w:shd w:val="clear" w:color="auto" w:fill="FFFFFF"/>
        </w:rPr>
        <w:t>Health Technology Evaluation Manual, PMG36</w:t>
      </w:r>
      <w:r w:rsidRPr="00E04A59">
        <w:rPr>
          <w:rFonts w:hint="eastAsia"/>
          <w:b/>
          <w:bCs/>
          <w:shd w:val="clear" w:color="auto" w:fill="FFFFFF"/>
        </w:rPr>
        <w:t>：</w:t>
      </w:r>
      <w:r w:rsidRPr="00E04A59">
        <w:rPr>
          <w:rFonts w:hint="eastAsia"/>
          <w:shd w:val="clear" w:color="auto" w:fill="FFFFFF"/>
        </w:rPr>
        <w:t>https://www.nice.org.uk/process/pmg36</w:t>
      </w:r>
      <w:r w:rsidRPr="00E04A59">
        <w:rPr>
          <w:rFonts w:hint="eastAsia"/>
          <w:shd w:val="clear" w:color="auto" w:fill="FFFFFF"/>
        </w:rPr>
        <w:t>。</w:t>
      </w:r>
    </w:p>
    <w:p w14:paraId="14BE2B47" w14:textId="77777777" w:rsidR="000C17E7" w:rsidRDefault="000C17E7" w:rsidP="00A24278">
      <w:pPr>
        <w:pStyle w:val="a9"/>
        <w:rPr>
          <w:shd w:val="clear" w:color="auto" w:fill="FFFFFF"/>
        </w:rPr>
      </w:pPr>
    </w:p>
    <w:p w14:paraId="190B7571" w14:textId="78C6A6F5" w:rsidR="000C17E7" w:rsidRDefault="000C17E7" w:rsidP="00A24278">
      <w:pPr>
        <w:pStyle w:val="a9"/>
        <w:rPr>
          <w:shd w:val="clear" w:color="auto" w:fill="FFFFFF"/>
        </w:rPr>
      </w:pPr>
      <w:r>
        <w:rPr>
          <w:rFonts w:hint="eastAsia"/>
          <w:shd w:val="clear" w:color="auto" w:fill="FFFFFF"/>
        </w:rPr>
        <w:t>加拿大</w:t>
      </w:r>
    </w:p>
    <w:p w14:paraId="1C52FEF7" w14:textId="36F5B178" w:rsidR="000C17E7" w:rsidRDefault="000C17E7" w:rsidP="00A24278">
      <w:pPr>
        <w:pStyle w:val="a9"/>
        <w:rPr>
          <w:shd w:val="clear" w:color="auto" w:fill="FFFFFF"/>
        </w:rPr>
      </w:pPr>
      <w:r>
        <w:rPr>
          <w:rFonts w:hint="eastAsia"/>
          <w:shd w:val="clear" w:color="auto" w:fill="FFFFFF"/>
        </w:rPr>
        <w:t>第一版：</w:t>
      </w:r>
      <w:r w:rsidRPr="000C17E7">
        <w:rPr>
          <w:shd w:val="clear" w:color="auto" w:fill="FFFFFF"/>
        </w:rPr>
        <w:t>https://link.springer.com/article/10.2165/00019053-199609060-00008</w:t>
      </w:r>
    </w:p>
    <w:p w14:paraId="78EF639E" w14:textId="7B7A95E0" w:rsidR="000C17E7" w:rsidRPr="00A24278" w:rsidRDefault="000C17E7" w:rsidP="00A24278">
      <w:pPr>
        <w:widowControl/>
        <w:spacing w:line="360" w:lineRule="auto"/>
        <w:jc w:val="left"/>
        <w:rPr>
          <w:rFonts w:ascii="Times New Roman" w:eastAsia="宋体" w:hAnsi="Times New Roman" w:cs="Times New Roman"/>
          <w:color w:val="0F1115"/>
          <w:szCs w:val="21"/>
          <w:shd w:val="clear" w:color="auto" w:fill="FFFFFF"/>
        </w:rPr>
      </w:pPr>
      <w:r w:rsidRPr="00A24278">
        <w:rPr>
          <w:rFonts w:ascii="Times New Roman" w:eastAsia="宋体" w:hAnsi="Times New Roman" w:cs="Times New Roman" w:hint="eastAsia"/>
          <w:color w:val="0F1115"/>
          <w:szCs w:val="21"/>
          <w:shd w:val="clear" w:color="auto" w:fill="FFFFFF"/>
        </w:rPr>
        <w:t>第二版</w:t>
      </w:r>
      <w:r>
        <w:rPr>
          <w:rFonts w:ascii="Times New Roman" w:eastAsia="宋体" w:hAnsi="Times New Roman" w:cs="Times New Roman" w:hint="eastAsia"/>
          <w:color w:val="0F1115"/>
          <w:szCs w:val="21"/>
          <w:shd w:val="clear" w:color="auto" w:fill="FFFFFF"/>
        </w:rPr>
        <w:t>：</w:t>
      </w:r>
      <w:hyperlink r:id="rId11" w:history="1">
        <w:r w:rsidRPr="000C17E7">
          <w:rPr>
            <w:rStyle w:val="a7"/>
            <w:rFonts w:ascii="Times New Roman" w:eastAsia="宋体" w:hAnsi="Times New Roman" w:cs="Times New Roman"/>
            <w:szCs w:val="21"/>
            <w:shd w:val="clear" w:color="auto" w:fill="FFFFFF"/>
          </w:rPr>
          <w:t>https://www.cda-amc.ca/sites/default/files/pdf/peg_e.pdf</w:t>
        </w:r>
      </w:hyperlink>
    </w:p>
    <w:p w14:paraId="3ABEDC7F" w14:textId="1246A2BA" w:rsidR="000C17E7" w:rsidRPr="00A24278" w:rsidRDefault="000C17E7" w:rsidP="00A24278">
      <w:pPr>
        <w:widowControl/>
        <w:spacing w:line="360" w:lineRule="auto"/>
        <w:jc w:val="left"/>
        <w:rPr>
          <w:rFonts w:ascii="Times New Roman" w:eastAsia="宋体" w:hAnsi="Times New Roman" w:cs="Times New Roman"/>
          <w:color w:val="0F1115"/>
          <w:szCs w:val="21"/>
          <w:shd w:val="clear" w:color="auto" w:fill="FFFFFF"/>
        </w:rPr>
      </w:pPr>
      <w:r w:rsidRPr="00A24278">
        <w:rPr>
          <w:rFonts w:ascii="Times New Roman" w:eastAsia="宋体" w:hAnsi="Times New Roman" w:cs="Times New Roman" w:hint="eastAsia"/>
          <w:color w:val="0F1115"/>
          <w:szCs w:val="21"/>
          <w:shd w:val="clear" w:color="auto" w:fill="FFFFFF"/>
        </w:rPr>
        <w:t>第三版：</w:t>
      </w:r>
      <w:hyperlink r:id="rId12" w:history="1">
        <w:r w:rsidRPr="000C17E7">
          <w:rPr>
            <w:rStyle w:val="a7"/>
            <w:rFonts w:ascii="Times New Roman" w:eastAsia="宋体" w:hAnsi="Times New Roman" w:cs="Times New Roman"/>
            <w:szCs w:val="21"/>
            <w:shd w:val="clear" w:color="auto" w:fill="FFFFFF"/>
          </w:rPr>
          <w:t>https://www.cda-amc.ca/media/pdf/186_EconomicGuidelines_e.pdf</w:t>
        </w:r>
      </w:hyperlink>
    </w:p>
    <w:p w14:paraId="3F765720" w14:textId="61E579B0" w:rsidR="000C17E7" w:rsidRDefault="000C17E7" w:rsidP="000C17E7">
      <w:pPr>
        <w:pStyle w:val="a9"/>
        <w:rPr>
          <w:shd w:val="clear" w:color="auto" w:fill="FFFFFF"/>
        </w:rPr>
      </w:pPr>
      <w:r>
        <w:rPr>
          <w:rFonts w:hint="eastAsia"/>
          <w:shd w:val="clear" w:color="auto" w:fill="FFFFFF"/>
        </w:rPr>
        <w:t>第四版：</w:t>
      </w:r>
      <w:hyperlink r:id="rId13" w:history="1">
        <w:r w:rsidRPr="00084647">
          <w:rPr>
            <w:rStyle w:val="a7"/>
            <w:shd w:val="clear" w:color="auto" w:fill="FFFFFF"/>
          </w:rPr>
          <w:t>https://www.cda-amc.ca/sites/default/files/pdf/guidelines_for_the_economic_evaluation_of_health_technologies_canada_4th_ed.pdf</w:t>
        </w:r>
      </w:hyperlink>
    </w:p>
    <w:p w14:paraId="17F9C9B4" w14:textId="77777777" w:rsidR="000C17E7" w:rsidRDefault="000C17E7" w:rsidP="000C17E7">
      <w:pPr>
        <w:pStyle w:val="a9"/>
        <w:rPr>
          <w:shd w:val="clear" w:color="auto" w:fill="FFFFFF"/>
        </w:rPr>
      </w:pPr>
    </w:p>
    <w:p w14:paraId="0E1216EA" w14:textId="65BD434B" w:rsidR="000C17E7" w:rsidRPr="000C17E7" w:rsidRDefault="000C17E7" w:rsidP="000C17E7">
      <w:pPr>
        <w:pStyle w:val="a9"/>
        <w:rPr>
          <w:shd w:val="clear" w:color="auto" w:fill="FFFFFF"/>
        </w:rPr>
      </w:pPr>
      <w:r w:rsidRPr="000C17E7">
        <w:rPr>
          <w:rFonts w:hint="eastAsia"/>
          <w:shd w:val="clear" w:color="auto" w:fill="FFFFFF"/>
        </w:rPr>
        <w:t>澳大利亚：</w:t>
      </w:r>
    </w:p>
    <w:p w14:paraId="6C1E4D5F" w14:textId="4E93E38E" w:rsidR="000C17E7" w:rsidRDefault="000C17E7" w:rsidP="000C17E7">
      <w:pPr>
        <w:pStyle w:val="a9"/>
        <w:rPr>
          <w:shd w:val="clear" w:color="auto" w:fill="FFFFFF"/>
        </w:rPr>
      </w:pPr>
      <w:r>
        <w:rPr>
          <w:rFonts w:hint="eastAsia"/>
          <w:shd w:val="clear" w:color="auto" w:fill="FFFFFF"/>
        </w:rPr>
        <w:t>草案：</w:t>
      </w:r>
      <w:hyperlink r:id="rId14" w:history="1">
        <w:r w:rsidRPr="00084647">
          <w:rPr>
            <w:rStyle w:val="a7"/>
            <w:rFonts w:hint="eastAsia"/>
            <w:shd w:val="clear" w:color="auto" w:fill="FFFFFF"/>
          </w:rPr>
          <w:t>https://pbac.pbs.gov.au/information/printable-version-of-guidelines.html</w:t>
        </w:r>
      </w:hyperlink>
    </w:p>
    <w:p w14:paraId="5F9752AC" w14:textId="62C5A06D" w:rsidR="000C17E7" w:rsidRDefault="000C17E7" w:rsidP="000C17E7">
      <w:pPr>
        <w:pStyle w:val="a9"/>
        <w:rPr>
          <w:shd w:val="clear" w:color="auto" w:fill="FFFFFF"/>
        </w:rPr>
      </w:pPr>
      <w:r>
        <w:rPr>
          <w:rFonts w:hint="eastAsia"/>
          <w:shd w:val="clear" w:color="auto" w:fill="FFFFFF"/>
        </w:rPr>
        <w:t>第二版：</w:t>
      </w:r>
      <w:hyperlink r:id="rId15" w:history="1">
        <w:r w:rsidRPr="00084647">
          <w:rPr>
            <w:rStyle w:val="a7"/>
            <w:rFonts w:hint="eastAsia"/>
            <w:shd w:val="clear" w:color="auto" w:fill="FFFFFF"/>
          </w:rPr>
          <w:t>https://pbac.pbs.gov.au/information/printable-version-of-guidelines.html</w:t>
        </w:r>
      </w:hyperlink>
    </w:p>
    <w:p w14:paraId="1515BCDD" w14:textId="0C9A2E2D" w:rsidR="00A24278" w:rsidRPr="00A24278" w:rsidRDefault="000C17E7" w:rsidP="000C17E7">
      <w:pPr>
        <w:pStyle w:val="a9"/>
        <w:rPr>
          <w:shd w:val="clear" w:color="auto" w:fill="FFFFFF"/>
        </w:rPr>
      </w:pPr>
      <w:r>
        <w:rPr>
          <w:rFonts w:hint="eastAsia"/>
          <w:shd w:val="clear" w:color="auto" w:fill="FFFFFF"/>
        </w:rPr>
        <w:t>第三版：</w:t>
      </w:r>
      <w:r w:rsidRPr="000C17E7">
        <w:rPr>
          <w:rFonts w:hint="eastAsia"/>
          <w:shd w:val="clear" w:color="auto" w:fill="FFFFFF"/>
        </w:rPr>
        <w:t>https://pbac.pbs.gov.au/content/information/archived-versions/pbac-guidelines-1995.doc</w:t>
      </w:r>
    </w:p>
    <w:p w14:paraId="7D6D3AC9" w14:textId="12C120DE" w:rsidR="000C17E7" w:rsidRDefault="000C17E7" w:rsidP="000C17E7">
      <w:pPr>
        <w:pStyle w:val="a9"/>
        <w:rPr>
          <w:shd w:val="clear" w:color="auto" w:fill="FFFFFF"/>
        </w:rPr>
      </w:pPr>
      <w:r>
        <w:rPr>
          <w:rFonts w:hint="eastAsia"/>
          <w:shd w:val="clear" w:color="auto" w:fill="FFFFFF"/>
        </w:rPr>
        <w:t>第四版：</w:t>
      </w:r>
      <w:hyperlink r:id="rId16" w:history="1">
        <w:r w:rsidRPr="00084647">
          <w:rPr>
            <w:rStyle w:val="a7"/>
            <w:rFonts w:hint="eastAsia"/>
            <w:shd w:val="clear" w:color="auto" w:fill="FFFFFF"/>
          </w:rPr>
          <w:t>https://pbac.pbs.gov.au/content/information/archived-versions/pbac-guidelines-v4-2006.doc</w:t>
        </w:r>
      </w:hyperlink>
    </w:p>
    <w:p w14:paraId="570645B2" w14:textId="50437E5C" w:rsidR="000C17E7" w:rsidRDefault="000C17E7" w:rsidP="000C17E7">
      <w:pPr>
        <w:pStyle w:val="a9"/>
        <w:rPr>
          <w:shd w:val="clear" w:color="auto" w:fill="FFFFFF"/>
        </w:rPr>
      </w:pPr>
      <w:r>
        <w:rPr>
          <w:rFonts w:hint="eastAsia"/>
          <w:shd w:val="clear" w:color="auto" w:fill="FFFFFF"/>
        </w:rPr>
        <w:lastRenderedPageBreak/>
        <w:t>4.3</w:t>
      </w:r>
      <w:r>
        <w:rPr>
          <w:rFonts w:hint="eastAsia"/>
          <w:shd w:val="clear" w:color="auto" w:fill="FFFFFF"/>
        </w:rPr>
        <w:t>：</w:t>
      </w:r>
      <w:hyperlink r:id="rId17" w:history="1">
        <w:r w:rsidRPr="000C17E7">
          <w:rPr>
            <w:rStyle w:val="a7"/>
            <w:rFonts w:hint="eastAsia"/>
            <w:shd w:val="clear" w:color="auto" w:fill="FFFFFF"/>
          </w:rPr>
          <w:t>https://pbac.pbs.gov.au/content/information/archived-versions/pbac-guidelines-v4-3-2008.pdf</w:t>
        </w:r>
      </w:hyperlink>
    </w:p>
    <w:p w14:paraId="66A09FC1" w14:textId="5ADCC29A" w:rsidR="000C17E7" w:rsidRDefault="000C17E7" w:rsidP="000C17E7">
      <w:pPr>
        <w:pStyle w:val="a9"/>
        <w:rPr>
          <w:shd w:val="clear" w:color="auto" w:fill="FFFFFF"/>
        </w:rPr>
      </w:pPr>
      <w:r>
        <w:rPr>
          <w:rFonts w:hint="eastAsia"/>
          <w:shd w:val="clear" w:color="auto" w:fill="FFFFFF"/>
        </w:rPr>
        <w:t>4.5</w:t>
      </w:r>
      <w:r>
        <w:rPr>
          <w:rFonts w:hint="eastAsia"/>
          <w:shd w:val="clear" w:color="auto" w:fill="FFFFFF"/>
        </w:rPr>
        <w:t>：</w:t>
      </w:r>
      <w:r w:rsidR="00A24278" w:rsidRPr="00A24278">
        <w:rPr>
          <w:shd w:val="clear" w:color="auto" w:fill="FFFFFF"/>
        </w:rPr>
        <w:t>https://pbac.pbs.gov.au/content/information/archived-versions/pbac-guidelines-v4-5.pdf</w:t>
      </w:r>
    </w:p>
    <w:p w14:paraId="43F650BF" w14:textId="5F283146" w:rsidR="000C17E7" w:rsidRDefault="000C17E7" w:rsidP="000C17E7">
      <w:pPr>
        <w:pStyle w:val="a9"/>
        <w:rPr>
          <w:shd w:val="clear" w:color="auto" w:fill="FFFFFF"/>
        </w:rPr>
      </w:pPr>
      <w:r>
        <w:rPr>
          <w:rFonts w:hint="eastAsia"/>
          <w:shd w:val="clear" w:color="auto" w:fill="FFFFFF"/>
        </w:rPr>
        <w:t>第五版：</w:t>
      </w:r>
      <w:hyperlink r:id="rId18" w:history="1">
        <w:r w:rsidRPr="00084647">
          <w:rPr>
            <w:rStyle w:val="a7"/>
            <w:rFonts w:hint="eastAsia"/>
            <w:shd w:val="clear" w:color="auto" w:fill="FFFFFF"/>
          </w:rPr>
          <w:t>https://pbac.pbs.gov.au/content/information/files/pbac-guidelines-version-5.docx</w:t>
        </w:r>
      </w:hyperlink>
    </w:p>
    <w:p w14:paraId="08B6375C" w14:textId="54601154" w:rsidR="000C17E7" w:rsidRDefault="000C17E7" w:rsidP="000C17E7">
      <w:pPr>
        <w:pStyle w:val="a9"/>
        <w:rPr>
          <w:shd w:val="clear" w:color="auto" w:fill="FFFFFF"/>
        </w:rPr>
      </w:pPr>
      <w:r w:rsidRPr="000C17E7">
        <w:rPr>
          <w:rFonts w:hint="eastAsia"/>
          <w:shd w:val="clear" w:color="auto" w:fill="FFFFFF"/>
        </w:rPr>
        <w:t>《卫生技术评估政策与方法审查》最终报告</w:t>
      </w:r>
      <w:r>
        <w:rPr>
          <w:rFonts w:hint="eastAsia"/>
          <w:shd w:val="clear" w:color="auto" w:fill="FFFFFF"/>
        </w:rPr>
        <w:t>：</w:t>
      </w:r>
      <w:hyperlink r:id="rId19" w:history="1">
        <w:r w:rsidRPr="00084647">
          <w:rPr>
            <w:rStyle w:val="a7"/>
            <w:rFonts w:hint="eastAsia"/>
            <w:shd w:val="clear" w:color="auto" w:fill="FFFFFF"/>
          </w:rPr>
          <w:t>https://www.health.gov.au/sites/default/files/2024-09/health-technology-assessment-policy-and-methods-review-final-report_0.pdf</w:t>
        </w:r>
      </w:hyperlink>
    </w:p>
    <w:p w14:paraId="3D593EF9" w14:textId="77777777" w:rsidR="000C17E7" w:rsidRPr="000C17E7" w:rsidRDefault="000C17E7" w:rsidP="000C17E7">
      <w:pPr>
        <w:pStyle w:val="a9"/>
        <w:rPr>
          <w:shd w:val="clear" w:color="auto" w:fill="FFFFFF"/>
        </w:rPr>
      </w:pPr>
    </w:p>
    <w:p w14:paraId="50445E6F" w14:textId="7A5C2473" w:rsidR="000C17E7" w:rsidRDefault="000C17E7" w:rsidP="000C17E7">
      <w:pPr>
        <w:pStyle w:val="a9"/>
        <w:rPr>
          <w:shd w:val="clear" w:color="auto" w:fill="FFFFFF"/>
        </w:rPr>
      </w:pPr>
      <w:r>
        <w:rPr>
          <w:rFonts w:hint="eastAsia"/>
          <w:shd w:val="clear" w:color="auto" w:fill="FFFFFF"/>
        </w:rPr>
        <w:t>泰国：</w:t>
      </w:r>
    </w:p>
    <w:p w14:paraId="06985FB0" w14:textId="1811D66A" w:rsidR="000C17E7" w:rsidRDefault="000C17E7" w:rsidP="000C17E7">
      <w:pPr>
        <w:pStyle w:val="a9"/>
        <w:rPr>
          <w:shd w:val="clear" w:color="auto" w:fill="FFFFFF"/>
        </w:rPr>
      </w:pPr>
      <w:r>
        <w:rPr>
          <w:rFonts w:hint="eastAsia"/>
          <w:shd w:val="clear" w:color="auto" w:fill="FFFFFF"/>
        </w:rPr>
        <w:t>第一版：</w:t>
      </w:r>
      <w:hyperlink r:id="rId20" w:history="1">
        <w:r w:rsidRPr="00084647">
          <w:rPr>
            <w:rStyle w:val="a7"/>
            <w:rFonts w:hint="eastAsia"/>
            <w:shd w:val="clear" w:color="auto" w:fill="FFFFFF"/>
          </w:rPr>
          <w:t>https://kb.hsri.or.th/dspace/handle/11228/1221?locale-attribute=th&amp;offset=3&amp;src=%2Fdspace%2Fhandle%2F11228%2F8%2Fdiscover%3Frpp%3D10%26etal%3D0%26group_by%3Dnone%26page%3D64</w:t>
        </w:r>
      </w:hyperlink>
    </w:p>
    <w:p w14:paraId="72FE09FD" w14:textId="4A535980" w:rsidR="000C17E7" w:rsidRPr="000C17E7" w:rsidRDefault="000C17E7" w:rsidP="00A24278">
      <w:pPr>
        <w:pStyle w:val="a9"/>
        <w:rPr>
          <w:shd w:val="clear" w:color="auto" w:fill="FFFFFF"/>
        </w:rPr>
      </w:pPr>
      <w:r w:rsidRPr="000C17E7">
        <w:rPr>
          <w:rFonts w:hint="eastAsia"/>
          <w:shd w:val="clear" w:color="auto" w:fill="FFFFFF"/>
        </w:rPr>
        <w:t>第二版</w:t>
      </w:r>
      <w:r>
        <w:rPr>
          <w:rFonts w:hint="eastAsia"/>
          <w:shd w:val="clear" w:color="auto" w:fill="FFFFFF"/>
        </w:rPr>
        <w:t>：</w:t>
      </w:r>
      <w:hyperlink r:id="rId21" w:history="1">
        <w:r w:rsidRPr="00084647">
          <w:rPr>
            <w:rStyle w:val="a7"/>
            <w:rFonts w:hint="eastAsia"/>
            <w:shd w:val="clear" w:color="auto" w:fill="FFFFFF"/>
          </w:rPr>
          <w:t>https://www.hitap.net/en/document/hta-guidelines-thailand-2014/</w:t>
        </w:r>
      </w:hyperlink>
    </w:p>
    <w:p w14:paraId="71C0C81A" w14:textId="05324188" w:rsidR="000C17E7" w:rsidRPr="000C17E7" w:rsidRDefault="000C17E7" w:rsidP="00A24278">
      <w:pPr>
        <w:pStyle w:val="a9"/>
        <w:ind w:firstLineChars="100" w:firstLine="210"/>
        <w:rPr>
          <w:shd w:val="clear" w:color="auto" w:fill="FFFFFF"/>
        </w:rPr>
      </w:pPr>
    </w:p>
    <w:sectPr w:rsidR="000C17E7" w:rsidRPr="000C17E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Haijing Guan" w:date="2026-02-14T14:00:00Z" w:initials="">
    <w:p w14:paraId="072AD06E" w14:textId="77777777" w:rsidR="00DF3040" w:rsidRDefault="007E4424">
      <w:pPr>
        <w:pStyle w:val="a8"/>
      </w:pPr>
      <w:r>
        <w:rPr>
          <w:rFonts w:hint="eastAsia"/>
        </w:rPr>
        <w:t>在第</w:t>
      </w:r>
      <w:r>
        <w:rPr>
          <w:rFonts w:hint="eastAsia"/>
        </w:rPr>
        <w:t>2</w:t>
      </w:r>
      <w:r>
        <w:rPr>
          <w:rFonts w:hint="eastAsia"/>
        </w:rPr>
        <w:t>点中，不是侧重支付方视角吗，前后是否矛盾呢？</w:t>
      </w:r>
    </w:p>
  </w:comment>
  <w:comment w:id="25" w:author="Haijing Guan" w:date="2026-02-14T14:06:00Z" w:initials="">
    <w:p w14:paraId="072AD070" w14:textId="77777777" w:rsidR="00DF3040" w:rsidRDefault="007E4424">
      <w:pPr>
        <w:pStyle w:val="a8"/>
      </w:pPr>
      <w:r>
        <w:rPr>
          <w:rFonts w:hint="eastAsia"/>
        </w:rPr>
        <w:t>建议补充英文全称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2AD06E" w15:done="0"/>
  <w15:commentEx w15:paraId="072AD07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2AD06E" w16cid:durableId="072AD067"/>
  <w16cid:commentId w16cid:paraId="072AD070" w16cid:durableId="072AD0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30DD3" w14:textId="77777777" w:rsidR="003629D0" w:rsidRDefault="003629D0" w:rsidP="003629D0">
      <w:r>
        <w:separator/>
      </w:r>
    </w:p>
  </w:endnote>
  <w:endnote w:type="continuationSeparator" w:id="0">
    <w:p w14:paraId="17C7D284" w14:textId="77777777" w:rsidR="003629D0" w:rsidRDefault="003629D0" w:rsidP="003629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1" w:fontKey="{238431C5-4596-48E5-8919-B0B649BC902A}"/>
    <w:embedBold r:id="rId2" w:fontKey="{C5F33686-394A-49DA-B21A-64464D89165D}"/>
  </w:font>
  <w:font w:name="黑体">
    <w:altName w:val="SimHei"/>
    <w:panose1 w:val="02010609060101010101"/>
    <w:charset w:val="86"/>
    <w:family w:val="modern"/>
    <w:pitch w:val="fixed"/>
    <w:sig w:usb0="800002BF" w:usb1="38CF7CFA" w:usb2="00000016" w:usb3="00000000" w:csb0="00040001" w:csb1="00000000"/>
    <w:embedRegular r:id="rId3" w:subsetted="1" w:fontKey="{C11301E3-7A4F-4B10-8611-D7AE8F9F906E}"/>
    <w:embedBold r:id="rId4" w:subsetted="1" w:fontKey="{0C748CFE-AB48-4646-A03F-D74F0BEA1F82}"/>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06AEA" w14:textId="77777777" w:rsidR="003629D0" w:rsidRDefault="003629D0" w:rsidP="003629D0">
      <w:r>
        <w:separator/>
      </w:r>
    </w:p>
  </w:footnote>
  <w:footnote w:type="continuationSeparator" w:id="0">
    <w:p w14:paraId="0EC09972" w14:textId="77777777" w:rsidR="003629D0" w:rsidRDefault="003629D0" w:rsidP="003629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505FB"/>
    <w:multiLevelType w:val="singleLevel"/>
    <w:tmpl w:val="44E505FB"/>
    <w:lvl w:ilvl="0">
      <w:start w:val="1"/>
      <w:numFmt w:val="decimal"/>
      <w:lvlText w:val="%1."/>
      <w:lvlJc w:val="left"/>
      <w:pPr>
        <w:tabs>
          <w:tab w:val="left" w:pos="312"/>
        </w:tabs>
      </w:pPr>
    </w:lvl>
  </w:abstractNum>
  <w:abstractNum w:abstractNumId="1" w15:restartNumberingAfterBreak="0">
    <w:nsid w:val="741B7569"/>
    <w:multiLevelType w:val="hybridMultilevel"/>
    <w:tmpl w:val="392233E2"/>
    <w:lvl w:ilvl="0" w:tplc="6DBC3EEC">
      <w:start w:val="1"/>
      <w:numFmt w:val="decimal"/>
      <w:lvlText w:val="%1."/>
      <w:lvlJc w:val="left"/>
      <w:pPr>
        <w:ind w:left="840" w:hanging="36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429742759">
    <w:abstractNumId w:val="0"/>
  </w:num>
  <w:num w:numId="2" w16cid:durableId="164825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aveSubsetFonts/>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mE4ZWJjZmEwNjlmMGJhNDg2YWJhNWJmMjU0MmVmYWMifQ=="/>
  </w:docVars>
  <w:rsids>
    <w:rsidRoot w:val="00A276EB"/>
    <w:rsid w:val="9DF70F6E"/>
    <w:rsid w:val="B75BC39B"/>
    <w:rsid w:val="B7FD1B93"/>
    <w:rsid w:val="C0E30EAE"/>
    <w:rsid w:val="D71B4ABB"/>
    <w:rsid w:val="EEE96601"/>
    <w:rsid w:val="FCB73401"/>
    <w:rsid w:val="FEAE1A9C"/>
    <w:rsid w:val="FF5F1A10"/>
    <w:rsid w:val="FF7721BF"/>
    <w:rsid w:val="FFDE15DF"/>
    <w:rsid w:val="FFDF7E62"/>
    <w:rsid w:val="00014D2F"/>
    <w:rsid w:val="0001763C"/>
    <w:rsid w:val="000214FC"/>
    <w:rsid w:val="00025AB2"/>
    <w:rsid w:val="00034BCC"/>
    <w:rsid w:val="000C17E7"/>
    <w:rsid w:val="00107707"/>
    <w:rsid w:val="00165A44"/>
    <w:rsid w:val="0019467B"/>
    <w:rsid w:val="001A12FD"/>
    <w:rsid w:val="001B6EC5"/>
    <w:rsid w:val="001E6638"/>
    <w:rsid w:val="001F46A4"/>
    <w:rsid w:val="00234170"/>
    <w:rsid w:val="002B5201"/>
    <w:rsid w:val="002E51BA"/>
    <w:rsid w:val="002E6708"/>
    <w:rsid w:val="003366F5"/>
    <w:rsid w:val="00347C7B"/>
    <w:rsid w:val="003629D0"/>
    <w:rsid w:val="003B4C58"/>
    <w:rsid w:val="003C7C2C"/>
    <w:rsid w:val="003D55A2"/>
    <w:rsid w:val="0040384D"/>
    <w:rsid w:val="0041798D"/>
    <w:rsid w:val="00480E5E"/>
    <w:rsid w:val="00487FDB"/>
    <w:rsid w:val="004A6CF7"/>
    <w:rsid w:val="004D1176"/>
    <w:rsid w:val="005410B0"/>
    <w:rsid w:val="005A68D1"/>
    <w:rsid w:val="005C30F2"/>
    <w:rsid w:val="005C65C6"/>
    <w:rsid w:val="00631D39"/>
    <w:rsid w:val="00682BEC"/>
    <w:rsid w:val="006837DF"/>
    <w:rsid w:val="006C476C"/>
    <w:rsid w:val="006E3C71"/>
    <w:rsid w:val="006E5468"/>
    <w:rsid w:val="006F0D6B"/>
    <w:rsid w:val="00715D05"/>
    <w:rsid w:val="00727E24"/>
    <w:rsid w:val="00765954"/>
    <w:rsid w:val="00770478"/>
    <w:rsid w:val="007A0EE8"/>
    <w:rsid w:val="007B3505"/>
    <w:rsid w:val="007B3A32"/>
    <w:rsid w:val="007D4597"/>
    <w:rsid w:val="007E08EF"/>
    <w:rsid w:val="007E4424"/>
    <w:rsid w:val="007F4DF5"/>
    <w:rsid w:val="00802AFA"/>
    <w:rsid w:val="008614F7"/>
    <w:rsid w:val="008C6551"/>
    <w:rsid w:val="008D5AD0"/>
    <w:rsid w:val="008E41FD"/>
    <w:rsid w:val="008F20E1"/>
    <w:rsid w:val="00911B10"/>
    <w:rsid w:val="009E154C"/>
    <w:rsid w:val="00A13546"/>
    <w:rsid w:val="00A1790E"/>
    <w:rsid w:val="00A24278"/>
    <w:rsid w:val="00A276EB"/>
    <w:rsid w:val="00A36E94"/>
    <w:rsid w:val="00A62F85"/>
    <w:rsid w:val="00A847ED"/>
    <w:rsid w:val="00AF1578"/>
    <w:rsid w:val="00B0714B"/>
    <w:rsid w:val="00B2643E"/>
    <w:rsid w:val="00B40334"/>
    <w:rsid w:val="00B51130"/>
    <w:rsid w:val="00B67503"/>
    <w:rsid w:val="00B7747F"/>
    <w:rsid w:val="00B872F0"/>
    <w:rsid w:val="00B87A8B"/>
    <w:rsid w:val="00BB6605"/>
    <w:rsid w:val="00BE63B3"/>
    <w:rsid w:val="00C44DDD"/>
    <w:rsid w:val="00C533A5"/>
    <w:rsid w:val="00CB4310"/>
    <w:rsid w:val="00CD5A1D"/>
    <w:rsid w:val="00CE5083"/>
    <w:rsid w:val="00CF182D"/>
    <w:rsid w:val="00D23606"/>
    <w:rsid w:val="00D54E8B"/>
    <w:rsid w:val="00D70237"/>
    <w:rsid w:val="00D96A7C"/>
    <w:rsid w:val="00DA165D"/>
    <w:rsid w:val="00DF2868"/>
    <w:rsid w:val="00DF3040"/>
    <w:rsid w:val="00DF68ED"/>
    <w:rsid w:val="00E04A59"/>
    <w:rsid w:val="00E17DAD"/>
    <w:rsid w:val="00E25003"/>
    <w:rsid w:val="00E63735"/>
    <w:rsid w:val="00E77C4B"/>
    <w:rsid w:val="00E831BD"/>
    <w:rsid w:val="00E92F66"/>
    <w:rsid w:val="00EE1C76"/>
    <w:rsid w:val="00F03456"/>
    <w:rsid w:val="00F05BC6"/>
    <w:rsid w:val="00F05F55"/>
    <w:rsid w:val="00F26885"/>
    <w:rsid w:val="00F2722C"/>
    <w:rsid w:val="00F3375A"/>
    <w:rsid w:val="00F44ADE"/>
    <w:rsid w:val="00F46513"/>
    <w:rsid w:val="00F83A43"/>
    <w:rsid w:val="00FA7452"/>
    <w:rsid w:val="00FF718F"/>
    <w:rsid w:val="012E1F5F"/>
    <w:rsid w:val="02DD6E97"/>
    <w:rsid w:val="03D90444"/>
    <w:rsid w:val="04567CE7"/>
    <w:rsid w:val="052971A9"/>
    <w:rsid w:val="06340605"/>
    <w:rsid w:val="089900B5"/>
    <w:rsid w:val="09970613"/>
    <w:rsid w:val="0AC1328C"/>
    <w:rsid w:val="0C2E6DE2"/>
    <w:rsid w:val="1095655E"/>
    <w:rsid w:val="11EA5152"/>
    <w:rsid w:val="129E4D32"/>
    <w:rsid w:val="135A2849"/>
    <w:rsid w:val="167671E4"/>
    <w:rsid w:val="17466FDC"/>
    <w:rsid w:val="18F7519C"/>
    <w:rsid w:val="1A383D5E"/>
    <w:rsid w:val="1B260CF5"/>
    <w:rsid w:val="1DAFC4D5"/>
    <w:rsid w:val="1E7D435D"/>
    <w:rsid w:val="1FA81E2C"/>
    <w:rsid w:val="1FBE67D1"/>
    <w:rsid w:val="209A5049"/>
    <w:rsid w:val="231652D2"/>
    <w:rsid w:val="23CD3505"/>
    <w:rsid w:val="23D20B13"/>
    <w:rsid w:val="2A1939B5"/>
    <w:rsid w:val="2A2878AC"/>
    <w:rsid w:val="2A463335"/>
    <w:rsid w:val="2AA56F7B"/>
    <w:rsid w:val="2DD029D5"/>
    <w:rsid w:val="2DF6532C"/>
    <w:rsid w:val="2F6F5F5B"/>
    <w:rsid w:val="30283968"/>
    <w:rsid w:val="309F3C7F"/>
    <w:rsid w:val="31002970"/>
    <w:rsid w:val="344E3E12"/>
    <w:rsid w:val="37801038"/>
    <w:rsid w:val="380D00E1"/>
    <w:rsid w:val="38DD7BCC"/>
    <w:rsid w:val="3B4C0F20"/>
    <w:rsid w:val="3BAE5737"/>
    <w:rsid w:val="3EAD7FD1"/>
    <w:rsid w:val="438F40A0"/>
    <w:rsid w:val="43E109C0"/>
    <w:rsid w:val="48DA6428"/>
    <w:rsid w:val="4E800CBA"/>
    <w:rsid w:val="4F3B33EB"/>
    <w:rsid w:val="4F6252BE"/>
    <w:rsid w:val="50A16AE0"/>
    <w:rsid w:val="5119172D"/>
    <w:rsid w:val="518E552F"/>
    <w:rsid w:val="51CF405B"/>
    <w:rsid w:val="53A17A79"/>
    <w:rsid w:val="552C2673"/>
    <w:rsid w:val="56C20A54"/>
    <w:rsid w:val="57BFA8C9"/>
    <w:rsid w:val="59242179"/>
    <w:rsid w:val="5D4B5084"/>
    <w:rsid w:val="603E1C1C"/>
    <w:rsid w:val="62FD34C7"/>
    <w:rsid w:val="65AB4A92"/>
    <w:rsid w:val="69E07DF2"/>
    <w:rsid w:val="6B233E9C"/>
    <w:rsid w:val="6B2F346E"/>
    <w:rsid w:val="6C716E95"/>
    <w:rsid w:val="6E6908BB"/>
    <w:rsid w:val="6F432CEB"/>
    <w:rsid w:val="6FB7772D"/>
    <w:rsid w:val="6FE21015"/>
    <w:rsid w:val="701424BF"/>
    <w:rsid w:val="72586042"/>
    <w:rsid w:val="72803B04"/>
    <w:rsid w:val="72C23719"/>
    <w:rsid w:val="74CD1439"/>
    <w:rsid w:val="770E30C6"/>
    <w:rsid w:val="776939F7"/>
    <w:rsid w:val="77C8173B"/>
    <w:rsid w:val="78541687"/>
    <w:rsid w:val="793B8DE8"/>
    <w:rsid w:val="79955265"/>
    <w:rsid w:val="7EB968B6"/>
    <w:rsid w:val="7F85D6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72AD004"/>
  <w15:docId w15:val="{2183F510-0B1A-4095-B6CC-513C00D16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批注主题 字符"/>
    <w:basedOn w:val="a4"/>
    <w:link w:val="a5"/>
    <w:qFormat/>
    <w:rPr>
      <w:rFonts w:asciiTheme="minorHAnsi" w:eastAsiaTheme="minorEastAsia" w:hAnsiTheme="minorHAnsi" w:cstheme="minorBidi"/>
      <w:b/>
      <w:bCs/>
      <w:kern w:val="2"/>
      <w:sz w:val="21"/>
      <w:szCs w:val="22"/>
      <w14:ligatures w14:val="standardContextual"/>
    </w:rPr>
  </w:style>
  <w:style w:type="paragraph" w:customStyle="1" w:styleId="1">
    <w:name w:val="修订1"/>
    <w:hidden/>
    <w:uiPriority w:val="99"/>
    <w:unhideWhenUsed/>
    <w:qFormat/>
    <w:rPr>
      <w:rFonts w:asciiTheme="minorHAnsi" w:eastAsiaTheme="minorEastAsia" w:hAnsiTheme="minorHAnsi" w:cstheme="minorBidi"/>
      <w:kern w:val="2"/>
      <w:sz w:val="21"/>
      <w:szCs w:val="22"/>
      <w14:ligatures w14:val="standardContextual"/>
    </w:rPr>
  </w:style>
  <w:style w:type="character" w:styleId="a6">
    <w:name w:val="annotation reference"/>
    <w:basedOn w:val="a0"/>
    <w:qFormat/>
    <w:rPr>
      <w:sz w:val="21"/>
      <w:szCs w:val="21"/>
    </w:rPr>
  </w:style>
  <w:style w:type="character" w:styleId="a7">
    <w:name w:val="Hyperlink"/>
    <w:basedOn w:val="a0"/>
    <w:autoRedefine/>
    <w:qFormat/>
    <w:rPr>
      <w:color w:val="0026E5" w:themeColor="hyperlink"/>
      <w:u w:val="single"/>
    </w:rPr>
  </w:style>
  <w:style w:type="paragraph" w:styleId="TOC1">
    <w:name w:val="toc 1"/>
    <w:basedOn w:val="a"/>
    <w:next w:val="a"/>
    <w:qFormat/>
  </w:style>
  <w:style w:type="paragraph" w:styleId="TOC3">
    <w:name w:val="toc 3"/>
    <w:basedOn w:val="a"/>
    <w:next w:val="a"/>
    <w:qFormat/>
    <w:pPr>
      <w:ind w:leftChars="400" w:left="840"/>
    </w:pPr>
  </w:style>
  <w:style w:type="character" w:customStyle="1" w:styleId="10">
    <w:name w:val="未处理的提及1"/>
    <w:basedOn w:val="a0"/>
    <w:autoRedefine/>
    <w:uiPriority w:val="99"/>
    <w:semiHidden/>
    <w:unhideWhenUsed/>
    <w:qFormat/>
    <w:rPr>
      <w:color w:val="605E5C"/>
      <w:shd w:val="clear" w:color="auto" w:fill="E1DFDD"/>
    </w:rPr>
  </w:style>
  <w:style w:type="character" w:customStyle="1" w:styleId="a4">
    <w:name w:val="批注文字 字符"/>
    <w:basedOn w:val="a0"/>
    <w:link w:val="a8"/>
    <w:qFormat/>
    <w:rPr>
      <w:rFonts w:asciiTheme="minorHAnsi" w:eastAsiaTheme="minorEastAsia" w:hAnsiTheme="minorHAnsi" w:cstheme="minorBidi"/>
      <w:kern w:val="2"/>
      <w:sz w:val="21"/>
      <w:szCs w:val="22"/>
      <w14:ligatures w14:val="standardContextual"/>
    </w:rPr>
  </w:style>
  <w:style w:type="paragraph" w:styleId="TOC2">
    <w:name w:val="toc 2"/>
    <w:basedOn w:val="a"/>
    <w:next w:val="a"/>
    <w:qFormat/>
    <w:pPr>
      <w:ind w:leftChars="200" w:left="420"/>
    </w:pPr>
  </w:style>
  <w:style w:type="paragraph" w:styleId="a5">
    <w:name w:val="annotation subject"/>
    <w:basedOn w:val="a8"/>
    <w:next w:val="a8"/>
    <w:link w:val="a3"/>
    <w:qFormat/>
    <w:rPr>
      <w:b/>
      <w:bCs/>
    </w:rPr>
  </w:style>
  <w:style w:type="paragraph" w:styleId="a8">
    <w:name w:val="annotation text"/>
    <w:basedOn w:val="a"/>
    <w:link w:val="a4"/>
    <w:qFormat/>
    <w:pPr>
      <w:jc w:val="left"/>
    </w:pPr>
  </w:style>
  <w:style w:type="paragraph" w:styleId="a9">
    <w:name w:val="List Paragraph"/>
    <w:basedOn w:val="a"/>
    <w:autoRedefine/>
    <w:uiPriority w:val="99"/>
    <w:unhideWhenUsed/>
    <w:qFormat/>
    <w:rsid w:val="000C17E7"/>
    <w:pPr>
      <w:widowControl/>
      <w:spacing w:line="360" w:lineRule="auto"/>
      <w:jc w:val="left"/>
    </w:pPr>
  </w:style>
  <w:style w:type="paragraph" w:customStyle="1" w:styleId="2">
    <w:name w:val="修订2"/>
    <w:hidden/>
    <w:uiPriority w:val="99"/>
    <w:unhideWhenUsed/>
    <w:qFormat/>
    <w:rPr>
      <w:rFonts w:asciiTheme="minorHAnsi" w:eastAsiaTheme="minorEastAsia" w:hAnsiTheme="minorHAnsi" w:cstheme="minorBidi"/>
      <w:kern w:val="2"/>
      <w:sz w:val="21"/>
      <w:szCs w:val="22"/>
      <w14:ligatures w14:val="standardContextual"/>
    </w:rPr>
  </w:style>
  <w:style w:type="paragraph" w:customStyle="1" w:styleId="3">
    <w:name w:val="修订3"/>
    <w:hidden/>
    <w:uiPriority w:val="99"/>
    <w:unhideWhenUsed/>
    <w:qFormat/>
    <w:rPr>
      <w:rFonts w:asciiTheme="minorHAnsi" w:eastAsiaTheme="minorEastAsia" w:hAnsiTheme="minorHAnsi" w:cstheme="minorBidi"/>
      <w:kern w:val="2"/>
      <w:sz w:val="21"/>
      <w:szCs w:val="22"/>
      <w14:ligatures w14:val="standardContextual"/>
    </w:rPr>
  </w:style>
  <w:style w:type="character" w:styleId="aa">
    <w:name w:val="Strong"/>
    <w:basedOn w:val="a0"/>
    <w:autoRedefine/>
    <w:qFormat/>
    <w:rPr>
      <w:b/>
    </w:rPr>
  </w:style>
  <w:style w:type="paragraph" w:styleId="ab">
    <w:name w:val="Normal (Web)"/>
    <w:basedOn w:val="a"/>
    <w:autoRedefine/>
    <w:qFormat/>
    <w:rPr>
      <w:sz w:val="24"/>
    </w:rPr>
  </w:style>
  <w:style w:type="paragraph" w:styleId="ac">
    <w:name w:val="header"/>
    <w:basedOn w:val="a"/>
    <w:link w:val="ad"/>
    <w:rsid w:val="003629D0"/>
    <w:pPr>
      <w:tabs>
        <w:tab w:val="center" w:pos="4153"/>
        <w:tab w:val="right" w:pos="8306"/>
      </w:tabs>
      <w:snapToGrid w:val="0"/>
      <w:jc w:val="center"/>
    </w:pPr>
    <w:rPr>
      <w:sz w:val="18"/>
      <w:szCs w:val="18"/>
    </w:rPr>
  </w:style>
  <w:style w:type="character" w:customStyle="1" w:styleId="ad">
    <w:name w:val="页眉 字符"/>
    <w:basedOn w:val="a0"/>
    <w:link w:val="ac"/>
    <w:rsid w:val="003629D0"/>
    <w:rPr>
      <w:rFonts w:asciiTheme="minorHAnsi" w:eastAsiaTheme="minorEastAsia" w:hAnsiTheme="minorHAnsi" w:cstheme="minorBidi"/>
      <w:kern w:val="2"/>
      <w:sz w:val="18"/>
      <w:szCs w:val="18"/>
      <w14:ligatures w14:val="standardContextual"/>
    </w:rPr>
  </w:style>
  <w:style w:type="paragraph" w:styleId="ae">
    <w:name w:val="footer"/>
    <w:basedOn w:val="a"/>
    <w:link w:val="af"/>
    <w:rsid w:val="003629D0"/>
    <w:pPr>
      <w:tabs>
        <w:tab w:val="center" w:pos="4153"/>
        <w:tab w:val="right" w:pos="8306"/>
      </w:tabs>
      <w:snapToGrid w:val="0"/>
      <w:jc w:val="left"/>
    </w:pPr>
    <w:rPr>
      <w:sz w:val="18"/>
      <w:szCs w:val="18"/>
    </w:rPr>
  </w:style>
  <w:style w:type="character" w:customStyle="1" w:styleId="af">
    <w:name w:val="页脚 字符"/>
    <w:basedOn w:val="a0"/>
    <w:link w:val="ae"/>
    <w:rsid w:val="003629D0"/>
    <w:rPr>
      <w:rFonts w:asciiTheme="minorHAnsi" w:eastAsiaTheme="minorEastAsia" w:hAnsiTheme="minorHAnsi" w:cstheme="minorBidi"/>
      <w:kern w:val="2"/>
      <w:sz w:val="18"/>
      <w:szCs w:val="18"/>
      <w14:ligatures w14:val="standardContextual"/>
    </w:rPr>
  </w:style>
  <w:style w:type="paragraph" w:styleId="af0">
    <w:name w:val="Revision"/>
    <w:hidden/>
    <w:uiPriority w:val="99"/>
    <w:unhideWhenUsed/>
    <w:rsid w:val="008C6551"/>
    <w:rPr>
      <w:rFonts w:asciiTheme="minorHAnsi" w:eastAsiaTheme="minorEastAsia" w:hAnsiTheme="minorHAnsi" w:cstheme="minorBidi"/>
      <w:kern w:val="2"/>
      <w:sz w:val="21"/>
      <w:szCs w:val="22"/>
      <w14:ligatures w14:val="standardContextual"/>
    </w:rPr>
  </w:style>
  <w:style w:type="character" w:styleId="af1">
    <w:name w:val="Unresolved Mention"/>
    <w:basedOn w:val="a0"/>
    <w:uiPriority w:val="99"/>
    <w:semiHidden/>
    <w:unhideWhenUsed/>
    <w:rsid w:val="000C17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cda-amc.ca/sites/default/files/pdf/guidelines_for_the_economic_evaluation_of_health_technologies_canada_4th_ed.pdf" TargetMode="External"/><Relationship Id="rId18" Type="http://schemas.openxmlformats.org/officeDocument/2006/relationships/hyperlink" Target="https://pbac.pbs.gov.au/content/information/files/pbac-guidelines-version-5.docx" TargetMode="External"/><Relationship Id="rId3" Type="http://schemas.openxmlformats.org/officeDocument/2006/relationships/settings" Target="settings.xml"/><Relationship Id="rId21" Type="http://schemas.openxmlformats.org/officeDocument/2006/relationships/hyperlink" Target="https://www.hitap.net/en/document/hta-guidelines-thailand-2014/" TargetMode="External"/><Relationship Id="rId7" Type="http://schemas.openxmlformats.org/officeDocument/2006/relationships/comments" Target="comments.xml"/><Relationship Id="rId12" Type="http://schemas.openxmlformats.org/officeDocument/2006/relationships/hyperlink" Target="https://www.cda-amc.ca/media/pdf/186_EconomicGuidelines_e.pdf" TargetMode="External"/><Relationship Id="rId17" Type="http://schemas.openxmlformats.org/officeDocument/2006/relationships/hyperlink" Target="https://pbac.pbs.gov.au/content/information/archived-versions/pbac-guidelines-v4-3-2008.pdf" TargetMode="External"/><Relationship Id="rId2" Type="http://schemas.openxmlformats.org/officeDocument/2006/relationships/styles" Target="styles.xml"/><Relationship Id="rId16" Type="http://schemas.openxmlformats.org/officeDocument/2006/relationships/hyperlink" Target="https://pbac.pbs.gov.au/content/information/archived-versions/pbac-guidelines-v4-2006.doc" TargetMode="External"/><Relationship Id="rId20" Type="http://schemas.openxmlformats.org/officeDocument/2006/relationships/hyperlink" Target="https://kb.hsri.or.th/dspace/handle/11228/1221?locale-attribute=th&amp;offset=3&amp;src=%2Fdspace%2Fhandle%2F11228%2F8%2Fdiscover%3Frpp%3D10%26etal%3D0%26group_by%3Dnone%26page%3D6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da-amc.ca/sites/default/files/pdf/peg_e.pdf" TargetMode="External"/><Relationship Id="rId5" Type="http://schemas.openxmlformats.org/officeDocument/2006/relationships/footnotes" Target="footnotes.xml"/><Relationship Id="rId15" Type="http://schemas.openxmlformats.org/officeDocument/2006/relationships/hyperlink" Target="https://pbac.pbs.gov.au/information/printable-version-of-guidelines.html" TargetMode="External"/><Relationship Id="rId23" Type="http://schemas.openxmlformats.org/officeDocument/2006/relationships/theme" Target="theme/theme1.xml"/><Relationship Id="rId10" Type="http://schemas.openxmlformats.org/officeDocument/2006/relationships/hyperlink" Target="https://www.nice.org.uk/guidance/gid-tag387/documents/appraising-life-extending-end-of-life-treatments-paper2" TargetMode="External"/><Relationship Id="rId19" Type="http://schemas.openxmlformats.org/officeDocument/2006/relationships/hyperlink" Target="https://www.health.gov.au/sites/default/files/2024-09/health-technology-assessment-policy-and-methods-review-final-report_0.pdf"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pbac.pbs.gov.au/information/printable-version-of-guidelines.html"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15</Pages>
  <Words>2645</Words>
  <Characters>15082</Characters>
  <Application>Microsoft Office Word</Application>
  <DocSecurity>0</DocSecurity>
  <Lines>125</Lines>
  <Paragraphs>35</Paragraphs>
  <ScaleCrop>false</ScaleCrop>
  <Company/>
  <LinksUpToDate>false</LinksUpToDate>
  <CharactersWithSpaces>17692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Fenghao Shi 石丰豪</cp:lastModifiedBy>
  <cp:revision>32</cp:revision>
  <dcterms:created xsi:type="dcterms:W3CDTF">2026-03-04T10:35:00Z</dcterms:created>
  <dcterms:modified xsi:type="dcterms:W3CDTF">2026-03-04T03:56:00Z</dcterms:modified>
</cp:coreProperties>
</file>