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816DC" w14:textId="77777777" w:rsidR="004D62FF" w:rsidRDefault="00000000">
      <w:pPr>
        <w:spacing w:after="1742" w:line="259" w:lineRule="auto"/>
        <w:ind w:left="2276" w:firstLine="0"/>
      </w:pPr>
      <w:r>
        <w:rPr>
          <w:noProof/>
        </w:rPr>
        <w:drawing>
          <wp:inline distT="0" distB="0" distL="0" distR="0" wp14:anchorId="6CECB399" wp14:editId="4FB2EF2A">
            <wp:extent cx="2879915" cy="28799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915" cy="28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B469" w14:textId="11B97191" w:rsidR="004D62FF" w:rsidRDefault="00FD2A12">
      <w:pPr>
        <w:spacing w:after="463" w:line="259" w:lineRule="auto"/>
        <w:ind w:left="2169" w:firstLine="0"/>
      </w:pPr>
      <w:r>
        <w:rPr>
          <w:b/>
          <w:sz w:val="50"/>
        </w:rPr>
        <w:t>Mock</w:t>
      </w:r>
      <w:r w:rsidR="00000000">
        <w:rPr>
          <w:b/>
          <w:sz w:val="50"/>
        </w:rPr>
        <w:t xml:space="preserve"> Audit Report</w:t>
      </w:r>
      <w:r>
        <w:rPr>
          <w:b/>
          <w:sz w:val="50"/>
        </w:rPr>
        <w:t xml:space="preserve"> #1</w:t>
      </w:r>
    </w:p>
    <w:p w14:paraId="65D30CB7" w14:textId="77777777" w:rsidR="004D62FF" w:rsidRDefault="00000000">
      <w:pPr>
        <w:spacing w:after="1306" w:line="259" w:lineRule="auto"/>
        <w:ind w:left="0" w:right="25" w:firstLine="0"/>
        <w:jc w:val="center"/>
      </w:pPr>
      <w:r>
        <w:rPr>
          <w:sz w:val="29"/>
        </w:rPr>
        <w:t>Version 1.0</w:t>
      </w:r>
    </w:p>
    <w:p w14:paraId="6C9BA9E3" w14:textId="63205826" w:rsidR="004D62FF" w:rsidRDefault="004664AF">
      <w:pPr>
        <w:spacing w:after="2505" w:line="259" w:lineRule="auto"/>
        <w:ind w:left="0" w:right="25" w:firstLine="0"/>
        <w:jc w:val="center"/>
      </w:pPr>
      <w:r>
        <w:rPr>
          <w:i/>
          <w:sz w:val="29"/>
        </w:rPr>
        <w:t>0xOwain</w:t>
      </w:r>
    </w:p>
    <w:p w14:paraId="2AD14867" w14:textId="426BD52F" w:rsidR="004D62FF" w:rsidRDefault="004664AF">
      <w:pPr>
        <w:spacing w:after="0" w:line="259" w:lineRule="auto"/>
        <w:ind w:left="0" w:right="25" w:firstLine="0"/>
        <w:jc w:val="center"/>
      </w:pPr>
      <w:r>
        <w:rPr>
          <w:sz w:val="24"/>
        </w:rPr>
        <w:t>20/08/25</w:t>
      </w:r>
    </w:p>
    <w:p w14:paraId="39D3504A" w14:textId="04F65DFB" w:rsidR="004D62FF" w:rsidRDefault="004664AF">
      <w:pPr>
        <w:spacing w:after="639" w:line="259" w:lineRule="auto"/>
        <w:ind w:left="0" w:right="3021" w:firstLine="0"/>
        <w:jc w:val="right"/>
      </w:pPr>
      <w:r>
        <w:rPr>
          <w:sz w:val="34"/>
        </w:rPr>
        <w:lastRenderedPageBreak/>
        <w:t>ERC20 Token Contract</w:t>
      </w:r>
      <w:r w:rsidR="008F0DE5">
        <w:rPr>
          <w:sz w:val="34"/>
        </w:rPr>
        <w:t xml:space="preserve"> Audit</w:t>
      </w:r>
    </w:p>
    <w:p w14:paraId="7ABBFB8C" w14:textId="78154C2D" w:rsidR="004D62FF" w:rsidRDefault="004664AF">
      <w:pPr>
        <w:spacing w:after="372"/>
        <w:ind w:left="4136"/>
      </w:pPr>
      <w:r>
        <w:rPr>
          <w:sz w:val="24"/>
        </w:rPr>
        <w:t>0xOwain</w:t>
      </w:r>
    </w:p>
    <w:p w14:paraId="18AE33CE" w14:textId="77777777" w:rsidR="004D62FF" w:rsidRDefault="00000000">
      <w:pPr>
        <w:spacing w:after="690"/>
        <w:ind w:left="3857"/>
      </w:pPr>
      <w:r>
        <w:rPr>
          <w:sz w:val="24"/>
        </w:rPr>
        <w:t>March 7, 2023</w:t>
      </w:r>
    </w:p>
    <w:p w14:paraId="6E0628BF" w14:textId="4CCB3936" w:rsidR="004D62FF" w:rsidRDefault="00000000">
      <w:pPr>
        <w:spacing w:after="628"/>
      </w:pPr>
      <w:r>
        <w:t xml:space="preserve">Prepared by: </w:t>
      </w:r>
      <w:r w:rsidR="00FD2A12">
        <w:t>0xOwain</w:t>
      </w:r>
    </w:p>
    <w:p w14:paraId="7D560917" w14:textId="77777777" w:rsidR="004D62FF" w:rsidRDefault="00000000">
      <w:pPr>
        <w:pStyle w:val="Heading1"/>
        <w:ind w:left="3"/>
      </w:pPr>
      <w:r>
        <w:t>Table of Contents</w:t>
      </w:r>
    </w:p>
    <w:p w14:paraId="68A7B229" w14:textId="77777777" w:rsidR="004D62FF" w:rsidRDefault="00000000">
      <w:pPr>
        <w:numPr>
          <w:ilvl w:val="0"/>
          <w:numId w:val="1"/>
        </w:numPr>
        <w:ind w:hanging="176"/>
      </w:pPr>
      <w:r>
        <w:t>Table of Contents</w:t>
      </w:r>
    </w:p>
    <w:p w14:paraId="046AC403" w14:textId="77777777" w:rsidR="004D62FF" w:rsidRDefault="00000000">
      <w:pPr>
        <w:numPr>
          <w:ilvl w:val="0"/>
          <w:numId w:val="1"/>
        </w:numPr>
        <w:ind w:hanging="176"/>
      </w:pPr>
      <w:r>
        <w:t>Protocol Summary</w:t>
      </w:r>
    </w:p>
    <w:p w14:paraId="0EEE56E6" w14:textId="77777777" w:rsidR="004D62FF" w:rsidRDefault="00000000">
      <w:pPr>
        <w:numPr>
          <w:ilvl w:val="0"/>
          <w:numId w:val="1"/>
        </w:numPr>
        <w:ind w:hanging="176"/>
      </w:pPr>
      <w:r>
        <w:t>Disclaimer</w:t>
      </w:r>
    </w:p>
    <w:p w14:paraId="688864AF" w14:textId="77777777" w:rsidR="004D62FF" w:rsidRDefault="00000000">
      <w:pPr>
        <w:numPr>
          <w:ilvl w:val="0"/>
          <w:numId w:val="1"/>
        </w:numPr>
        <w:ind w:hanging="176"/>
      </w:pPr>
      <w:r>
        <w:t>Risk Classification</w:t>
      </w:r>
    </w:p>
    <w:p w14:paraId="538B7114" w14:textId="77777777" w:rsidR="004D62FF" w:rsidRDefault="00000000">
      <w:pPr>
        <w:numPr>
          <w:ilvl w:val="0"/>
          <w:numId w:val="1"/>
        </w:numPr>
        <w:spacing w:after="192"/>
        <w:ind w:hanging="176"/>
      </w:pPr>
      <w:r>
        <w:t>Audit Details</w:t>
      </w:r>
    </w:p>
    <w:p w14:paraId="277DEE80" w14:textId="77777777" w:rsidR="004D62FF" w:rsidRDefault="00000000">
      <w:pPr>
        <w:numPr>
          <w:ilvl w:val="1"/>
          <w:numId w:val="1"/>
        </w:numPr>
        <w:ind w:hanging="214"/>
      </w:pPr>
      <w:r>
        <w:t>Scope</w:t>
      </w:r>
    </w:p>
    <w:p w14:paraId="25335CFF" w14:textId="77777777" w:rsidR="004D62FF" w:rsidRDefault="00000000">
      <w:pPr>
        <w:numPr>
          <w:ilvl w:val="1"/>
          <w:numId w:val="1"/>
        </w:numPr>
        <w:ind w:hanging="214"/>
      </w:pPr>
      <w:r>
        <w:t>Severity Criteria</w:t>
      </w:r>
    </w:p>
    <w:p w14:paraId="3E837AD4" w14:textId="77777777" w:rsidR="004D62FF" w:rsidRDefault="00000000">
      <w:pPr>
        <w:numPr>
          <w:ilvl w:val="1"/>
          <w:numId w:val="1"/>
        </w:numPr>
        <w:ind w:hanging="214"/>
      </w:pPr>
      <w:r>
        <w:t>Summary of Findings</w:t>
      </w:r>
    </w:p>
    <w:p w14:paraId="550BE8D6" w14:textId="77777777" w:rsidR="004D62FF" w:rsidRDefault="00000000">
      <w:pPr>
        <w:numPr>
          <w:ilvl w:val="1"/>
          <w:numId w:val="1"/>
        </w:numPr>
        <w:spacing w:after="186"/>
        <w:ind w:hanging="214"/>
      </w:pPr>
      <w:r>
        <w:t>Tools Used</w:t>
      </w:r>
    </w:p>
    <w:p w14:paraId="44F04111" w14:textId="77777777" w:rsidR="004D62FF" w:rsidRDefault="00000000">
      <w:pPr>
        <w:numPr>
          <w:ilvl w:val="0"/>
          <w:numId w:val="1"/>
        </w:numPr>
        <w:ind w:hanging="176"/>
      </w:pPr>
      <w:r>
        <w:t>High</w:t>
      </w:r>
    </w:p>
    <w:p w14:paraId="4FFD1585" w14:textId="77777777" w:rsidR="004D62FF" w:rsidRDefault="00000000">
      <w:pPr>
        <w:numPr>
          <w:ilvl w:val="0"/>
          <w:numId w:val="1"/>
        </w:numPr>
        <w:ind w:hanging="176"/>
      </w:pPr>
      <w:r>
        <w:t>Medium</w:t>
      </w:r>
    </w:p>
    <w:p w14:paraId="3B2F822F" w14:textId="77777777" w:rsidR="004D62FF" w:rsidRDefault="00000000">
      <w:pPr>
        <w:numPr>
          <w:ilvl w:val="0"/>
          <w:numId w:val="1"/>
        </w:numPr>
        <w:ind w:hanging="176"/>
      </w:pPr>
      <w:r>
        <w:t>Low</w:t>
      </w:r>
    </w:p>
    <w:p w14:paraId="28A20A03" w14:textId="77777777" w:rsidR="004D62FF" w:rsidRDefault="00000000">
      <w:pPr>
        <w:numPr>
          <w:ilvl w:val="0"/>
          <w:numId w:val="1"/>
        </w:numPr>
        <w:ind w:hanging="176"/>
      </w:pPr>
      <w:r>
        <w:t>Informational</w:t>
      </w:r>
    </w:p>
    <w:p w14:paraId="6B66CCC2" w14:textId="77777777" w:rsidR="004D62FF" w:rsidRDefault="00000000">
      <w:pPr>
        <w:numPr>
          <w:ilvl w:val="0"/>
          <w:numId w:val="1"/>
        </w:numPr>
        <w:spacing w:after="628"/>
        <w:ind w:hanging="176"/>
      </w:pPr>
      <w:r>
        <w:t>Gas</w:t>
      </w:r>
    </w:p>
    <w:p w14:paraId="61CA2D1B" w14:textId="77777777" w:rsidR="004D62FF" w:rsidRDefault="00000000">
      <w:pPr>
        <w:spacing w:after="309" w:line="264" w:lineRule="auto"/>
        <w:ind w:left="3"/>
      </w:pPr>
      <w:r>
        <w:rPr>
          <w:b/>
          <w:color w:val="282828"/>
          <w:sz w:val="29"/>
        </w:rPr>
        <w:t>Protocol Summary</w:t>
      </w:r>
    </w:p>
    <w:p w14:paraId="24313DC0" w14:textId="447F507B" w:rsidR="004D62FF" w:rsidRDefault="004664AF">
      <w:r>
        <w:t>The ERC20 token contract implements a standaed fungible token, supports transfers, approvals, and metadata such as name, symbol, and decimals.</w:t>
      </w:r>
    </w:p>
    <w:p w14:paraId="101AB988" w14:textId="77777777" w:rsidR="004D62FF" w:rsidRDefault="00000000">
      <w:pPr>
        <w:pStyle w:val="Heading1"/>
        <w:ind w:left="3"/>
      </w:pPr>
      <w:r>
        <w:lastRenderedPageBreak/>
        <w:t>Disclaimer</w:t>
      </w:r>
    </w:p>
    <w:p w14:paraId="6C4C5485" w14:textId="2B0815BF" w:rsidR="004D62FF" w:rsidRDefault="00FD2A12">
      <w:pPr>
        <w:spacing w:after="621"/>
        <w:ind w:left="13"/>
      </w:pPr>
      <w:r>
        <w:t>0xOwain</w:t>
      </w:r>
      <w:r w:rsidR="00000000">
        <w:t xml:space="preserve"> makes all effort to find as many vulnerabilities in the code in the given time period, but holds no responsibilities for the findings provided in this document. A security audit by the team is not an endorsement of the underlying business or product. The audit was time-boxed and the review of the code was solely on the security aspects of the Solidity implementation of the contracts.</w:t>
      </w:r>
    </w:p>
    <w:p w14:paraId="47536269" w14:textId="77777777" w:rsidR="004D62FF" w:rsidRDefault="00000000">
      <w:pPr>
        <w:pStyle w:val="Heading1"/>
        <w:spacing w:after="62"/>
        <w:ind w:left="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8DFE65" wp14:editId="48651DE4">
                <wp:simplePos x="0" y="0"/>
                <wp:positionH relativeFrom="page">
                  <wp:posOffset>899998</wp:posOffset>
                </wp:positionH>
                <wp:positionV relativeFrom="page">
                  <wp:posOffset>1117626</wp:posOffset>
                </wp:positionV>
                <wp:extent cx="5759996" cy="5055"/>
                <wp:effectExtent l="0" t="0" r="0" b="0"/>
                <wp:wrapTopAndBottom/>
                <wp:docPr id="1910" name="Group 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0" style="width:453.543pt;height:0.398pt;position:absolute;mso-position-horizontal-relative:page;mso-position-horizontal:absolute;margin-left:70.866pt;mso-position-vertical-relative:page;margin-top:88.002pt;" coordsize="57599,50">
                <v:shape id="Shape 73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388C51" wp14:editId="166BED20">
                <wp:simplePos x="0" y="0"/>
                <wp:positionH relativeFrom="page">
                  <wp:posOffset>899998</wp:posOffset>
                </wp:positionH>
                <wp:positionV relativeFrom="page">
                  <wp:posOffset>9636328</wp:posOffset>
                </wp:positionV>
                <wp:extent cx="5759996" cy="5055"/>
                <wp:effectExtent l="0" t="0" r="0" b="0"/>
                <wp:wrapTopAndBottom/>
                <wp:docPr id="1911" name="Group 1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1" style="width:453.543pt;height:0.398pt;position:absolute;mso-position-horizontal-relative:page;mso-position-horizontal:absolute;margin-left:70.866pt;mso-position-vertical-relative:page;margin-top:758.766pt;" coordsize="57599,50">
                <v:shape id="Shape 93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Risk Classification</w:t>
      </w:r>
    </w:p>
    <w:tbl>
      <w:tblPr>
        <w:tblStyle w:val="TableGrid"/>
        <w:tblW w:w="4412" w:type="dxa"/>
        <w:tblInd w:w="2338" w:type="dxa"/>
        <w:tblCellMar>
          <w:top w:w="5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980"/>
        <w:gridCol w:w="877"/>
        <w:gridCol w:w="981"/>
        <w:gridCol w:w="377"/>
      </w:tblGrid>
      <w:tr w:rsidR="004D62FF" w14:paraId="0CB0E607" w14:textId="77777777">
        <w:trPr>
          <w:trHeight w:val="543"/>
        </w:trPr>
        <w:tc>
          <w:tcPr>
            <w:tcW w:w="1197" w:type="dxa"/>
            <w:tcBorders>
              <w:top w:val="single" w:sz="13" w:space="0" w:color="999999"/>
              <w:left w:val="nil"/>
              <w:bottom w:val="single" w:sz="4" w:space="0" w:color="999999"/>
              <w:right w:val="nil"/>
            </w:tcBorders>
          </w:tcPr>
          <w:p w14:paraId="64F325CB" w14:textId="77777777" w:rsidR="004D62FF" w:rsidRDefault="004D62FF">
            <w:pPr>
              <w:spacing w:after="160" w:line="259" w:lineRule="auto"/>
              <w:ind w:left="0" w:firstLine="0"/>
            </w:pPr>
          </w:p>
        </w:tc>
        <w:tc>
          <w:tcPr>
            <w:tcW w:w="980" w:type="dxa"/>
            <w:tcBorders>
              <w:top w:val="single" w:sz="13" w:space="0" w:color="999999"/>
              <w:left w:val="nil"/>
              <w:bottom w:val="single" w:sz="4" w:space="0" w:color="999999"/>
              <w:right w:val="nil"/>
            </w:tcBorders>
          </w:tcPr>
          <w:p w14:paraId="5EFDB9CE" w14:textId="77777777" w:rsidR="004D62FF" w:rsidRDefault="004D62FF">
            <w:pPr>
              <w:spacing w:after="160" w:line="259" w:lineRule="auto"/>
              <w:ind w:left="0" w:firstLine="0"/>
            </w:pPr>
          </w:p>
        </w:tc>
        <w:tc>
          <w:tcPr>
            <w:tcW w:w="877" w:type="dxa"/>
            <w:tcBorders>
              <w:top w:val="single" w:sz="13" w:space="0" w:color="999999"/>
              <w:left w:val="nil"/>
              <w:bottom w:val="single" w:sz="4" w:space="0" w:color="999999"/>
              <w:right w:val="nil"/>
            </w:tcBorders>
          </w:tcPr>
          <w:p w14:paraId="46CE049A" w14:textId="77777777" w:rsidR="004D62FF" w:rsidRDefault="00000000">
            <w:pPr>
              <w:spacing w:after="0" w:line="259" w:lineRule="auto"/>
              <w:ind w:left="0" w:firstLine="0"/>
            </w:pPr>
            <w:r>
              <w:t>Impact</w:t>
            </w:r>
          </w:p>
        </w:tc>
        <w:tc>
          <w:tcPr>
            <w:tcW w:w="981" w:type="dxa"/>
            <w:tcBorders>
              <w:top w:val="single" w:sz="13" w:space="0" w:color="999999"/>
              <w:left w:val="nil"/>
              <w:bottom w:val="single" w:sz="4" w:space="0" w:color="999999"/>
              <w:right w:val="nil"/>
            </w:tcBorders>
          </w:tcPr>
          <w:p w14:paraId="68936FF2" w14:textId="77777777" w:rsidR="004D62FF" w:rsidRDefault="004D62FF">
            <w:pPr>
              <w:spacing w:after="160" w:line="259" w:lineRule="auto"/>
              <w:ind w:left="0" w:firstLine="0"/>
            </w:pPr>
          </w:p>
        </w:tc>
        <w:tc>
          <w:tcPr>
            <w:tcW w:w="377" w:type="dxa"/>
            <w:tcBorders>
              <w:top w:val="single" w:sz="13" w:space="0" w:color="999999"/>
              <w:left w:val="nil"/>
              <w:bottom w:val="single" w:sz="4" w:space="0" w:color="999999"/>
              <w:right w:val="nil"/>
            </w:tcBorders>
          </w:tcPr>
          <w:p w14:paraId="7B3A753F" w14:textId="77777777" w:rsidR="004D62FF" w:rsidRDefault="004D62FF">
            <w:pPr>
              <w:spacing w:after="160" w:line="259" w:lineRule="auto"/>
              <w:ind w:left="0" w:firstLine="0"/>
            </w:pPr>
          </w:p>
        </w:tc>
      </w:tr>
      <w:tr w:rsidR="004D62FF" w14:paraId="7718A9D7" w14:textId="77777777">
        <w:trPr>
          <w:trHeight w:val="508"/>
        </w:trPr>
        <w:tc>
          <w:tcPr>
            <w:tcW w:w="1197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7562FF" w14:textId="77777777" w:rsidR="004D62FF" w:rsidRDefault="004D62FF">
            <w:pPr>
              <w:spacing w:after="160" w:line="259" w:lineRule="auto"/>
              <w:ind w:left="0" w:firstLine="0"/>
            </w:pPr>
          </w:p>
        </w:tc>
        <w:tc>
          <w:tcPr>
            <w:tcW w:w="980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2763C347" w14:textId="77777777" w:rsidR="004D62FF" w:rsidRDefault="004D62FF">
            <w:pPr>
              <w:spacing w:after="160" w:line="259" w:lineRule="auto"/>
              <w:ind w:left="0" w:firstLine="0"/>
            </w:pPr>
          </w:p>
        </w:tc>
        <w:tc>
          <w:tcPr>
            <w:tcW w:w="877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39475156" w14:textId="77777777" w:rsidR="004D62FF" w:rsidRDefault="00000000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981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00082238" w14:textId="77777777" w:rsidR="004D62FF" w:rsidRDefault="00000000">
            <w:pPr>
              <w:spacing w:after="0" w:line="259" w:lineRule="auto"/>
              <w:ind w:left="0" w:firstLine="0"/>
            </w:pPr>
            <w:r>
              <w:t>Medium</w:t>
            </w:r>
          </w:p>
        </w:tc>
        <w:tc>
          <w:tcPr>
            <w:tcW w:w="377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531566E1" w14:textId="77777777" w:rsidR="004D62FF" w:rsidRDefault="00000000">
            <w:pPr>
              <w:spacing w:after="0" w:line="259" w:lineRule="auto"/>
              <w:ind w:left="0" w:firstLine="0"/>
              <w:jc w:val="both"/>
            </w:pPr>
            <w:r>
              <w:t>Low</w:t>
            </w:r>
          </w:p>
        </w:tc>
      </w:tr>
      <w:tr w:rsidR="004D62FF" w14:paraId="04361B34" w14:textId="77777777">
        <w:trPr>
          <w:trHeight w:val="423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08389E5C" w14:textId="77777777" w:rsidR="004D62FF" w:rsidRDefault="004D62FF">
            <w:pPr>
              <w:spacing w:after="160" w:line="259" w:lineRule="auto"/>
              <w:ind w:left="0" w:firstLine="0"/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F1FEFA2" w14:textId="77777777" w:rsidR="004D62FF" w:rsidRDefault="00000000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7390D3F" w14:textId="77777777" w:rsidR="004D62FF" w:rsidRDefault="00000000">
            <w:pPr>
              <w:spacing w:after="0" w:line="259" w:lineRule="auto"/>
              <w:ind w:left="0" w:firstLine="0"/>
            </w:pPr>
            <w:r>
              <w:t>H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32BDD2E0" w14:textId="77777777" w:rsidR="004D62FF" w:rsidRDefault="00000000">
            <w:pPr>
              <w:spacing w:after="0" w:line="259" w:lineRule="auto"/>
              <w:ind w:left="0" w:firstLine="0"/>
            </w:pPr>
            <w:r>
              <w:t>H/M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374F9C90" w14:textId="77777777" w:rsidR="004D62FF" w:rsidRDefault="00000000">
            <w:pPr>
              <w:spacing w:after="0" w:line="259" w:lineRule="auto"/>
              <w:ind w:left="0" w:firstLine="0"/>
            </w:pPr>
            <w:r>
              <w:t>M</w:t>
            </w:r>
          </w:p>
        </w:tc>
      </w:tr>
      <w:tr w:rsidR="004D62FF" w14:paraId="6FC0C837" w14:textId="77777777">
        <w:trPr>
          <w:trHeight w:val="423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2ABE5A08" w14:textId="77777777" w:rsidR="004D62FF" w:rsidRDefault="00000000">
            <w:pPr>
              <w:spacing w:after="0" w:line="259" w:lineRule="auto"/>
              <w:ind w:left="0" w:firstLine="0"/>
            </w:pPr>
            <w:r>
              <w:t>Likelihood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390AAF6" w14:textId="77777777" w:rsidR="004D62FF" w:rsidRDefault="00000000">
            <w:pPr>
              <w:spacing w:after="0" w:line="259" w:lineRule="auto"/>
              <w:ind w:left="0" w:firstLine="0"/>
            </w:pPr>
            <w:r>
              <w:t>Medium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3FFB9933" w14:textId="77777777" w:rsidR="004D62FF" w:rsidRDefault="00000000">
            <w:pPr>
              <w:spacing w:after="0" w:line="259" w:lineRule="auto"/>
              <w:ind w:left="0" w:firstLine="0"/>
            </w:pPr>
            <w:r>
              <w:t>H/M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323120B4" w14:textId="77777777" w:rsidR="004D62FF" w:rsidRDefault="00000000">
            <w:pPr>
              <w:spacing w:after="0" w:line="259" w:lineRule="auto"/>
              <w:ind w:left="0" w:firstLine="0"/>
            </w:pPr>
            <w:r>
              <w:t>M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21C077CD" w14:textId="77777777" w:rsidR="004D62FF" w:rsidRDefault="00000000">
            <w:pPr>
              <w:spacing w:after="0" w:line="259" w:lineRule="auto"/>
              <w:ind w:left="0" w:firstLine="0"/>
              <w:jc w:val="both"/>
            </w:pPr>
            <w:r>
              <w:t>M/L</w:t>
            </w:r>
          </w:p>
        </w:tc>
      </w:tr>
      <w:tr w:rsidR="004D62FF" w14:paraId="02C6B94C" w14:textId="77777777">
        <w:trPr>
          <w:trHeight w:val="457"/>
        </w:trPr>
        <w:tc>
          <w:tcPr>
            <w:tcW w:w="1197" w:type="dxa"/>
            <w:tcBorders>
              <w:top w:val="nil"/>
              <w:left w:val="nil"/>
              <w:bottom w:val="single" w:sz="13" w:space="0" w:color="999999"/>
              <w:right w:val="nil"/>
            </w:tcBorders>
          </w:tcPr>
          <w:p w14:paraId="51CDD087" w14:textId="77777777" w:rsidR="004D62FF" w:rsidRDefault="004D62FF">
            <w:pPr>
              <w:spacing w:after="160" w:line="259" w:lineRule="auto"/>
              <w:ind w:left="0" w:firstLine="0"/>
            </w:pPr>
          </w:p>
        </w:tc>
        <w:tc>
          <w:tcPr>
            <w:tcW w:w="980" w:type="dxa"/>
            <w:tcBorders>
              <w:top w:val="nil"/>
              <w:left w:val="nil"/>
              <w:bottom w:val="single" w:sz="13" w:space="0" w:color="999999"/>
              <w:right w:val="nil"/>
            </w:tcBorders>
          </w:tcPr>
          <w:p w14:paraId="5FC5B045" w14:textId="77777777" w:rsidR="004D62FF" w:rsidRDefault="00000000">
            <w:pPr>
              <w:spacing w:after="0" w:line="259" w:lineRule="auto"/>
              <w:ind w:left="0" w:firstLine="0"/>
            </w:pPr>
            <w:r>
              <w:t>Low</w:t>
            </w:r>
          </w:p>
        </w:tc>
        <w:tc>
          <w:tcPr>
            <w:tcW w:w="877" w:type="dxa"/>
            <w:tcBorders>
              <w:top w:val="nil"/>
              <w:left w:val="nil"/>
              <w:bottom w:val="single" w:sz="13" w:space="0" w:color="999999"/>
              <w:right w:val="nil"/>
            </w:tcBorders>
          </w:tcPr>
          <w:p w14:paraId="3E08301E" w14:textId="77777777" w:rsidR="004D62FF" w:rsidRDefault="00000000">
            <w:pPr>
              <w:spacing w:after="0" w:line="259" w:lineRule="auto"/>
              <w:ind w:left="0" w:firstLine="0"/>
            </w:pPr>
            <w:r>
              <w:t>M</w:t>
            </w:r>
          </w:p>
        </w:tc>
        <w:tc>
          <w:tcPr>
            <w:tcW w:w="981" w:type="dxa"/>
            <w:tcBorders>
              <w:top w:val="nil"/>
              <w:left w:val="nil"/>
              <w:bottom w:val="single" w:sz="13" w:space="0" w:color="999999"/>
              <w:right w:val="nil"/>
            </w:tcBorders>
          </w:tcPr>
          <w:p w14:paraId="5B2ABBB3" w14:textId="77777777" w:rsidR="004D62FF" w:rsidRDefault="00000000">
            <w:pPr>
              <w:spacing w:after="0" w:line="259" w:lineRule="auto"/>
              <w:ind w:left="0" w:firstLine="0"/>
            </w:pPr>
            <w:r>
              <w:t>M/L</w:t>
            </w:r>
          </w:p>
        </w:tc>
        <w:tc>
          <w:tcPr>
            <w:tcW w:w="377" w:type="dxa"/>
            <w:tcBorders>
              <w:top w:val="nil"/>
              <w:left w:val="nil"/>
              <w:bottom w:val="single" w:sz="13" w:space="0" w:color="999999"/>
              <w:right w:val="nil"/>
            </w:tcBorders>
          </w:tcPr>
          <w:p w14:paraId="116FA2D6" w14:textId="77777777" w:rsidR="004D62FF" w:rsidRDefault="00000000">
            <w:pPr>
              <w:spacing w:after="0" w:line="259" w:lineRule="auto"/>
              <w:ind w:left="0" w:firstLine="0"/>
            </w:pPr>
            <w:r>
              <w:t>L</w:t>
            </w:r>
          </w:p>
        </w:tc>
      </w:tr>
    </w:tbl>
    <w:p w14:paraId="1CBF4C03" w14:textId="77777777" w:rsidR="004D62FF" w:rsidRDefault="00000000">
      <w:pPr>
        <w:ind w:left="10"/>
      </w:pPr>
      <w:r>
        <w:t xml:space="preserve">We use the </w:t>
      </w:r>
      <w:hyperlink r:id="rId8">
        <w:r>
          <w:t>CodeHawks</w:t>
        </w:r>
      </w:hyperlink>
      <w:r>
        <w:t xml:space="preserve"> severity matrix to determine severity. See the documentation for more details.</w:t>
      </w:r>
    </w:p>
    <w:p w14:paraId="3E07CAC3" w14:textId="77777777" w:rsidR="004664AF" w:rsidRDefault="004664AF">
      <w:pPr>
        <w:ind w:left="10"/>
      </w:pPr>
    </w:p>
    <w:p w14:paraId="5FF9A44C" w14:textId="77777777" w:rsidR="004664AF" w:rsidRDefault="004664AF">
      <w:pPr>
        <w:ind w:left="10"/>
      </w:pPr>
    </w:p>
    <w:p w14:paraId="71D3D9CB" w14:textId="77777777" w:rsidR="004D62FF" w:rsidRDefault="00000000">
      <w:pPr>
        <w:pStyle w:val="Heading1"/>
        <w:ind w:left="3"/>
      </w:pPr>
      <w:r>
        <w:t>Audit Details</w:t>
      </w:r>
    </w:p>
    <w:p w14:paraId="61BFA5D7" w14:textId="77777777" w:rsidR="00124550" w:rsidRPr="00124550" w:rsidRDefault="00124550" w:rsidP="00124550">
      <w:pPr>
        <w:rPr>
          <w:b/>
          <w:bCs/>
        </w:rPr>
      </w:pPr>
      <w:r w:rsidRPr="00124550">
        <w:rPr>
          <w:b/>
          <w:bCs/>
        </w:rPr>
        <w:t>Methodology</w:t>
      </w:r>
    </w:p>
    <w:p w14:paraId="104A1FB8" w14:textId="77777777" w:rsidR="00124550" w:rsidRPr="00124550" w:rsidRDefault="00124550" w:rsidP="00124550">
      <w:r w:rsidRPr="00124550">
        <w:t xml:space="preserve">The review combined </w:t>
      </w:r>
      <w:r w:rsidRPr="00124550">
        <w:rPr>
          <w:b/>
          <w:bCs/>
        </w:rPr>
        <w:t>manual inspection</w:t>
      </w:r>
      <w:r w:rsidRPr="00124550">
        <w:t xml:space="preserve"> and </w:t>
      </w:r>
      <w:r w:rsidRPr="00124550">
        <w:rPr>
          <w:b/>
          <w:bCs/>
        </w:rPr>
        <w:t>automated analysis</w:t>
      </w:r>
      <w:r w:rsidRPr="00124550">
        <w:t>. The following areas were considered:</w:t>
      </w:r>
    </w:p>
    <w:p w14:paraId="06AF9DEE" w14:textId="77777777" w:rsidR="00124550" w:rsidRPr="00124550" w:rsidRDefault="00124550" w:rsidP="00124550">
      <w:pPr>
        <w:numPr>
          <w:ilvl w:val="0"/>
          <w:numId w:val="2"/>
        </w:numPr>
      </w:pPr>
      <w:r w:rsidRPr="00124550">
        <w:rPr>
          <w:b/>
          <w:bCs/>
        </w:rPr>
        <w:t>Access control</w:t>
      </w:r>
      <w:r w:rsidRPr="00124550">
        <w:t>: validated that only intended actors can call privileged functions.</w:t>
      </w:r>
    </w:p>
    <w:p w14:paraId="1A4A5CE6" w14:textId="77777777" w:rsidR="00124550" w:rsidRPr="00124550" w:rsidRDefault="00124550" w:rsidP="00124550">
      <w:pPr>
        <w:numPr>
          <w:ilvl w:val="0"/>
          <w:numId w:val="2"/>
        </w:numPr>
      </w:pPr>
      <w:r w:rsidRPr="00124550">
        <w:rPr>
          <w:b/>
          <w:bCs/>
        </w:rPr>
        <w:t>State management</w:t>
      </w:r>
      <w:r w:rsidRPr="00124550">
        <w:t>: checked for correct and consistent updates of balances, allowances, and total supply.</w:t>
      </w:r>
    </w:p>
    <w:p w14:paraId="31DAA831" w14:textId="77777777" w:rsidR="00124550" w:rsidRPr="00124550" w:rsidRDefault="00124550" w:rsidP="00124550">
      <w:pPr>
        <w:numPr>
          <w:ilvl w:val="0"/>
          <w:numId w:val="2"/>
        </w:numPr>
      </w:pPr>
      <w:r w:rsidRPr="00124550">
        <w:rPr>
          <w:b/>
          <w:bCs/>
        </w:rPr>
        <w:t>Function logic</w:t>
      </w:r>
      <w:r w:rsidRPr="00124550">
        <w:t>: reviewed for correctness, unexpected side effects, and adherence to the ERC20 standard.</w:t>
      </w:r>
    </w:p>
    <w:p w14:paraId="2C7321F7" w14:textId="77777777" w:rsidR="00124550" w:rsidRPr="00124550" w:rsidRDefault="00124550" w:rsidP="00124550">
      <w:pPr>
        <w:numPr>
          <w:ilvl w:val="0"/>
          <w:numId w:val="2"/>
        </w:numPr>
      </w:pPr>
      <w:r w:rsidRPr="00124550">
        <w:rPr>
          <w:b/>
          <w:bCs/>
        </w:rPr>
        <w:t>External interactions</w:t>
      </w:r>
      <w:r w:rsidRPr="00124550">
        <w:t>: assessed risk of reentrancy and safety of external calls.</w:t>
      </w:r>
    </w:p>
    <w:p w14:paraId="57EAC31E" w14:textId="77777777" w:rsidR="00124550" w:rsidRPr="00124550" w:rsidRDefault="00124550" w:rsidP="00124550">
      <w:pPr>
        <w:numPr>
          <w:ilvl w:val="0"/>
          <w:numId w:val="2"/>
        </w:numPr>
      </w:pPr>
      <w:r w:rsidRPr="00124550">
        <w:rPr>
          <w:b/>
          <w:bCs/>
        </w:rPr>
        <w:t>Event emissions</w:t>
      </w:r>
      <w:r w:rsidRPr="00124550">
        <w:t>: verified that critical state changes emit corresponding events.</w:t>
      </w:r>
    </w:p>
    <w:p w14:paraId="644C2D30" w14:textId="77777777" w:rsidR="00124550" w:rsidRDefault="00124550" w:rsidP="00124550">
      <w:pPr>
        <w:numPr>
          <w:ilvl w:val="0"/>
          <w:numId w:val="2"/>
        </w:numPr>
      </w:pPr>
      <w:r w:rsidRPr="00124550">
        <w:rPr>
          <w:b/>
          <w:bCs/>
        </w:rPr>
        <w:t>Tooling</w:t>
      </w:r>
      <w:r w:rsidRPr="00124550">
        <w:t xml:space="preserve">: static analysis was performed using </w:t>
      </w:r>
      <w:r w:rsidRPr="00124550">
        <w:rPr>
          <w:i/>
          <w:iCs/>
        </w:rPr>
        <w:t>Slither Analyzer</w:t>
      </w:r>
      <w:r w:rsidRPr="00124550">
        <w:t xml:space="preserve"> (solc 0.8.20), with results cross-checked manually.</w:t>
      </w:r>
    </w:p>
    <w:p w14:paraId="336453BD" w14:textId="77777777" w:rsidR="004664AF" w:rsidRPr="00124550" w:rsidRDefault="004664AF" w:rsidP="004664AF">
      <w:pPr>
        <w:ind w:left="0" w:firstLine="0"/>
      </w:pPr>
    </w:p>
    <w:p w14:paraId="67573542" w14:textId="77777777" w:rsidR="004D62FF" w:rsidRDefault="00000000">
      <w:pPr>
        <w:spacing w:after="298" w:line="259" w:lineRule="auto"/>
        <w:ind w:left="3"/>
        <w:rPr>
          <w:b/>
          <w:sz w:val="24"/>
        </w:rPr>
      </w:pPr>
      <w:r>
        <w:rPr>
          <w:b/>
          <w:sz w:val="24"/>
        </w:rPr>
        <w:t>Scope</w:t>
      </w:r>
    </w:p>
    <w:p w14:paraId="7BEFC47B" w14:textId="77777777" w:rsidR="00FD2A12" w:rsidRPr="00B44C1D" w:rsidRDefault="00FD2A12" w:rsidP="00FD2A12">
      <w:r w:rsidRPr="00B44C1D">
        <w:rPr>
          <w:b/>
          <w:bCs/>
        </w:rPr>
        <w:lastRenderedPageBreak/>
        <w:t>**Repo:**</w:t>
      </w:r>
      <w:r w:rsidRPr="00B44C1D">
        <w:t xml:space="preserve"> OpenZeppelin Contracts v4.x  </w:t>
      </w:r>
    </w:p>
    <w:p w14:paraId="38519134" w14:textId="77777777" w:rsidR="00FD2A12" w:rsidRPr="00B44C1D" w:rsidRDefault="00FD2A12" w:rsidP="00FD2A12">
      <w:r w:rsidRPr="00B44C1D">
        <w:rPr>
          <w:b/>
          <w:bCs/>
        </w:rPr>
        <w:t>**Commit Hash:**</w:t>
      </w:r>
      <w:r w:rsidRPr="00B44C1D">
        <w:t xml:space="preserve"> 4a67c6f3ab2be41487889a020c99e11dedbd6eb4  </w:t>
      </w:r>
    </w:p>
    <w:p w14:paraId="2C3C4EBC" w14:textId="77777777" w:rsidR="00FD2A12" w:rsidRPr="00B44C1D" w:rsidRDefault="00FD2A12" w:rsidP="00FD2A12">
      <w:r w:rsidRPr="00B44C1D">
        <w:rPr>
          <w:b/>
          <w:bCs/>
        </w:rPr>
        <w:t>**Target:**</w:t>
      </w:r>
      <w:r w:rsidRPr="00B44C1D">
        <w:t xml:space="preserve"> ERC20 token implementation  </w:t>
      </w:r>
    </w:p>
    <w:p w14:paraId="20A549C8" w14:textId="77777777" w:rsidR="00FD2A12" w:rsidRPr="00B44C1D" w:rsidRDefault="00FD2A12" w:rsidP="00FD2A12"/>
    <w:p w14:paraId="000C3C13" w14:textId="77777777" w:rsidR="00FD2A12" w:rsidRPr="00B44C1D" w:rsidRDefault="00FD2A12" w:rsidP="00FD2A12">
      <w:r w:rsidRPr="00B44C1D">
        <w:rPr>
          <w:b/>
          <w:bCs/>
        </w:rPr>
        <w:t>**Contracts in Scope:**</w:t>
      </w:r>
      <w:r w:rsidRPr="00B44C1D">
        <w:t xml:space="preserve">  </w:t>
      </w:r>
    </w:p>
    <w:p w14:paraId="70696424" w14:textId="77777777" w:rsidR="00FD2A12" w:rsidRPr="00B44C1D" w:rsidRDefault="00FD2A12" w:rsidP="00FD2A12">
      <w:r w:rsidRPr="00B44C1D">
        <w:t>- ERC20.sol (main implementation, 305 LoC)  </w:t>
      </w:r>
    </w:p>
    <w:p w14:paraId="16339E9C" w14:textId="77777777" w:rsidR="00FD2A12" w:rsidRPr="00B44C1D" w:rsidRDefault="00FD2A12" w:rsidP="00FD2A12">
      <w:r w:rsidRPr="00B44C1D">
        <w:t>- IERC20.sol (interface – referenced only)  </w:t>
      </w:r>
    </w:p>
    <w:p w14:paraId="55588C94" w14:textId="77777777" w:rsidR="00FD2A12" w:rsidRPr="00B44C1D" w:rsidRDefault="00FD2A12" w:rsidP="00FD2A12">
      <w:r w:rsidRPr="00B44C1D">
        <w:t>- Context.sol (utility – no audit focus)  </w:t>
      </w:r>
    </w:p>
    <w:p w14:paraId="4115F5AA" w14:textId="77777777" w:rsidR="00FD2A12" w:rsidRPr="00B44C1D" w:rsidRDefault="00FD2A12" w:rsidP="00FD2A12">
      <w:r w:rsidRPr="00B44C1D">
        <w:t>- IERC20Metadata.sol (metadata interface – low risk)  </w:t>
      </w:r>
    </w:p>
    <w:p w14:paraId="027E43D1" w14:textId="77777777" w:rsidR="00FD2A12" w:rsidRPr="00B44C1D" w:rsidRDefault="00FD2A12" w:rsidP="00FD2A12"/>
    <w:p w14:paraId="40FC6039" w14:textId="77777777" w:rsidR="00FD2A12" w:rsidRPr="00B44C1D" w:rsidRDefault="00FD2A12" w:rsidP="00FD2A12">
      <w:r w:rsidRPr="00B44C1D">
        <w:rPr>
          <w:b/>
          <w:bCs/>
        </w:rPr>
        <w:t>**Out of Scope:**</w:t>
      </w:r>
      <w:r w:rsidRPr="00B44C1D">
        <w:t xml:space="preserve">  </w:t>
      </w:r>
    </w:p>
    <w:p w14:paraId="2D04467F" w14:textId="77777777" w:rsidR="00FD2A12" w:rsidRPr="00B44C1D" w:rsidRDefault="00FD2A12" w:rsidP="00FD2A12">
      <w:r w:rsidRPr="00B44C1D">
        <w:t>- Extensions (ERC20Burnable, ERC20Capped, ERC20Pausable, etc.)  </w:t>
      </w:r>
    </w:p>
    <w:p w14:paraId="1811542D" w14:textId="77777777" w:rsidR="00FD2A12" w:rsidRPr="00B44C1D" w:rsidRDefault="00FD2A12" w:rsidP="00FD2A12">
      <w:r w:rsidRPr="00B44C1D">
        <w:t>- Upgradeable variants (ERC20Upgradeable.sol)  </w:t>
      </w:r>
    </w:p>
    <w:p w14:paraId="6BD6F43F" w14:textId="77777777" w:rsidR="00FD2A12" w:rsidRPr="00B44C1D" w:rsidRDefault="00FD2A12" w:rsidP="00FD2A12">
      <w:r w:rsidRPr="00B44C1D">
        <w:t>- Any other unrelated utilities/helpers  </w:t>
      </w:r>
    </w:p>
    <w:p w14:paraId="65F17A5A" w14:textId="77777777" w:rsidR="00FD2A12" w:rsidRDefault="00FD2A12">
      <w:pPr>
        <w:spacing w:after="298" w:line="259" w:lineRule="auto"/>
        <w:ind w:left="3"/>
      </w:pPr>
    </w:p>
    <w:p w14:paraId="17A31034" w14:textId="77777777" w:rsidR="004D62FF" w:rsidRDefault="00000000">
      <w:pPr>
        <w:spacing w:after="298" w:line="259" w:lineRule="auto"/>
        <w:ind w:left="3"/>
        <w:rPr>
          <w:b/>
          <w:sz w:val="24"/>
        </w:rPr>
      </w:pPr>
      <w:r>
        <w:rPr>
          <w:b/>
          <w:sz w:val="24"/>
        </w:rPr>
        <w:t>Severity Criteria</w:t>
      </w:r>
    </w:p>
    <w:p w14:paraId="10EC33B6" w14:textId="77777777" w:rsidR="00FD2A12" w:rsidRPr="00B44C1D" w:rsidRDefault="00FD2A12" w:rsidP="00FD2A12">
      <w:r w:rsidRPr="00B44C1D">
        <w:rPr>
          <w:b/>
          <w:bCs/>
        </w:rPr>
        <w:t>**High**</w:t>
      </w:r>
    </w:p>
    <w:p w14:paraId="50888C48" w14:textId="77777777" w:rsidR="00FD2A12" w:rsidRPr="00B44C1D" w:rsidRDefault="00FD2A12" w:rsidP="00FD2A12">
      <w:r w:rsidRPr="00B44C1D">
        <w:t>- Direct loss of funds or permanent lock of assets.</w:t>
      </w:r>
    </w:p>
    <w:p w14:paraId="217A84B8" w14:textId="77777777" w:rsidR="00FD2A12" w:rsidRPr="00B44C1D" w:rsidRDefault="00FD2A12" w:rsidP="00FD2A12">
      <w:r w:rsidRPr="00B44C1D">
        <w:t>- Anyone can exploit (not just privileged roles).</w:t>
      </w:r>
    </w:p>
    <w:p w14:paraId="74424328" w14:textId="77777777" w:rsidR="00FD2A12" w:rsidRPr="00B44C1D" w:rsidRDefault="00FD2A12" w:rsidP="00FD2A12">
      <w:r w:rsidRPr="00B44C1D">
        <w:t>- Breaks core protocol functionality.</w:t>
      </w:r>
    </w:p>
    <w:p w14:paraId="2D175E34" w14:textId="77777777" w:rsidR="00FD2A12" w:rsidRPr="00B44C1D" w:rsidRDefault="00FD2A12" w:rsidP="00FD2A12"/>
    <w:p w14:paraId="7485B05A" w14:textId="77777777" w:rsidR="00FD2A12" w:rsidRPr="00B44C1D" w:rsidRDefault="00FD2A12" w:rsidP="00FD2A12">
      <w:r w:rsidRPr="00B44C1D">
        <w:rPr>
          <w:b/>
          <w:bCs/>
        </w:rPr>
        <w:t>**Medium**</w:t>
      </w:r>
    </w:p>
    <w:p w14:paraId="47CB6721" w14:textId="77777777" w:rsidR="00FD2A12" w:rsidRPr="00B44C1D" w:rsidRDefault="00FD2A12" w:rsidP="00FD2A12">
      <w:r w:rsidRPr="00B44C1D">
        <w:t>- Causes significant disruption (DoS, griefing, governance failure).</w:t>
      </w:r>
    </w:p>
    <w:p w14:paraId="61402F55" w14:textId="77777777" w:rsidR="00FD2A12" w:rsidRPr="00B44C1D" w:rsidRDefault="00FD2A12" w:rsidP="00FD2A12">
      <w:r w:rsidRPr="00B44C1D">
        <w:t>- Exploitable under some conditions or requires privileged roles.</w:t>
      </w:r>
    </w:p>
    <w:p w14:paraId="7664C19E" w14:textId="77777777" w:rsidR="00FD2A12" w:rsidRPr="00B44C1D" w:rsidRDefault="00FD2A12" w:rsidP="00FD2A12">
      <w:r w:rsidRPr="00B44C1D">
        <w:t>- Financial loss is possible but limited.</w:t>
      </w:r>
    </w:p>
    <w:p w14:paraId="1264C044" w14:textId="77777777" w:rsidR="00FD2A12" w:rsidRPr="00B44C1D" w:rsidRDefault="00FD2A12" w:rsidP="00FD2A12"/>
    <w:p w14:paraId="3E30998A" w14:textId="77777777" w:rsidR="00FD2A12" w:rsidRPr="00B44C1D" w:rsidRDefault="00FD2A12" w:rsidP="00FD2A12">
      <w:r w:rsidRPr="00B44C1D">
        <w:rPr>
          <w:b/>
          <w:bCs/>
        </w:rPr>
        <w:t>**Low**</w:t>
      </w:r>
    </w:p>
    <w:p w14:paraId="697F1CBF" w14:textId="77777777" w:rsidR="00FD2A12" w:rsidRPr="00B44C1D" w:rsidRDefault="00FD2A12" w:rsidP="00FD2A12">
      <w:r w:rsidRPr="00B44C1D">
        <w:t>- Minor issues: inefficiencies, gas waste, unclear logic, small inconsistencies.</w:t>
      </w:r>
    </w:p>
    <w:p w14:paraId="4C7EAE84" w14:textId="77777777" w:rsidR="00FD2A12" w:rsidRPr="00B44C1D" w:rsidRDefault="00FD2A12" w:rsidP="00FD2A12">
      <w:r w:rsidRPr="00B44C1D">
        <w:t>- Doesn't threaten core security or funds.</w:t>
      </w:r>
    </w:p>
    <w:p w14:paraId="32F9E3B5" w14:textId="77777777" w:rsidR="00FD2A12" w:rsidRPr="00B44C1D" w:rsidRDefault="00FD2A12" w:rsidP="00FD2A12"/>
    <w:p w14:paraId="37A163DB" w14:textId="77777777" w:rsidR="00FD2A12" w:rsidRPr="00B44C1D" w:rsidRDefault="00FD2A12" w:rsidP="00FD2A12">
      <w:r w:rsidRPr="00B44C1D">
        <w:rPr>
          <w:b/>
          <w:bCs/>
        </w:rPr>
        <w:t>**Informational / Non-Critical**</w:t>
      </w:r>
    </w:p>
    <w:p w14:paraId="45809EE0" w14:textId="77777777" w:rsidR="00FD2A12" w:rsidRPr="00B44C1D" w:rsidRDefault="00FD2A12" w:rsidP="00FD2A12">
      <w:r w:rsidRPr="00B44C1D">
        <w:t>- Code style, readability, missing comments.</w:t>
      </w:r>
    </w:p>
    <w:p w14:paraId="725BDACD" w14:textId="77777777" w:rsidR="00FD2A12" w:rsidRPr="00B44C1D" w:rsidRDefault="00FD2A12" w:rsidP="00FD2A12">
      <w:r w:rsidRPr="00B44C1D">
        <w:t>- Best practices (naming conventions, event emissions, input validation improvements).</w:t>
      </w:r>
    </w:p>
    <w:p w14:paraId="48E5EC19" w14:textId="77777777" w:rsidR="00FD2A12" w:rsidRPr="00B44C1D" w:rsidRDefault="00FD2A12" w:rsidP="00FD2A12">
      <w:r w:rsidRPr="00B44C1D">
        <w:t>- No security impact.</w:t>
      </w:r>
    </w:p>
    <w:p w14:paraId="7BDE0ED6" w14:textId="77777777" w:rsidR="00FD2A12" w:rsidRDefault="00FD2A12">
      <w:pPr>
        <w:spacing w:after="298" w:line="259" w:lineRule="auto"/>
        <w:ind w:left="3"/>
      </w:pPr>
    </w:p>
    <w:p w14:paraId="20990437" w14:textId="5447279F" w:rsidR="00124550" w:rsidRPr="004664AF" w:rsidRDefault="00000000" w:rsidP="004664AF">
      <w:pPr>
        <w:spacing w:after="298" w:line="259" w:lineRule="auto"/>
        <w:ind w:left="3"/>
      </w:pPr>
      <w:r>
        <w:rPr>
          <w:b/>
          <w:sz w:val="24"/>
        </w:rPr>
        <w:lastRenderedPageBreak/>
        <w:t>Summary of Findings</w:t>
      </w:r>
    </w:p>
    <w:p w14:paraId="5DADE29B" w14:textId="464D3292" w:rsidR="004D62FF" w:rsidRDefault="00000000">
      <w:pPr>
        <w:spacing w:after="85" w:line="486" w:lineRule="auto"/>
        <w:ind w:left="3" w:right="7380"/>
        <w:rPr>
          <w:b/>
          <w:color w:val="282828"/>
          <w:sz w:val="29"/>
        </w:rPr>
      </w:pPr>
      <w:r>
        <w:rPr>
          <w:b/>
          <w:color w:val="282828"/>
          <w:sz w:val="29"/>
        </w:rPr>
        <w:t>High</w:t>
      </w:r>
    </w:p>
    <w:p w14:paraId="3A55031D" w14:textId="572C3F78" w:rsidR="004664AF" w:rsidRDefault="004664AF">
      <w:pPr>
        <w:spacing w:after="85" w:line="486" w:lineRule="auto"/>
        <w:ind w:left="3" w:right="7380"/>
      </w:pPr>
      <w:r w:rsidRPr="004664AF">
        <w:t>No high severity findings</w:t>
      </w:r>
    </w:p>
    <w:p w14:paraId="72DB2CB9" w14:textId="77777777" w:rsidR="004D62FF" w:rsidRDefault="00000000">
      <w:pPr>
        <w:spacing w:after="410" w:line="264" w:lineRule="auto"/>
        <w:ind w:left="3"/>
        <w:rPr>
          <w:b/>
          <w:color w:val="282828"/>
          <w:sz w:val="29"/>
        </w:rPr>
      </w:pPr>
      <w:r>
        <w:rPr>
          <w:b/>
          <w:color w:val="282828"/>
          <w:sz w:val="29"/>
        </w:rPr>
        <w:t>Medium</w:t>
      </w:r>
    </w:p>
    <w:p w14:paraId="6EF5E9AD" w14:textId="77777777" w:rsidR="004664AF" w:rsidRPr="00B44C1D" w:rsidRDefault="004664AF" w:rsidP="004664AF">
      <w:r w:rsidRPr="00B44C1D">
        <w:rPr>
          <w:b/>
          <w:bCs/>
        </w:rPr>
        <w:t>**M-01: ERC20 Approval Race**</w:t>
      </w:r>
    </w:p>
    <w:p w14:paraId="6B1271AE" w14:textId="77777777" w:rsidR="004664AF" w:rsidRPr="00B44C1D" w:rsidRDefault="004664AF" w:rsidP="004664AF"/>
    <w:p w14:paraId="3DA00657" w14:textId="77777777" w:rsidR="004664AF" w:rsidRPr="00B44C1D" w:rsidRDefault="004664AF" w:rsidP="004664AF">
      <w:r w:rsidRPr="00B44C1D">
        <w:rPr>
          <w:i/>
          <w:iCs/>
        </w:rPr>
        <w:t>*Summary*</w:t>
      </w:r>
    </w:p>
    <w:p w14:paraId="3F200143" w14:textId="77777777" w:rsidR="004664AF" w:rsidRPr="00B44C1D" w:rsidRDefault="004664AF" w:rsidP="004664AF">
      <w:r w:rsidRPr="00B44C1D">
        <w:t>Changing a non-zero allowance with `approve(spender, new)` can be raced by the spender using `transferFrom()`, allowing use of both the old and new values under tx ordering.</w:t>
      </w:r>
    </w:p>
    <w:p w14:paraId="49DD3005" w14:textId="77777777" w:rsidR="004664AF" w:rsidRPr="00B44C1D" w:rsidRDefault="004664AF" w:rsidP="004664AF"/>
    <w:p w14:paraId="45881100" w14:textId="77777777" w:rsidR="004664AF" w:rsidRPr="00B44C1D" w:rsidRDefault="004664AF" w:rsidP="004664AF">
      <w:r w:rsidRPr="00B44C1D">
        <w:rPr>
          <w:i/>
          <w:iCs/>
        </w:rPr>
        <w:t>*Location*</w:t>
      </w:r>
    </w:p>
    <w:p w14:paraId="1000F708" w14:textId="77777777" w:rsidR="004664AF" w:rsidRPr="00B44C1D" w:rsidRDefault="004664AF" w:rsidP="004664AF">
      <w:r w:rsidRPr="00B44C1D">
        <w:t>`ERC20.approve`, `ERC20.transferFrom`, `ERC20._approve`, `ERC20._spendAllowance`</w:t>
      </w:r>
    </w:p>
    <w:p w14:paraId="1011B311" w14:textId="77777777" w:rsidR="004664AF" w:rsidRPr="00B44C1D" w:rsidRDefault="004664AF" w:rsidP="004664AF"/>
    <w:p w14:paraId="120F5FC1" w14:textId="77777777" w:rsidR="004664AF" w:rsidRPr="00B44C1D" w:rsidRDefault="004664AF" w:rsidP="004664AF">
      <w:r w:rsidRPr="00B44C1D">
        <w:rPr>
          <w:i/>
          <w:iCs/>
        </w:rPr>
        <w:t>*Description*</w:t>
      </w:r>
    </w:p>
    <w:p w14:paraId="72D93B03" w14:textId="77777777" w:rsidR="004664AF" w:rsidRPr="00B44C1D" w:rsidRDefault="004664AF" w:rsidP="004664AF">
      <w:r w:rsidRPr="00B44C1D">
        <w:t>`approve` overwrites `_allowances[owner][spender]` without requiring `value` to be zero first.  `transferFrom()` spends whatever allowance is current at the execution (No atomic link between "change" and "spend").</w:t>
      </w:r>
    </w:p>
    <w:p w14:paraId="12B9E25F" w14:textId="77777777" w:rsidR="004664AF" w:rsidRPr="00B44C1D" w:rsidRDefault="004664AF" w:rsidP="004664AF"/>
    <w:p w14:paraId="002E08CB" w14:textId="77777777" w:rsidR="004664AF" w:rsidRPr="00B44C1D" w:rsidRDefault="004664AF" w:rsidP="004664AF">
      <w:r w:rsidRPr="00B44C1D">
        <w:rPr>
          <w:i/>
          <w:iCs/>
        </w:rPr>
        <w:t>*Proof of Concept (PoC)*</w:t>
      </w:r>
    </w:p>
    <w:p w14:paraId="011402A8" w14:textId="77777777" w:rsidR="004664AF" w:rsidRPr="00B44C1D" w:rsidRDefault="004664AF" w:rsidP="004664AF">
      <w:r w:rsidRPr="00B44C1D">
        <w:t>1.  Deploy an ERC20 token.</w:t>
      </w:r>
    </w:p>
    <w:p w14:paraId="77B68F44" w14:textId="77777777" w:rsidR="004664AF" w:rsidRPr="00B44C1D" w:rsidRDefault="004664AF" w:rsidP="004664AF">
      <w:r w:rsidRPr="00B44C1D">
        <w:t>2.  `owner` approves `spender` for 100 tokens:</w:t>
      </w:r>
    </w:p>
    <w:p w14:paraId="31A320AC" w14:textId="77777777" w:rsidR="004664AF" w:rsidRPr="00B44C1D" w:rsidRDefault="004664AF" w:rsidP="004664AF">
      <w:r w:rsidRPr="00B44C1D">
        <w:t>    `token.approve(spender, 100);`</w:t>
      </w:r>
    </w:p>
    <w:p w14:paraId="5A29342F" w14:textId="77777777" w:rsidR="004664AF" w:rsidRPr="00B44C1D" w:rsidRDefault="004664AF" w:rsidP="004664AF">
      <w:r w:rsidRPr="00B44C1D">
        <w:t>3.  Later, `owner` wants to reduce to 20, so broadcasts:</w:t>
      </w:r>
    </w:p>
    <w:p w14:paraId="79C3D6C6" w14:textId="77777777" w:rsidR="004664AF" w:rsidRPr="00B44C1D" w:rsidRDefault="004664AF" w:rsidP="004664AF">
      <w:r w:rsidRPr="00B44C1D">
        <w:t>    `token.approve(spender, 20);`</w:t>
      </w:r>
    </w:p>
    <w:p w14:paraId="691352C1" w14:textId="77777777" w:rsidR="004664AF" w:rsidRPr="00B44C1D" w:rsidRDefault="004664AF" w:rsidP="004664AF">
      <w:r w:rsidRPr="00B44C1D">
        <w:t>4.  Before that tx is mined, `spender` front-runs with:</w:t>
      </w:r>
    </w:p>
    <w:p w14:paraId="255A9473" w14:textId="77777777" w:rsidR="004664AF" w:rsidRPr="00B44C1D" w:rsidRDefault="004664AF" w:rsidP="004664AF">
      <w:r w:rsidRPr="00B44C1D">
        <w:t>    `token.transferFrom(owner, attacker, 100);`</w:t>
      </w:r>
    </w:p>
    <w:p w14:paraId="1EFDCD8E" w14:textId="77777777" w:rsidR="004664AF" w:rsidRPr="00B44C1D" w:rsidRDefault="004664AF" w:rsidP="004664AF">
      <w:r w:rsidRPr="00B44C1D">
        <w:t>    (uses old allowance).</w:t>
      </w:r>
    </w:p>
    <w:p w14:paraId="09C388E5" w14:textId="77777777" w:rsidR="004664AF" w:rsidRPr="00B44C1D" w:rsidRDefault="004664AF" w:rsidP="004664AF">
      <w:r w:rsidRPr="00B44C1D">
        <w:t>5.  Then the `approve(20)` tx lands, setting a new allowance.</w:t>
      </w:r>
    </w:p>
    <w:p w14:paraId="2D677789" w14:textId="77777777" w:rsidR="004664AF" w:rsidRPr="00B44C1D" w:rsidRDefault="004664AF" w:rsidP="004664AF">
      <w:r w:rsidRPr="00B44C1D">
        <w:t>6.  `spender` can now call:</w:t>
      </w:r>
    </w:p>
    <w:p w14:paraId="75617B0A" w14:textId="77777777" w:rsidR="004664AF" w:rsidRPr="00B44C1D" w:rsidRDefault="004664AF" w:rsidP="004664AF">
      <w:r w:rsidRPr="00B44C1D">
        <w:t>    `token.transferFrom(owner, attacker, 20);`</w:t>
      </w:r>
    </w:p>
    <w:p w14:paraId="37BA1848" w14:textId="77777777" w:rsidR="004664AF" w:rsidRPr="00B44C1D" w:rsidRDefault="004664AF" w:rsidP="004664AF">
      <w:r w:rsidRPr="00B44C1D">
        <w:t>    (uses new allowance).</w:t>
      </w:r>
    </w:p>
    <w:p w14:paraId="7942607D" w14:textId="77777777" w:rsidR="004664AF" w:rsidRPr="00B44C1D" w:rsidRDefault="004664AF" w:rsidP="004664AF">
      <w:r w:rsidRPr="00B44C1D">
        <w:lastRenderedPageBreak/>
        <w:t>Result: Spender drains 120 tokens instead of the intended 20.</w:t>
      </w:r>
    </w:p>
    <w:p w14:paraId="027C8F8E" w14:textId="77777777" w:rsidR="004664AF" w:rsidRPr="00B44C1D" w:rsidRDefault="004664AF" w:rsidP="004664AF"/>
    <w:p w14:paraId="7F9BDCAD" w14:textId="77777777" w:rsidR="004664AF" w:rsidRPr="00B44C1D" w:rsidRDefault="004664AF" w:rsidP="004664AF">
      <w:r w:rsidRPr="00B44C1D">
        <w:rPr>
          <w:i/>
          <w:iCs/>
        </w:rPr>
        <w:t>*Impact*</w:t>
      </w:r>
    </w:p>
    <w:p w14:paraId="196DCB7E" w14:textId="77777777" w:rsidR="004664AF" w:rsidRPr="00B44C1D" w:rsidRDefault="004664AF" w:rsidP="004664AF">
      <w:r w:rsidRPr="00B44C1D">
        <w:t>Owner's intended reduction/reset can be bypassed during the race window, therefore effective spend may be "old + new".</w:t>
      </w:r>
    </w:p>
    <w:p w14:paraId="242467E2" w14:textId="77777777" w:rsidR="004664AF" w:rsidRPr="00B44C1D" w:rsidRDefault="004664AF" w:rsidP="004664AF"/>
    <w:p w14:paraId="23B20B0A" w14:textId="77777777" w:rsidR="004664AF" w:rsidRPr="00B44C1D" w:rsidRDefault="004664AF" w:rsidP="004664AF">
      <w:r w:rsidRPr="00B44C1D">
        <w:rPr>
          <w:i/>
          <w:iCs/>
        </w:rPr>
        <w:t>*Severity*</w:t>
      </w:r>
    </w:p>
    <w:p w14:paraId="005E527B" w14:textId="77777777" w:rsidR="004664AF" w:rsidRPr="00B44C1D" w:rsidRDefault="004664AF" w:rsidP="004664AF">
      <w:r w:rsidRPr="00B44C1D">
        <w:t>Medium: known ERC-20 limitation; the exploit requires a motivated spender + mempool timing but results in unexpected extra spend.</w:t>
      </w:r>
    </w:p>
    <w:p w14:paraId="3D8EF5FA" w14:textId="77777777" w:rsidR="004664AF" w:rsidRPr="00B44C1D" w:rsidRDefault="004664AF" w:rsidP="004664AF"/>
    <w:p w14:paraId="307F41A1" w14:textId="77777777" w:rsidR="004664AF" w:rsidRPr="00B44C1D" w:rsidRDefault="004664AF" w:rsidP="004664AF">
      <w:r w:rsidRPr="00B44C1D">
        <w:rPr>
          <w:i/>
          <w:iCs/>
        </w:rPr>
        <w:t>*Recommendations*</w:t>
      </w:r>
    </w:p>
    <w:p w14:paraId="1D057C21" w14:textId="77777777" w:rsidR="004664AF" w:rsidRPr="00B44C1D" w:rsidRDefault="004664AF" w:rsidP="004664AF">
      <w:r w:rsidRPr="00B44C1D">
        <w:t>- Two-step change: `approve(spender, 0)` -&gt; wait confirmation -&gt; `approve(spender, new)`.</w:t>
      </w:r>
    </w:p>
    <w:p w14:paraId="7677D221" w14:textId="77777777" w:rsidR="004664AF" w:rsidRPr="00B44C1D" w:rsidRDefault="004664AF" w:rsidP="004664AF">
      <w:r w:rsidRPr="00B44C1D">
        <w:t>- Consider EIP-2612/Permit2 flows to avoid multi-tx races.</w:t>
      </w:r>
    </w:p>
    <w:p w14:paraId="6DC53B84" w14:textId="77777777" w:rsidR="004664AF" w:rsidRPr="00B44C1D" w:rsidRDefault="004664AF" w:rsidP="004664AF"/>
    <w:p w14:paraId="428916C9" w14:textId="77777777" w:rsidR="004664AF" w:rsidRPr="00B44C1D" w:rsidRDefault="004664AF" w:rsidP="004664AF">
      <w:r w:rsidRPr="00B44C1D">
        <w:rPr>
          <w:i/>
          <w:iCs/>
        </w:rPr>
        <w:t>*Status*</w:t>
      </w:r>
    </w:p>
    <w:p w14:paraId="203C0326" w14:textId="77777777" w:rsidR="004664AF" w:rsidRPr="00B44C1D" w:rsidRDefault="004664AF" w:rsidP="004664AF">
      <w:r w:rsidRPr="00B44C1D">
        <w:t>Known ERC-20 standard limitation, not an implementation bug.</w:t>
      </w:r>
    </w:p>
    <w:p w14:paraId="43C4C63D" w14:textId="77777777" w:rsidR="004664AF" w:rsidRDefault="004664AF">
      <w:pPr>
        <w:spacing w:after="410" w:line="264" w:lineRule="auto"/>
        <w:ind w:left="3"/>
      </w:pPr>
    </w:p>
    <w:p w14:paraId="5D4F9BEF" w14:textId="77777777" w:rsidR="004D62FF" w:rsidRDefault="00000000">
      <w:pPr>
        <w:spacing w:after="410" w:line="264" w:lineRule="auto"/>
        <w:ind w:left="3"/>
        <w:rPr>
          <w:b/>
          <w:color w:val="282828"/>
          <w:sz w:val="29"/>
        </w:rPr>
      </w:pPr>
      <w:r>
        <w:rPr>
          <w:b/>
          <w:color w:val="282828"/>
          <w:sz w:val="29"/>
        </w:rPr>
        <w:t>Low</w:t>
      </w:r>
    </w:p>
    <w:p w14:paraId="11E3166B" w14:textId="479D4129" w:rsidR="004664AF" w:rsidRDefault="004664AF">
      <w:pPr>
        <w:spacing w:after="410" w:line="264" w:lineRule="auto"/>
        <w:ind w:left="3"/>
      </w:pPr>
      <w:r w:rsidRPr="004664AF">
        <w:t xml:space="preserve">No </w:t>
      </w:r>
      <w:r w:rsidR="008F0DE5">
        <w:t>low</w:t>
      </w:r>
      <w:r w:rsidRPr="004664AF">
        <w:t xml:space="preserve"> severity findings</w:t>
      </w:r>
    </w:p>
    <w:p w14:paraId="521DFADC" w14:textId="77777777" w:rsidR="004D62FF" w:rsidRDefault="00000000">
      <w:pPr>
        <w:spacing w:after="410" w:line="264" w:lineRule="auto"/>
        <w:ind w:left="3"/>
        <w:rPr>
          <w:b/>
          <w:color w:val="282828"/>
          <w:sz w:val="29"/>
        </w:rPr>
      </w:pPr>
      <w:r>
        <w:rPr>
          <w:b/>
          <w:color w:val="282828"/>
          <w:sz w:val="29"/>
        </w:rPr>
        <w:t>Informational</w:t>
      </w:r>
    </w:p>
    <w:p w14:paraId="39653D90" w14:textId="77777777" w:rsidR="004664AF" w:rsidRPr="00B44C1D" w:rsidRDefault="004664AF" w:rsidP="004664AF">
      <w:r w:rsidRPr="00B44C1D">
        <w:rPr>
          <w:b/>
          <w:bCs/>
        </w:rPr>
        <w:t>**L-01: Inconsistent pragma directives**</w:t>
      </w:r>
    </w:p>
    <w:p w14:paraId="7BF783F7" w14:textId="77777777" w:rsidR="004664AF" w:rsidRPr="00B44C1D" w:rsidRDefault="004664AF" w:rsidP="004664AF"/>
    <w:p w14:paraId="618EA5F2" w14:textId="77777777" w:rsidR="004664AF" w:rsidRPr="00B44C1D" w:rsidRDefault="004664AF" w:rsidP="004664AF">
      <w:r w:rsidRPr="00B44C1D">
        <w:rPr>
          <w:i/>
          <w:iCs/>
        </w:rPr>
        <w:t>*Description*</w:t>
      </w:r>
    </w:p>
    <w:p w14:paraId="388121A3" w14:textId="79F3F313" w:rsidR="004664AF" w:rsidRPr="00B44C1D" w:rsidRDefault="008F0DE5" w:rsidP="004664AF">
      <w:r w:rsidRPr="00B44C1D">
        <w:t>Files</w:t>
      </w:r>
      <w:r w:rsidR="004664AF" w:rsidRPr="00B44C1D">
        <w:t xml:space="preserve"> within the ERC20 implementation use different pragma constraints (`&gt;=0.4.16`, `&gt;=0.6.2`, `&gt;=0.8.4`, `&gt;=^0.8.20`).</w:t>
      </w:r>
    </w:p>
    <w:p w14:paraId="4CF43332" w14:textId="77777777" w:rsidR="004664AF" w:rsidRPr="00B44C1D" w:rsidRDefault="004664AF" w:rsidP="004664AF"/>
    <w:p w14:paraId="4F5CDBDB" w14:textId="77777777" w:rsidR="004664AF" w:rsidRPr="00B44C1D" w:rsidRDefault="004664AF" w:rsidP="004664AF">
      <w:r w:rsidRPr="00B44C1D">
        <w:rPr>
          <w:i/>
          <w:iCs/>
        </w:rPr>
        <w:t>*Impact*</w:t>
      </w:r>
    </w:p>
    <w:p w14:paraId="386B4078" w14:textId="3467837F" w:rsidR="004664AF" w:rsidRPr="00B44C1D" w:rsidRDefault="004664AF" w:rsidP="004664AF">
      <w:r w:rsidRPr="00B44C1D">
        <w:t xml:space="preserve">Low.  No direct vulnerability, but compilation differences could introduce small </w:t>
      </w:r>
      <w:r w:rsidRPr="00B44C1D">
        <w:t>discrepancies</w:t>
      </w:r>
      <w:r w:rsidRPr="00B44C1D">
        <w:t xml:space="preserve"> across environments.</w:t>
      </w:r>
    </w:p>
    <w:p w14:paraId="05950241" w14:textId="77777777" w:rsidR="004664AF" w:rsidRPr="00B44C1D" w:rsidRDefault="004664AF" w:rsidP="004664AF"/>
    <w:p w14:paraId="0A2211F9" w14:textId="77777777" w:rsidR="004664AF" w:rsidRDefault="004664AF" w:rsidP="004664AF">
      <w:r w:rsidRPr="00B44C1D">
        <w:rPr>
          <w:i/>
          <w:iCs/>
        </w:rPr>
        <w:t>*Recommendation*</w:t>
      </w:r>
      <w:r w:rsidRPr="00B44C1D">
        <w:t xml:space="preserve"> </w:t>
      </w:r>
    </w:p>
    <w:p w14:paraId="4084361B" w14:textId="6D7705B0" w:rsidR="004664AF" w:rsidRDefault="004664AF" w:rsidP="004664AF">
      <w:r w:rsidRPr="00B44C1D">
        <w:t>Standardise pragma directives (e.g., `^0.8.20`) across all contracts).</w:t>
      </w:r>
    </w:p>
    <w:p w14:paraId="394D4728" w14:textId="77777777" w:rsidR="004664AF" w:rsidRDefault="004664AF" w:rsidP="004664AF"/>
    <w:p w14:paraId="387F3E94" w14:textId="1C61EA0B" w:rsidR="004664AF" w:rsidRDefault="004664AF" w:rsidP="004664AF">
      <w:r>
        <w:t>*Source*</w:t>
      </w:r>
      <w:r>
        <w:br/>
        <w:t>Detected by Slither Analyzer (solc 0.8.20):</w:t>
      </w:r>
    </w:p>
    <w:p w14:paraId="39C5F746" w14:textId="7AAC02FB" w:rsidR="004664AF" w:rsidRPr="00B44C1D" w:rsidRDefault="004664AF" w:rsidP="004664AF">
      <w:r w:rsidRPr="00B44C1D">
        <w:rPr>
          <w:noProof/>
        </w:rPr>
        <w:drawing>
          <wp:inline distT="0" distB="0" distL="0" distR="0" wp14:anchorId="33FB4D1F" wp14:editId="4ACA7481">
            <wp:extent cx="5731510" cy="1511300"/>
            <wp:effectExtent l="0" t="0" r="2540" b="0"/>
            <wp:docPr id="70293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360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CBD3" w14:textId="77777777" w:rsidR="004664AF" w:rsidRDefault="004664AF">
      <w:pPr>
        <w:spacing w:after="410" w:line="264" w:lineRule="auto"/>
        <w:ind w:left="3"/>
      </w:pPr>
    </w:p>
    <w:p w14:paraId="632DBE5C" w14:textId="77777777" w:rsidR="004D62FF" w:rsidRDefault="00000000">
      <w:pPr>
        <w:pStyle w:val="Heading1"/>
        <w:ind w:left="3"/>
      </w:pPr>
      <w:r>
        <w:t>Gas</w:t>
      </w:r>
    </w:p>
    <w:p w14:paraId="206038AF" w14:textId="224DA521" w:rsidR="00124550" w:rsidRPr="00124550" w:rsidRDefault="00124550" w:rsidP="00124550">
      <w:r w:rsidRPr="00124550">
        <w:t>No significant gas optimizations identified within the ERC20 implementation.</w:t>
      </w:r>
    </w:p>
    <w:sectPr w:rsidR="00124550" w:rsidRPr="001245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63" w:right="1383" w:bottom="2270" w:left="14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86BED" w14:textId="77777777" w:rsidR="004D4A70" w:rsidRDefault="004D4A70">
      <w:pPr>
        <w:spacing w:after="0" w:line="240" w:lineRule="auto"/>
      </w:pPr>
      <w:r>
        <w:separator/>
      </w:r>
    </w:p>
  </w:endnote>
  <w:endnote w:type="continuationSeparator" w:id="0">
    <w:p w14:paraId="557BD52C" w14:textId="77777777" w:rsidR="004D4A70" w:rsidRDefault="004D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882E7" w14:textId="77777777" w:rsidR="004D62FF" w:rsidRDefault="00000000">
    <w:pPr>
      <w:tabs>
        <w:tab w:val="right" w:pos="9113"/>
      </w:tabs>
      <w:spacing w:after="0" w:line="259" w:lineRule="auto"/>
      <w:ind w:left="0" w:firstLine="0"/>
    </w:pPr>
    <w:r>
      <w:t>Cyfrin.io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2F61F" w14:textId="43A5E292" w:rsidR="004D62FF" w:rsidRPr="008F0DE5" w:rsidRDefault="008F0DE5">
    <w:pPr>
      <w:tabs>
        <w:tab w:val="right" w:pos="9113"/>
      </w:tabs>
      <w:spacing w:after="0" w:line="259" w:lineRule="auto"/>
      <w:ind w:left="0" w:firstLine="0"/>
      <w:rPr>
        <w:lang w:val="en-US"/>
      </w:rPr>
    </w:pPr>
    <w:r>
      <w:rPr>
        <w:lang w:val="en-US"/>
      </w:rPr>
      <w:t>0xOwain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9ED40" w14:textId="77777777" w:rsidR="004D62FF" w:rsidRDefault="004D62F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0BB49" w14:textId="77777777" w:rsidR="004D4A70" w:rsidRDefault="004D4A70">
      <w:pPr>
        <w:spacing w:after="0" w:line="240" w:lineRule="auto"/>
      </w:pPr>
      <w:r>
        <w:separator/>
      </w:r>
    </w:p>
  </w:footnote>
  <w:footnote w:type="continuationSeparator" w:id="0">
    <w:p w14:paraId="039371E4" w14:textId="77777777" w:rsidR="004D4A70" w:rsidRDefault="004D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21D90" w14:textId="77777777" w:rsidR="004D62FF" w:rsidRDefault="00000000">
    <w:pPr>
      <w:tabs>
        <w:tab w:val="right" w:pos="9113"/>
      </w:tabs>
      <w:spacing w:after="0" w:line="259" w:lineRule="auto"/>
      <w:ind w:left="0" w:firstLine="0"/>
    </w:pPr>
    <w:r>
      <w:t>Protocol Audit Report</w:t>
    </w:r>
    <w:r>
      <w:tab/>
      <w:t>March 7,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0E16E" w14:textId="45C89216" w:rsidR="004D62FF" w:rsidRDefault="008F0DE5">
    <w:pPr>
      <w:tabs>
        <w:tab w:val="right" w:pos="9113"/>
      </w:tabs>
      <w:spacing w:after="0" w:line="259" w:lineRule="auto"/>
      <w:ind w:left="0" w:firstLine="0"/>
    </w:pPr>
    <w:r>
      <w:t>ERC20 Token Contract Audit</w:t>
    </w:r>
    <w:r w:rsidR="00000000">
      <w:tab/>
    </w:r>
    <w:r>
      <w:t>20/08/25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09EA3" w14:textId="77777777" w:rsidR="004D62FF" w:rsidRDefault="004D62F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3D96"/>
    <w:multiLevelType w:val="multilevel"/>
    <w:tmpl w:val="D2CA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934EA"/>
    <w:multiLevelType w:val="hybridMultilevel"/>
    <w:tmpl w:val="D03285EC"/>
    <w:lvl w:ilvl="0" w:tplc="366297EE">
      <w:start w:val="1"/>
      <w:numFmt w:val="bullet"/>
      <w:lvlText w:val="•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229C0">
      <w:start w:val="1"/>
      <w:numFmt w:val="bullet"/>
      <w:lvlText w:val="–"/>
      <w:lvlJc w:val="left"/>
      <w:pPr>
        <w:ind w:left="1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BAE074">
      <w:start w:val="1"/>
      <w:numFmt w:val="bullet"/>
      <w:lvlText w:val="▪"/>
      <w:lvlJc w:val="left"/>
      <w:pPr>
        <w:ind w:left="18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1E8DA4">
      <w:start w:val="1"/>
      <w:numFmt w:val="bullet"/>
      <w:lvlText w:val="•"/>
      <w:lvlJc w:val="left"/>
      <w:pPr>
        <w:ind w:left="26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CA2DA2">
      <w:start w:val="1"/>
      <w:numFmt w:val="bullet"/>
      <w:lvlText w:val="o"/>
      <w:lvlJc w:val="left"/>
      <w:pPr>
        <w:ind w:left="33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A922C">
      <w:start w:val="1"/>
      <w:numFmt w:val="bullet"/>
      <w:lvlText w:val="▪"/>
      <w:lvlJc w:val="left"/>
      <w:pPr>
        <w:ind w:left="40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5C6F0A">
      <w:start w:val="1"/>
      <w:numFmt w:val="bullet"/>
      <w:lvlText w:val="•"/>
      <w:lvlJc w:val="left"/>
      <w:pPr>
        <w:ind w:left="47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50B5A6">
      <w:start w:val="1"/>
      <w:numFmt w:val="bullet"/>
      <w:lvlText w:val="o"/>
      <w:lvlJc w:val="left"/>
      <w:pPr>
        <w:ind w:left="54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22740">
      <w:start w:val="1"/>
      <w:numFmt w:val="bullet"/>
      <w:lvlText w:val="▪"/>
      <w:lvlJc w:val="left"/>
      <w:pPr>
        <w:ind w:left="62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3475536">
    <w:abstractNumId w:val="1"/>
  </w:num>
  <w:num w:numId="2" w16cid:durableId="114327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F"/>
    <w:rsid w:val="00124550"/>
    <w:rsid w:val="004664AF"/>
    <w:rsid w:val="004D4A70"/>
    <w:rsid w:val="004D62FF"/>
    <w:rsid w:val="008F0DE5"/>
    <w:rsid w:val="00B76DF0"/>
    <w:rsid w:val="00F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5695"/>
  <w15:docId w15:val="{A3D6D9B8-9297-4D4C-8541-B4C33BEF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5" w:lineRule="auto"/>
      <w:ind w:left="18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9" w:line="264" w:lineRule="auto"/>
      <w:ind w:left="18" w:hanging="10"/>
      <w:outlineLvl w:val="0"/>
    </w:pPr>
    <w:rPr>
      <w:rFonts w:ascii="Calibri" w:eastAsia="Calibri" w:hAnsi="Calibri" w:cs="Calibri"/>
      <w:b/>
      <w:color w:val="282828"/>
      <w:sz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82828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50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dehawks.com/hawks-auditors/how-to-evaluate-a-finding-severit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 Audit Report</vt:lpstr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Audit Report</dc:title>
  <dc:subject/>
  <dc:creator>Cyfrin.io</dc:creator>
  <cp:keywords/>
  <cp:lastModifiedBy>PETERS O. (2212137)</cp:lastModifiedBy>
  <cp:revision>4</cp:revision>
  <dcterms:created xsi:type="dcterms:W3CDTF">2025-08-20T13:49:00Z</dcterms:created>
  <dcterms:modified xsi:type="dcterms:W3CDTF">2025-08-20T14:02:00Z</dcterms:modified>
</cp:coreProperties>
</file>