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73D" w:rsidRPr="00EF23CD" w:rsidRDefault="006A573D" w:rsidP="00027AAF">
      <w:pPr>
        <w:ind w:left="3296" w:right="3271"/>
        <w:jc w:val="center"/>
        <w:rPr>
          <w:b/>
          <w:sz w:val="28"/>
          <w:szCs w:val="40"/>
        </w:rPr>
      </w:pPr>
      <w:r w:rsidRPr="00EF23CD">
        <w:rPr>
          <w:b/>
          <w:sz w:val="28"/>
          <w:szCs w:val="40"/>
        </w:rPr>
        <w:t>Critical Analysis Template</w:t>
      </w:r>
    </w:p>
    <w:p w:rsidR="006A573D" w:rsidRPr="00EF23CD" w:rsidRDefault="006A573D" w:rsidP="00027AAF">
      <w:pPr>
        <w:ind w:left="3296" w:right="3271"/>
        <w:jc w:val="both"/>
        <w:rPr>
          <w:b/>
          <w:sz w:val="32"/>
          <w:szCs w:val="40"/>
        </w:rPr>
      </w:pPr>
    </w:p>
    <w:tbl>
      <w:tblPr>
        <w:tblStyle w:val="TableGrid"/>
        <w:tblW w:w="9862" w:type="dxa"/>
        <w:tblInd w:w="100" w:type="dxa"/>
        <w:tblLook w:val="04A0" w:firstRow="1" w:lastRow="0" w:firstColumn="1" w:lastColumn="0" w:noHBand="0" w:noVBand="1"/>
      </w:tblPr>
      <w:tblGrid>
        <w:gridCol w:w="4932"/>
        <w:gridCol w:w="4930"/>
      </w:tblGrid>
      <w:tr w:rsidR="00624C99" w:rsidRPr="00EF23CD" w:rsidTr="00624C99">
        <w:trPr>
          <w:trHeight w:val="797"/>
        </w:trPr>
        <w:tc>
          <w:tcPr>
            <w:tcW w:w="4932" w:type="dxa"/>
          </w:tcPr>
          <w:p w:rsidR="00624C99" w:rsidRPr="00EF23CD" w:rsidRDefault="00624C99" w:rsidP="00027AAF">
            <w:pPr>
              <w:spacing w:line="276" w:lineRule="auto"/>
              <w:ind w:right="61"/>
              <w:jc w:val="both"/>
              <w:rPr>
                <w:b/>
                <w:sz w:val="22"/>
                <w:szCs w:val="22"/>
              </w:rPr>
            </w:pPr>
            <w:r w:rsidRPr="00EF23CD">
              <w:rPr>
                <w:b/>
                <w:sz w:val="22"/>
                <w:szCs w:val="22"/>
              </w:rPr>
              <w:t>Name:</w:t>
            </w:r>
            <w:r w:rsidR="00CB064A">
              <w:rPr>
                <w:b/>
                <w:sz w:val="22"/>
                <w:szCs w:val="22"/>
              </w:rPr>
              <w:t xml:space="preserve"> </w:t>
            </w:r>
            <w:proofErr w:type="spellStart"/>
            <w:r w:rsidR="00CB064A">
              <w:rPr>
                <w:b/>
                <w:sz w:val="22"/>
                <w:szCs w:val="22"/>
              </w:rPr>
              <w:t>Owais</w:t>
            </w:r>
            <w:proofErr w:type="spellEnd"/>
            <w:r w:rsidR="00CB064A">
              <w:rPr>
                <w:b/>
                <w:sz w:val="22"/>
                <w:szCs w:val="22"/>
              </w:rPr>
              <w:t xml:space="preserve"> Ali Khan</w:t>
            </w:r>
          </w:p>
        </w:tc>
        <w:tc>
          <w:tcPr>
            <w:tcW w:w="4930" w:type="dxa"/>
          </w:tcPr>
          <w:p w:rsidR="00624C99" w:rsidRPr="00EF23CD" w:rsidRDefault="00624C99" w:rsidP="00027AAF">
            <w:pPr>
              <w:spacing w:line="276" w:lineRule="auto"/>
              <w:ind w:right="61"/>
              <w:jc w:val="both"/>
              <w:rPr>
                <w:b/>
                <w:sz w:val="22"/>
                <w:szCs w:val="22"/>
              </w:rPr>
            </w:pPr>
            <w:r w:rsidRPr="00EF23CD">
              <w:rPr>
                <w:b/>
                <w:sz w:val="22"/>
                <w:szCs w:val="22"/>
              </w:rPr>
              <w:t>Roll No.</w:t>
            </w:r>
            <w:r w:rsidR="00CB064A">
              <w:rPr>
                <w:b/>
                <w:sz w:val="22"/>
                <w:szCs w:val="22"/>
              </w:rPr>
              <w:t xml:space="preserve"> 21K-3298</w:t>
            </w:r>
          </w:p>
        </w:tc>
      </w:tr>
      <w:tr w:rsidR="00624C99" w:rsidRPr="00EF23CD" w:rsidTr="00624C99">
        <w:trPr>
          <w:trHeight w:val="797"/>
        </w:trPr>
        <w:tc>
          <w:tcPr>
            <w:tcW w:w="4932" w:type="dxa"/>
          </w:tcPr>
          <w:p w:rsidR="00624C99" w:rsidRPr="00EF23CD" w:rsidRDefault="00624C99" w:rsidP="00027AAF">
            <w:pPr>
              <w:spacing w:line="276" w:lineRule="auto"/>
              <w:ind w:right="61"/>
              <w:jc w:val="both"/>
              <w:rPr>
                <w:b/>
                <w:sz w:val="22"/>
                <w:szCs w:val="22"/>
              </w:rPr>
            </w:pPr>
            <w:r w:rsidRPr="00EF23CD">
              <w:rPr>
                <w:b/>
                <w:sz w:val="22"/>
                <w:szCs w:val="22"/>
              </w:rPr>
              <w:t xml:space="preserve">Section: </w:t>
            </w:r>
            <w:r w:rsidR="00CB064A">
              <w:rPr>
                <w:b/>
                <w:sz w:val="22"/>
                <w:szCs w:val="22"/>
              </w:rPr>
              <w:t>F</w:t>
            </w:r>
          </w:p>
        </w:tc>
        <w:tc>
          <w:tcPr>
            <w:tcW w:w="4930" w:type="dxa"/>
          </w:tcPr>
          <w:p w:rsidR="00624C99" w:rsidRPr="00EF23CD" w:rsidRDefault="00624C99" w:rsidP="00027AAF">
            <w:pPr>
              <w:spacing w:line="276" w:lineRule="auto"/>
              <w:ind w:right="61"/>
              <w:jc w:val="both"/>
              <w:rPr>
                <w:b/>
                <w:sz w:val="22"/>
                <w:szCs w:val="22"/>
              </w:rPr>
            </w:pPr>
            <w:r w:rsidRPr="00EF23CD">
              <w:rPr>
                <w:b/>
                <w:sz w:val="22"/>
                <w:szCs w:val="22"/>
              </w:rPr>
              <w:t>Title of the Essay:</w:t>
            </w:r>
            <w:r w:rsidR="00CB064A">
              <w:rPr>
                <w:b/>
                <w:sz w:val="22"/>
                <w:szCs w:val="22"/>
              </w:rPr>
              <w:t xml:space="preserve"> The Beguiling 5</w:t>
            </w:r>
            <w:r w:rsidR="00CB064A" w:rsidRPr="00CB064A">
              <w:rPr>
                <w:b/>
                <w:sz w:val="22"/>
                <w:szCs w:val="22"/>
                <w:vertAlign w:val="superscript"/>
              </w:rPr>
              <w:t>th</w:t>
            </w:r>
            <w:r w:rsidR="00CB064A">
              <w:rPr>
                <w:b/>
                <w:sz w:val="22"/>
                <w:szCs w:val="22"/>
              </w:rPr>
              <w:t xml:space="preserve"> Symphony</w:t>
            </w:r>
          </w:p>
        </w:tc>
      </w:tr>
    </w:tbl>
    <w:p w:rsidR="00DE4AE7" w:rsidRPr="00EF23CD" w:rsidRDefault="00DE4AE7" w:rsidP="00027AAF">
      <w:pPr>
        <w:spacing w:line="276" w:lineRule="auto"/>
        <w:ind w:left="100" w:right="61"/>
        <w:jc w:val="both"/>
        <w:rPr>
          <w:b/>
          <w:sz w:val="22"/>
          <w:szCs w:val="22"/>
        </w:rPr>
      </w:pPr>
    </w:p>
    <w:p w:rsidR="00624C99" w:rsidRPr="00EF23CD" w:rsidRDefault="00624C99" w:rsidP="00027AAF">
      <w:pPr>
        <w:spacing w:line="276" w:lineRule="auto"/>
        <w:ind w:left="100" w:right="61"/>
        <w:jc w:val="both"/>
        <w:rPr>
          <w:b/>
          <w:sz w:val="22"/>
          <w:szCs w:val="22"/>
        </w:rPr>
      </w:pPr>
    </w:p>
    <w:tbl>
      <w:tblPr>
        <w:tblStyle w:val="TableGrid"/>
        <w:tblW w:w="9933" w:type="dxa"/>
        <w:tblLook w:val="04A0" w:firstRow="1" w:lastRow="0" w:firstColumn="1" w:lastColumn="0" w:noHBand="0" w:noVBand="1"/>
      </w:tblPr>
      <w:tblGrid>
        <w:gridCol w:w="1784"/>
        <w:gridCol w:w="8149"/>
      </w:tblGrid>
      <w:tr w:rsidR="006A573D" w:rsidRPr="00EF23CD" w:rsidTr="00624C99">
        <w:trPr>
          <w:trHeight w:val="2462"/>
        </w:trPr>
        <w:tc>
          <w:tcPr>
            <w:tcW w:w="1784" w:type="dxa"/>
          </w:tcPr>
          <w:p w:rsidR="006A573D" w:rsidRPr="00EF23CD" w:rsidRDefault="006A573D" w:rsidP="00027AAF">
            <w:pPr>
              <w:jc w:val="both"/>
              <w:rPr>
                <w:b/>
                <w:sz w:val="24"/>
                <w:szCs w:val="28"/>
              </w:rPr>
            </w:pPr>
            <w:r w:rsidRPr="00EF23CD">
              <w:rPr>
                <w:b/>
                <w:sz w:val="24"/>
                <w:szCs w:val="28"/>
              </w:rPr>
              <w:t xml:space="preserve">Introduction </w:t>
            </w:r>
          </w:p>
        </w:tc>
        <w:tc>
          <w:tcPr>
            <w:tcW w:w="8149" w:type="dxa"/>
          </w:tcPr>
          <w:p w:rsidR="002A4E9D" w:rsidRPr="002A4E9D" w:rsidRDefault="002A4E9D" w:rsidP="00645180">
            <w:pPr>
              <w:ind w:right="310"/>
              <w:jc w:val="both"/>
              <w:rPr>
                <w:sz w:val="24"/>
                <w:szCs w:val="28"/>
              </w:rPr>
            </w:pPr>
            <w:r w:rsidRPr="002A4E9D">
              <w:rPr>
                <w:sz w:val="24"/>
                <w:szCs w:val="28"/>
              </w:rPr>
              <w:t xml:space="preserve">The assigned essay, </w:t>
            </w:r>
            <w:r w:rsidRPr="002A4E9D">
              <w:rPr>
                <w:i/>
                <w:sz w:val="24"/>
                <w:szCs w:val="28"/>
              </w:rPr>
              <w:t>The Beguiling 5</w:t>
            </w:r>
            <w:r w:rsidRPr="002A4E9D">
              <w:rPr>
                <w:i/>
                <w:sz w:val="24"/>
                <w:szCs w:val="28"/>
                <w:vertAlign w:val="superscript"/>
              </w:rPr>
              <w:t>th</w:t>
            </w:r>
            <w:r w:rsidRPr="002A4E9D">
              <w:rPr>
                <w:i/>
                <w:sz w:val="24"/>
                <w:szCs w:val="28"/>
              </w:rPr>
              <w:t xml:space="preserve"> Symphony</w:t>
            </w:r>
            <w:r w:rsidR="00FE5FAA">
              <w:rPr>
                <w:sz w:val="24"/>
                <w:szCs w:val="28"/>
              </w:rPr>
              <w:t>,</w:t>
            </w:r>
            <w:r>
              <w:rPr>
                <w:i/>
                <w:sz w:val="24"/>
                <w:szCs w:val="28"/>
              </w:rPr>
              <w:t xml:space="preserve"> </w:t>
            </w:r>
            <w:r>
              <w:rPr>
                <w:sz w:val="24"/>
                <w:szCs w:val="28"/>
              </w:rPr>
              <w:t>is an exhaustive and comprehensive dissertation</w:t>
            </w:r>
            <w:r w:rsidR="0076043A">
              <w:rPr>
                <w:sz w:val="24"/>
                <w:szCs w:val="28"/>
              </w:rPr>
              <w:t xml:space="preserve"> on the globally acclaimed</w:t>
            </w:r>
            <w:r>
              <w:rPr>
                <w:sz w:val="24"/>
                <w:szCs w:val="28"/>
              </w:rPr>
              <w:t xml:space="preserve"> 5</w:t>
            </w:r>
            <w:r w:rsidRPr="002A4E9D">
              <w:rPr>
                <w:sz w:val="24"/>
                <w:szCs w:val="28"/>
                <w:vertAlign w:val="superscript"/>
              </w:rPr>
              <w:t>th</w:t>
            </w:r>
            <w:r>
              <w:rPr>
                <w:sz w:val="24"/>
                <w:szCs w:val="28"/>
              </w:rPr>
              <w:t xml:space="preserve"> symphony of the famed German composer Ludwig van Beethoven, which premiered in 1808. The author sets out to expound upon the technical aspects of the symphony in a meticulous manner, as well as</w:t>
            </w:r>
            <w:r w:rsidR="0076043A">
              <w:rPr>
                <w:sz w:val="24"/>
                <w:szCs w:val="28"/>
              </w:rPr>
              <w:t xml:space="preserve"> provide the adequate historical background and also elucidate its claim to fame. The result is a flawless treatise on the 5</w:t>
            </w:r>
            <w:r w:rsidR="0076043A" w:rsidRPr="0076043A">
              <w:rPr>
                <w:sz w:val="24"/>
                <w:szCs w:val="28"/>
                <w:vertAlign w:val="superscript"/>
              </w:rPr>
              <w:t>th</w:t>
            </w:r>
            <w:r w:rsidR="0076043A">
              <w:rPr>
                <w:sz w:val="24"/>
                <w:szCs w:val="28"/>
              </w:rPr>
              <w:t xml:space="preserve"> symphony that</w:t>
            </w:r>
            <w:r w:rsidR="00645180">
              <w:rPr>
                <w:sz w:val="24"/>
                <w:szCs w:val="28"/>
              </w:rPr>
              <w:t xml:space="preserve"> also</w:t>
            </w:r>
            <w:r w:rsidR="0076043A">
              <w:rPr>
                <w:sz w:val="24"/>
                <w:szCs w:val="28"/>
              </w:rPr>
              <w:t xml:space="preserve"> </w:t>
            </w:r>
            <w:r w:rsidR="00645180">
              <w:rPr>
                <w:sz w:val="24"/>
                <w:szCs w:val="28"/>
              </w:rPr>
              <w:t>provides a highly technical account of the music principles contained in the symphony.</w:t>
            </w:r>
          </w:p>
        </w:tc>
      </w:tr>
      <w:tr w:rsidR="006A573D" w:rsidRPr="00EF23CD" w:rsidTr="00624C99">
        <w:trPr>
          <w:trHeight w:val="2725"/>
        </w:trPr>
        <w:tc>
          <w:tcPr>
            <w:tcW w:w="1784" w:type="dxa"/>
          </w:tcPr>
          <w:p w:rsidR="006A573D" w:rsidRPr="00EF23CD" w:rsidRDefault="006A573D" w:rsidP="00027AAF">
            <w:pPr>
              <w:jc w:val="both"/>
              <w:rPr>
                <w:b/>
                <w:sz w:val="24"/>
                <w:szCs w:val="28"/>
              </w:rPr>
            </w:pPr>
            <w:r w:rsidRPr="00EF23CD">
              <w:rPr>
                <w:b/>
                <w:sz w:val="24"/>
                <w:szCs w:val="28"/>
              </w:rPr>
              <w:t xml:space="preserve">Summary </w:t>
            </w:r>
          </w:p>
        </w:tc>
        <w:tc>
          <w:tcPr>
            <w:tcW w:w="8149" w:type="dxa"/>
          </w:tcPr>
          <w:p w:rsidR="00E70677" w:rsidRPr="00645180" w:rsidRDefault="00645180" w:rsidP="008548D0">
            <w:pPr>
              <w:jc w:val="both"/>
              <w:rPr>
                <w:sz w:val="24"/>
                <w:szCs w:val="28"/>
              </w:rPr>
            </w:pPr>
            <w:r>
              <w:rPr>
                <w:sz w:val="24"/>
                <w:szCs w:val="28"/>
              </w:rPr>
              <w:t>The article is about the 5</w:t>
            </w:r>
            <w:r w:rsidRPr="00645180">
              <w:rPr>
                <w:sz w:val="24"/>
                <w:szCs w:val="28"/>
                <w:vertAlign w:val="superscript"/>
              </w:rPr>
              <w:t>th</w:t>
            </w:r>
            <w:r>
              <w:rPr>
                <w:sz w:val="24"/>
                <w:szCs w:val="28"/>
              </w:rPr>
              <w:t xml:space="preserve"> symphony composed by Beethoven which is regarded as one of the most captivating pieces of musi</w:t>
            </w:r>
            <w:r w:rsidR="00E70677">
              <w:rPr>
                <w:sz w:val="24"/>
                <w:szCs w:val="28"/>
              </w:rPr>
              <w:t>c ever composed. The main point</w:t>
            </w:r>
            <w:r>
              <w:rPr>
                <w:sz w:val="24"/>
                <w:szCs w:val="28"/>
              </w:rPr>
              <w:t xml:space="preserve"> of the essay </w:t>
            </w:r>
            <w:r w:rsidR="00E70677">
              <w:rPr>
                <w:sz w:val="24"/>
                <w:szCs w:val="28"/>
              </w:rPr>
              <w:t>is</w:t>
            </w:r>
            <w:r>
              <w:rPr>
                <w:sz w:val="24"/>
                <w:szCs w:val="28"/>
              </w:rPr>
              <w:t xml:space="preserve"> the unique nature of the symphony, which can be regarded as an avant-garde work by Beethoven, whose peers </w:t>
            </w:r>
            <w:r w:rsidR="00E70677">
              <w:rPr>
                <w:sz w:val="24"/>
                <w:szCs w:val="28"/>
              </w:rPr>
              <w:t>were limited by their highly traditional and dogmatic approach to music. Th</w:t>
            </w:r>
            <w:r w:rsidR="008548D0">
              <w:rPr>
                <w:sz w:val="24"/>
                <w:szCs w:val="28"/>
              </w:rPr>
              <w:t>e fate motif remains a</w:t>
            </w:r>
            <w:r w:rsidR="00E70677">
              <w:rPr>
                <w:sz w:val="24"/>
                <w:szCs w:val="28"/>
              </w:rPr>
              <w:t xml:space="preserve"> crucial point throughout the essay, being the single defining characteristic of the symphony.</w:t>
            </w:r>
            <w:r w:rsidR="008548D0">
              <w:rPr>
                <w:sz w:val="24"/>
                <w:szCs w:val="28"/>
              </w:rPr>
              <w:t xml:space="preserve"> The bulk of the essay is spent in covering the minute details of the fate motif, which is responsible for the euphonious feelings evoked by the symphony. </w:t>
            </w:r>
            <w:r w:rsidR="00E70677">
              <w:rPr>
                <w:sz w:val="24"/>
                <w:szCs w:val="28"/>
              </w:rPr>
              <w:t xml:space="preserve">The author concludes the essay by highlighting the legacy of Beethoven’s notable work, and mentioning the </w:t>
            </w:r>
            <w:r w:rsidR="008548D0">
              <w:rPr>
                <w:sz w:val="24"/>
                <w:szCs w:val="28"/>
              </w:rPr>
              <w:t>emotions felt universally upon hearing the exquisite symphony.</w:t>
            </w:r>
          </w:p>
        </w:tc>
      </w:tr>
      <w:tr w:rsidR="006A573D" w:rsidRPr="00EF23CD" w:rsidTr="00624C99">
        <w:trPr>
          <w:trHeight w:val="2488"/>
        </w:trPr>
        <w:tc>
          <w:tcPr>
            <w:tcW w:w="1784" w:type="dxa"/>
          </w:tcPr>
          <w:p w:rsidR="006A573D" w:rsidRPr="00EF23CD" w:rsidRDefault="006A573D" w:rsidP="00027AAF">
            <w:pPr>
              <w:jc w:val="both"/>
              <w:rPr>
                <w:b/>
                <w:sz w:val="24"/>
                <w:szCs w:val="28"/>
              </w:rPr>
            </w:pPr>
            <w:r w:rsidRPr="00EF23CD">
              <w:rPr>
                <w:b/>
                <w:sz w:val="24"/>
                <w:szCs w:val="28"/>
              </w:rPr>
              <w:t xml:space="preserve">Analysis </w:t>
            </w:r>
          </w:p>
        </w:tc>
        <w:tc>
          <w:tcPr>
            <w:tcW w:w="8149" w:type="dxa"/>
          </w:tcPr>
          <w:p w:rsidR="006A573D" w:rsidRPr="008548D0" w:rsidRDefault="008548D0" w:rsidP="00027AAF">
            <w:pPr>
              <w:spacing w:line="260" w:lineRule="exact"/>
              <w:ind w:left="5"/>
              <w:jc w:val="both"/>
              <w:rPr>
                <w:sz w:val="24"/>
                <w:szCs w:val="24"/>
              </w:rPr>
            </w:pPr>
            <w:r>
              <w:rPr>
                <w:sz w:val="24"/>
                <w:szCs w:val="24"/>
              </w:rPr>
              <w:t xml:space="preserve">The given essay </w:t>
            </w:r>
            <w:r w:rsidR="00563726">
              <w:rPr>
                <w:sz w:val="24"/>
                <w:szCs w:val="24"/>
              </w:rPr>
              <w:t>is successful in giving a</w:t>
            </w:r>
            <w:bookmarkStart w:id="0" w:name="_GoBack"/>
            <w:bookmarkEnd w:id="0"/>
            <w:r w:rsidR="00563726">
              <w:rPr>
                <w:sz w:val="24"/>
                <w:szCs w:val="24"/>
              </w:rPr>
              <w:t xml:space="preserve"> clear and well-researched description of Beethoven’s 5</w:t>
            </w:r>
            <w:r w:rsidR="00563726" w:rsidRPr="00563726">
              <w:rPr>
                <w:sz w:val="24"/>
                <w:szCs w:val="24"/>
                <w:vertAlign w:val="superscript"/>
              </w:rPr>
              <w:t>th</w:t>
            </w:r>
            <w:r w:rsidR="00563726">
              <w:rPr>
                <w:sz w:val="24"/>
                <w:szCs w:val="24"/>
              </w:rPr>
              <w:t xml:space="preserve"> symphony. The important events of Beethoven’s life are mentioned at appropriate places in the essay. The extremely minute detail regarding the music transitions of the symphony shows impeccable research on the author’s part. The background events listed by the author also feel natural, and heighten the immersive feeling of the essay. Although the technical knowledge may frustrate the layperson, the music enthusiast or history scholar will greatly value the attention to detail displayed by the author.</w:t>
            </w:r>
          </w:p>
        </w:tc>
      </w:tr>
      <w:tr w:rsidR="006A573D" w:rsidRPr="00EF23CD" w:rsidTr="00624C99">
        <w:trPr>
          <w:trHeight w:val="907"/>
        </w:trPr>
        <w:tc>
          <w:tcPr>
            <w:tcW w:w="1784" w:type="dxa"/>
          </w:tcPr>
          <w:p w:rsidR="006A573D" w:rsidRPr="00EF23CD" w:rsidRDefault="006A573D" w:rsidP="00027AAF">
            <w:pPr>
              <w:jc w:val="both"/>
              <w:rPr>
                <w:b/>
                <w:sz w:val="24"/>
                <w:szCs w:val="28"/>
              </w:rPr>
            </w:pPr>
            <w:r w:rsidRPr="00EF23CD">
              <w:rPr>
                <w:b/>
                <w:sz w:val="24"/>
                <w:szCs w:val="28"/>
              </w:rPr>
              <w:t xml:space="preserve">Conclusion </w:t>
            </w:r>
          </w:p>
        </w:tc>
        <w:tc>
          <w:tcPr>
            <w:tcW w:w="8149" w:type="dxa"/>
          </w:tcPr>
          <w:p w:rsidR="00624C99" w:rsidRPr="00C94E75" w:rsidRDefault="00AF275D" w:rsidP="00027AAF">
            <w:pPr>
              <w:jc w:val="both"/>
              <w:rPr>
                <w:sz w:val="24"/>
                <w:szCs w:val="28"/>
              </w:rPr>
            </w:pPr>
            <w:r>
              <w:rPr>
                <w:sz w:val="24"/>
                <w:szCs w:val="28"/>
              </w:rPr>
              <w:t>I</w:t>
            </w:r>
            <w:r w:rsidR="00FE5FAA">
              <w:rPr>
                <w:sz w:val="24"/>
                <w:szCs w:val="28"/>
              </w:rPr>
              <w:t xml:space="preserve">n conclusion, the given essay, </w:t>
            </w:r>
            <w:r w:rsidR="00FE5FAA">
              <w:rPr>
                <w:i/>
                <w:sz w:val="24"/>
                <w:szCs w:val="28"/>
              </w:rPr>
              <w:t>The Beguiling 5</w:t>
            </w:r>
            <w:r w:rsidR="00FE5FAA" w:rsidRPr="00FE5FAA">
              <w:rPr>
                <w:i/>
                <w:sz w:val="24"/>
                <w:szCs w:val="28"/>
                <w:vertAlign w:val="superscript"/>
              </w:rPr>
              <w:t>th</w:t>
            </w:r>
            <w:r w:rsidR="00FE5FAA">
              <w:rPr>
                <w:i/>
                <w:sz w:val="24"/>
                <w:szCs w:val="28"/>
              </w:rPr>
              <w:t xml:space="preserve"> Symphony</w:t>
            </w:r>
            <w:r w:rsidR="00FE5FAA">
              <w:rPr>
                <w:sz w:val="24"/>
                <w:szCs w:val="28"/>
              </w:rPr>
              <w:t>, is well-researched work of great detail, which succeeds in establishing its thesis and expounding upon it with hard facts. It paints a precise picture of the background, influence, and legacy of the 5</w:t>
            </w:r>
            <w:r w:rsidR="00FE5FAA" w:rsidRPr="00FE5FAA">
              <w:rPr>
                <w:sz w:val="24"/>
                <w:szCs w:val="28"/>
                <w:vertAlign w:val="superscript"/>
              </w:rPr>
              <w:t>th</w:t>
            </w:r>
            <w:r w:rsidR="00FE5FAA">
              <w:rPr>
                <w:sz w:val="24"/>
                <w:szCs w:val="28"/>
              </w:rPr>
              <w:t xml:space="preserve"> symphony in astonishing detail.</w:t>
            </w:r>
          </w:p>
          <w:p w:rsidR="00624C99" w:rsidRPr="00EF23CD" w:rsidRDefault="00624C99" w:rsidP="00027AAF">
            <w:pPr>
              <w:jc w:val="both"/>
              <w:rPr>
                <w:b/>
                <w:sz w:val="24"/>
                <w:szCs w:val="28"/>
              </w:rPr>
            </w:pPr>
          </w:p>
        </w:tc>
      </w:tr>
    </w:tbl>
    <w:p w:rsidR="006A573D" w:rsidRPr="00EF23CD" w:rsidRDefault="006A573D" w:rsidP="00027AAF">
      <w:pPr>
        <w:jc w:val="both"/>
        <w:rPr>
          <w:b/>
          <w:sz w:val="28"/>
          <w:szCs w:val="28"/>
        </w:rPr>
      </w:pPr>
    </w:p>
    <w:sectPr w:rsidR="006A573D" w:rsidRPr="00EF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10F5C"/>
    <w:multiLevelType w:val="hybridMultilevel"/>
    <w:tmpl w:val="E214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4"/>
    <w:rsid w:val="00002533"/>
    <w:rsid w:val="00027AAF"/>
    <w:rsid w:val="00212875"/>
    <w:rsid w:val="002A4E9D"/>
    <w:rsid w:val="00563726"/>
    <w:rsid w:val="00585F2F"/>
    <w:rsid w:val="00624C99"/>
    <w:rsid w:val="00645180"/>
    <w:rsid w:val="006A573D"/>
    <w:rsid w:val="0076043A"/>
    <w:rsid w:val="008548D0"/>
    <w:rsid w:val="00AF275D"/>
    <w:rsid w:val="00C94E75"/>
    <w:rsid w:val="00CB064A"/>
    <w:rsid w:val="00DE4AE7"/>
    <w:rsid w:val="00E70677"/>
    <w:rsid w:val="00EF23CD"/>
    <w:rsid w:val="00F40924"/>
    <w:rsid w:val="00FE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29931-7117-4B71-9040-33DA4DAC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73D"/>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21287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2875"/>
    <w:pPr>
      <w:spacing w:before="100" w:beforeAutospacing="1" w:after="100" w:afterAutospacing="1"/>
    </w:pPr>
    <w:rPr>
      <w:sz w:val="24"/>
      <w:szCs w:val="24"/>
    </w:rPr>
  </w:style>
  <w:style w:type="character" w:styleId="Emphasis">
    <w:name w:val="Emphasis"/>
    <w:basedOn w:val="DefaultParagraphFont"/>
    <w:uiPriority w:val="20"/>
    <w:qFormat/>
    <w:rsid w:val="00212875"/>
    <w:rPr>
      <w:i/>
      <w:iCs/>
    </w:rPr>
  </w:style>
  <w:style w:type="table" w:styleId="TableGrid">
    <w:name w:val="Table Grid"/>
    <w:basedOn w:val="TableNormal"/>
    <w:uiPriority w:val="39"/>
    <w:rsid w:val="006A5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3327">
      <w:bodyDiv w:val="1"/>
      <w:marLeft w:val="0"/>
      <w:marRight w:val="0"/>
      <w:marTop w:val="0"/>
      <w:marBottom w:val="0"/>
      <w:divBdr>
        <w:top w:val="none" w:sz="0" w:space="0" w:color="auto"/>
        <w:left w:val="none" w:sz="0" w:space="0" w:color="auto"/>
        <w:bottom w:val="none" w:sz="0" w:space="0" w:color="auto"/>
        <w:right w:val="none" w:sz="0" w:space="0" w:color="auto"/>
      </w:divBdr>
      <w:divsChild>
        <w:div w:id="1814910759">
          <w:marLeft w:val="0"/>
          <w:marRight w:val="0"/>
          <w:marTop w:val="0"/>
          <w:marBottom w:val="0"/>
          <w:divBdr>
            <w:top w:val="none" w:sz="0" w:space="0" w:color="auto"/>
            <w:left w:val="none" w:sz="0" w:space="0" w:color="auto"/>
            <w:bottom w:val="none" w:sz="0" w:space="0" w:color="auto"/>
            <w:right w:val="none" w:sz="0" w:space="0" w:color="auto"/>
          </w:divBdr>
          <w:divsChild>
            <w:div w:id="1322007112">
              <w:marLeft w:val="0"/>
              <w:marRight w:val="0"/>
              <w:marTop w:val="0"/>
              <w:marBottom w:val="750"/>
              <w:divBdr>
                <w:top w:val="none" w:sz="0" w:space="0" w:color="auto"/>
                <w:left w:val="none" w:sz="0" w:space="0" w:color="auto"/>
                <w:bottom w:val="none" w:sz="0" w:space="0" w:color="auto"/>
                <w:right w:val="none" w:sz="0" w:space="0" w:color="auto"/>
              </w:divBdr>
            </w:div>
          </w:divsChild>
        </w:div>
        <w:div w:id="1386563506">
          <w:marLeft w:val="0"/>
          <w:marRight w:val="0"/>
          <w:marTop w:val="0"/>
          <w:marBottom w:val="0"/>
          <w:divBdr>
            <w:top w:val="none" w:sz="0" w:space="0" w:color="auto"/>
            <w:left w:val="none" w:sz="0" w:space="0" w:color="auto"/>
            <w:bottom w:val="none" w:sz="0" w:space="0" w:color="auto"/>
            <w:right w:val="none" w:sz="0" w:space="0" w:color="auto"/>
          </w:divBdr>
          <w:divsChild>
            <w:div w:id="1382706105">
              <w:marLeft w:val="0"/>
              <w:marRight w:val="0"/>
              <w:marTop w:val="0"/>
              <w:marBottom w:val="0"/>
              <w:divBdr>
                <w:top w:val="none" w:sz="0" w:space="0" w:color="auto"/>
                <w:left w:val="none" w:sz="0" w:space="0" w:color="auto"/>
                <w:bottom w:val="none" w:sz="0" w:space="0" w:color="auto"/>
                <w:right w:val="none" w:sz="0" w:space="0" w:color="auto"/>
              </w:divBdr>
              <w:divsChild>
                <w:div w:id="1621571803">
                  <w:marLeft w:val="0"/>
                  <w:marRight w:val="0"/>
                  <w:marTop w:val="0"/>
                  <w:marBottom w:val="0"/>
                  <w:divBdr>
                    <w:top w:val="none" w:sz="0" w:space="0" w:color="auto"/>
                    <w:left w:val="none" w:sz="0" w:space="0" w:color="auto"/>
                    <w:bottom w:val="none" w:sz="0" w:space="0" w:color="auto"/>
                    <w:right w:val="none" w:sz="0" w:space="0" w:color="auto"/>
                  </w:divBdr>
                  <w:divsChild>
                    <w:div w:id="3127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5509">
      <w:bodyDiv w:val="1"/>
      <w:marLeft w:val="0"/>
      <w:marRight w:val="0"/>
      <w:marTop w:val="0"/>
      <w:marBottom w:val="0"/>
      <w:divBdr>
        <w:top w:val="none" w:sz="0" w:space="0" w:color="auto"/>
        <w:left w:val="none" w:sz="0" w:space="0" w:color="auto"/>
        <w:bottom w:val="none" w:sz="0" w:space="0" w:color="auto"/>
        <w:right w:val="none" w:sz="0" w:space="0" w:color="auto"/>
      </w:divBdr>
      <w:divsChild>
        <w:div w:id="468910445">
          <w:marLeft w:val="0"/>
          <w:marRight w:val="0"/>
          <w:marTop w:val="0"/>
          <w:marBottom w:val="0"/>
          <w:divBdr>
            <w:top w:val="none" w:sz="0" w:space="0" w:color="auto"/>
            <w:left w:val="none" w:sz="0" w:space="0" w:color="auto"/>
            <w:bottom w:val="none" w:sz="0" w:space="0" w:color="auto"/>
            <w:right w:val="none" w:sz="0" w:space="0" w:color="auto"/>
          </w:divBdr>
          <w:divsChild>
            <w:div w:id="1539321079">
              <w:marLeft w:val="0"/>
              <w:marRight w:val="0"/>
              <w:marTop w:val="0"/>
              <w:marBottom w:val="750"/>
              <w:divBdr>
                <w:top w:val="none" w:sz="0" w:space="0" w:color="auto"/>
                <w:left w:val="none" w:sz="0" w:space="0" w:color="auto"/>
                <w:bottom w:val="none" w:sz="0" w:space="0" w:color="auto"/>
                <w:right w:val="none" w:sz="0" w:space="0" w:color="auto"/>
              </w:divBdr>
            </w:div>
          </w:divsChild>
        </w:div>
        <w:div w:id="1721781785">
          <w:marLeft w:val="0"/>
          <w:marRight w:val="0"/>
          <w:marTop w:val="0"/>
          <w:marBottom w:val="0"/>
          <w:divBdr>
            <w:top w:val="none" w:sz="0" w:space="0" w:color="auto"/>
            <w:left w:val="none" w:sz="0" w:space="0" w:color="auto"/>
            <w:bottom w:val="none" w:sz="0" w:space="0" w:color="auto"/>
            <w:right w:val="none" w:sz="0" w:space="0" w:color="auto"/>
          </w:divBdr>
          <w:divsChild>
            <w:div w:id="702442186">
              <w:marLeft w:val="0"/>
              <w:marRight w:val="0"/>
              <w:marTop w:val="0"/>
              <w:marBottom w:val="0"/>
              <w:divBdr>
                <w:top w:val="none" w:sz="0" w:space="0" w:color="auto"/>
                <w:left w:val="none" w:sz="0" w:space="0" w:color="auto"/>
                <w:bottom w:val="none" w:sz="0" w:space="0" w:color="auto"/>
                <w:right w:val="none" w:sz="0" w:space="0" w:color="auto"/>
              </w:divBdr>
              <w:divsChild>
                <w:div w:id="1881355542">
                  <w:marLeft w:val="0"/>
                  <w:marRight w:val="0"/>
                  <w:marTop w:val="0"/>
                  <w:marBottom w:val="0"/>
                  <w:divBdr>
                    <w:top w:val="none" w:sz="0" w:space="0" w:color="auto"/>
                    <w:left w:val="none" w:sz="0" w:space="0" w:color="auto"/>
                    <w:bottom w:val="none" w:sz="0" w:space="0" w:color="auto"/>
                    <w:right w:val="none" w:sz="0" w:space="0" w:color="auto"/>
                  </w:divBdr>
                  <w:divsChild>
                    <w:div w:id="9077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48052">
      <w:bodyDiv w:val="1"/>
      <w:marLeft w:val="0"/>
      <w:marRight w:val="0"/>
      <w:marTop w:val="0"/>
      <w:marBottom w:val="0"/>
      <w:divBdr>
        <w:top w:val="none" w:sz="0" w:space="0" w:color="auto"/>
        <w:left w:val="none" w:sz="0" w:space="0" w:color="auto"/>
        <w:bottom w:val="none" w:sz="0" w:space="0" w:color="auto"/>
        <w:right w:val="none" w:sz="0" w:space="0" w:color="auto"/>
      </w:divBdr>
      <w:divsChild>
        <w:div w:id="384762275">
          <w:marLeft w:val="0"/>
          <w:marRight w:val="0"/>
          <w:marTop w:val="0"/>
          <w:marBottom w:val="0"/>
          <w:divBdr>
            <w:top w:val="none" w:sz="0" w:space="0" w:color="auto"/>
            <w:left w:val="none" w:sz="0" w:space="0" w:color="auto"/>
            <w:bottom w:val="none" w:sz="0" w:space="0" w:color="auto"/>
            <w:right w:val="none" w:sz="0" w:space="0" w:color="auto"/>
          </w:divBdr>
          <w:divsChild>
            <w:div w:id="674697228">
              <w:marLeft w:val="0"/>
              <w:marRight w:val="0"/>
              <w:marTop w:val="0"/>
              <w:marBottom w:val="750"/>
              <w:divBdr>
                <w:top w:val="none" w:sz="0" w:space="0" w:color="auto"/>
                <w:left w:val="none" w:sz="0" w:space="0" w:color="auto"/>
                <w:bottom w:val="none" w:sz="0" w:space="0" w:color="auto"/>
                <w:right w:val="none" w:sz="0" w:space="0" w:color="auto"/>
              </w:divBdr>
            </w:div>
          </w:divsChild>
        </w:div>
        <w:div w:id="840851338">
          <w:marLeft w:val="0"/>
          <w:marRight w:val="0"/>
          <w:marTop w:val="0"/>
          <w:marBottom w:val="0"/>
          <w:divBdr>
            <w:top w:val="none" w:sz="0" w:space="0" w:color="auto"/>
            <w:left w:val="none" w:sz="0" w:space="0" w:color="auto"/>
            <w:bottom w:val="none" w:sz="0" w:space="0" w:color="auto"/>
            <w:right w:val="none" w:sz="0" w:space="0" w:color="auto"/>
          </w:divBdr>
          <w:divsChild>
            <w:div w:id="1584098339">
              <w:marLeft w:val="0"/>
              <w:marRight w:val="0"/>
              <w:marTop w:val="0"/>
              <w:marBottom w:val="0"/>
              <w:divBdr>
                <w:top w:val="none" w:sz="0" w:space="0" w:color="auto"/>
                <w:left w:val="none" w:sz="0" w:space="0" w:color="auto"/>
                <w:bottom w:val="none" w:sz="0" w:space="0" w:color="auto"/>
                <w:right w:val="none" w:sz="0" w:space="0" w:color="auto"/>
              </w:divBdr>
              <w:divsChild>
                <w:div w:id="1850559743">
                  <w:marLeft w:val="0"/>
                  <w:marRight w:val="0"/>
                  <w:marTop w:val="0"/>
                  <w:marBottom w:val="0"/>
                  <w:divBdr>
                    <w:top w:val="none" w:sz="0" w:space="0" w:color="auto"/>
                    <w:left w:val="none" w:sz="0" w:space="0" w:color="auto"/>
                    <w:bottom w:val="none" w:sz="0" w:space="0" w:color="auto"/>
                    <w:right w:val="none" w:sz="0" w:space="0" w:color="auto"/>
                  </w:divBdr>
                  <w:divsChild>
                    <w:div w:id="11962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1601">
      <w:bodyDiv w:val="1"/>
      <w:marLeft w:val="0"/>
      <w:marRight w:val="0"/>
      <w:marTop w:val="0"/>
      <w:marBottom w:val="0"/>
      <w:divBdr>
        <w:top w:val="none" w:sz="0" w:space="0" w:color="auto"/>
        <w:left w:val="none" w:sz="0" w:space="0" w:color="auto"/>
        <w:bottom w:val="none" w:sz="0" w:space="0" w:color="auto"/>
        <w:right w:val="none" w:sz="0" w:space="0" w:color="auto"/>
      </w:divBdr>
      <w:divsChild>
        <w:div w:id="609968626">
          <w:marLeft w:val="0"/>
          <w:marRight w:val="0"/>
          <w:marTop w:val="0"/>
          <w:marBottom w:val="0"/>
          <w:divBdr>
            <w:top w:val="none" w:sz="0" w:space="0" w:color="auto"/>
            <w:left w:val="none" w:sz="0" w:space="0" w:color="auto"/>
            <w:bottom w:val="none" w:sz="0" w:space="0" w:color="auto"/>
            <w:right w:val="none" w:sz="0" w:space="0" w:color="auto"/>
          </w:divBdr>
          <w:divsChild>
            <w:div w:id="1215503606">
              <w:marLeft w:val="0"/>
              <w:marRight w:val="0"/>
              <w:marTop w:val="0"/>
              <w:marBottom w:val="750"/>
              <w:divBdr>
                <w:top w:val="none" w:sz="0" w:space="0" w:color="auto"/>
                <w:left w:val="none" w:sz="0" w:space="0" w:color="auto"/>
                <w:bottom w:val="none" w:sz="0" w:space="0" w:color="auto"/>
                <w:right w:val="none" w:sz="0" w:space="0" w:color="auto"/>
              </w:divBdr>
            </w:div>
          </w:divsChild>
        </w:div>
        <w:div w:id="222183167">
          <w:marLeft w:val="0"/>
          <w:marRight w:val="0"/>
          <w:marTop w:val="0"/>
          <w:marBottom w:val="0"/>
          <w:divBdr>
            <w:top w:val="none" w:sz="0" w:space="0" w:color="auto"/>
            <w:left w:val="none" w:sz="0" w:space="0" w:color="auto"/>
            <w:bottom w:val="none" w:sz="0" w:space="0" w:color="auto"/>
            <w:right w:val="none" w:sz="0" w:space="0" w:color="auto"/>
          </w:divBdr>
          <w:divsChild>
            <w:div w:id="176430763">
              <w:marLeft w:val="0"/>
              <w:marRight w:val="0"/>
              <w:marTop w:val="0"/>
              <w:marBottom w:val="0"/>
              <w:divBdr>
                <w:top w:val="none" w:sz="0" w:space="0" w:color="auto"/>
                <w:left w:val="none" w:sz="0" w:space="0" w:color="auto"/>
                <w:bottom w:val="none" w:sz="0" w:space="0" w:color="auto"/>
                <w:right w:val="none" w:sz="0" w:space="0" w:color="auto"/>
              </w:divBdr>
              <w:divsChild>
                <w:div w:id="2013140367">
                  <w:marLeft w:val="0"/>
                  <w:marRight w:val="0"/>
                  <w:marTop w:val="0"/>
                  <w:marBottom w:val="0"/>
                  <w:divBdr>
                    <w:top w:val="none" w:sz="0" w:space="0" w:color="auto"/>
                    <w:left w:val="none" w:sz="0" w:space="0" w:color="auto"/>
                    <w:bottom w:val="none" w:sz="0" w:space="0" w:color="auto"/>
                    <w:right w:val="none" w:sz="0" w:space="0" w:color="auto"/>
                  </w:divBdr>
                  <w:divsChild>
                    <w:div w:id="318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Hp</cp:lastModifiedBy>
  <cp:revision>10</cp:revision>
  <dcterms:created xsi:type="dcterms:W3CDTF">2021-11-17T10:21:00Z</dcterms:created>
  <dcterms:modified xsi:type="dcterms:W3CDTF">2021-11-20T17:31:00Z</dcterms:modified>
</cp:coreProperties>
</file>