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5E48C" w14:textId="77777777" w:rsidR="000105B0" w:rsidRDefault="000105B0" w:rsidP="000105B0">
      <w:pPr>
        <w:pBdr>
          <w:bottom w:val="single" w:sz="6" w:space="0" w:color="A2A9B1"/>
        </w:pBdr>
        <w:spacing w:after="60" w:line="240" w:lineRule="auto"/>
        <w:jc w:val="both"/>
        <w:outlineLvl w:val="0"/>
        <w:rPr>
          <w:rFonts w:ascii="Georgia" w:eastAsia="Times New Roman" w:hAnsi="Georgia" w:cs="Times New Roman"/>
          <w:color w:val="000000"/>
          <w:kern w:val="36"/>
          <w:sz w:val="43"/>
          <w:szCs w:val="43"/>
        </w:rPr>
      </w:pPr>
    </w:p>
    <w:p w14:paraId="4BEDD4C1" w14:textId="77777777" w:rsidR="000105B0" w:rsidRPr="000105B0" w:rsidRDefault="000105B0" w:rsidP="000105B0">
      <w:pPr>
        <w:pBdr>
          <w:bottom w:val="single" w:sz="6" w:space="0" w:color="A2A9B1"/>
        </w:pBdr>
        <w:spacing w:after="60" w:line="240" w:lineRule="auto"/>
        <w:jc w:val="both"/>
        <w:outlineLvl w:val="0"/>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t>Genetic memory (psychology)</w:t>
      </w:r>
    </w:p>
    <w:p w14:paraId="7E07E0BA" w14:textId="77777777" w:rsidR="005A50AA" w:rsidRPr="005A50AA" w:rsidRDefault="005A50AA" w:rsidP="005A50AA">
      <w:pPr>
        <w:keepNext/>
        <w:framePr w:dropCap="drop" w:lines="5" w:hSpace="432" w:wrap="around" w:vAnchor="text" w:hAnchor="text"/>
        <w:spacing w:after="0" w:line="1449" w:lineRule="exact"/>
        <w:jc w:val="both"/>
        <w:textAlignment w:val="baseline"/>
        <w:rPr>
          <w:position w:val="-20"/>
          <w:sz w:val="207"/>
        </w:rPr>
      </w:pPr>
      <w:r>
        <w:rPr>
          <w:position w:val="-20"/>
          <w:sz w:val="207"/>
        </w:rPr>
        <w:t>I</w:t>
      </w:r>
    </w:p>
    <w:p w14:paraId="0F454000" w14:textId="77777777" w:rsidR="000105B0" w:rsidRDefault="005A50AA" w:rsidP="000105B0">
      <w:pPr>
        <w:jc w:val="both"/>
      </w:pPr>
      <w:r>
        <w:rPr>
          <w:rFonts w:ascii="Georgia" w:eastAsia="Times New Roman" w:hAnsi="Georgia" w:cs="Times New Roman"/>
          <w:noProof/>
          <w:color w:val="000000"/>
          <w:kern w:val="36"/>
          <w:sz w:val="43"/>
          <w:szCs w:val="43"/>
        </w:rPr>
        <w:drawing>
          <wp:anchor distT="0" distB="0" distL="114300" distR="114300" simplePos="0" relativeHeight="251658240" behindDoc="0" locked="0" layoutInCell="1" allowOverlap="1" wp14:anchorId="1C9183B7" wp14:editId="1576B95B">
            <wp:simplePos x="0" y="0"/>
            <wp:positionH relativeFrom="margin">
              <wp:align>right</wp:align>
            </wp:positionH>
            <wp:positionV relativeFrom="paragraph">
              <wp:posOffset>293370</wp:posOffset>
            </wp:positionV>
            <wp:extent cx="3923030" cy="2195830"/>
            <wp:effectExtent l="0" t="0" r="1270" b="0"/>
            <wp:wrapThrough wrapText="bothSides">
              <wp:wrapPolygon edited="0">
                <wp:start x="0" y="0"/>
                <wp:lineTo x="0" y="21363"/>
                <wp:lineTo x="21502" y="21363"/>
                <wp:lineTo x="21502" y="0"/>
                <wp:lineTo x="0" y="0"/>
              </wp:wrapPolygon>
            </wp:wrapThrough>
            <wp:docPr id="1" name="Picture 1" descr="D:\Owais Files\FAST NU assignments\ICT Lab-02\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ais Files\FAST NU assignments\ICT Lab-02\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030" cy="2195830"/>
                    </a:xfrm>
                    <a:prstGeom prst="rect">
                      <a:avLst/>
                    </a:prstGeom>
                    <a:noFill/>
                    <a:ln>
                      <a:noFill/>
                    </a:ln>
                  </pic:spPr>
                </pic:pic>
              </a:graphicData>
            </a:graphic>
            <wp14:sizeRelH relativeFrom="margin">
              <wp14:pctWidth>0</wp14:pctWidth>
            </wp14:sizeRelH>
            <wp14:sizeRelV relativeFrom="margin">
              <wp14:pctHeight>0</wp14:pctHeight>
            </wp14:sizeRelV>
          </wp:anchor>
        </w:drawing>
      </w:r>
      <w:r>
        <w:t>n</w:t>
      </w:r>
      <w:r w:rsidR="000105B0" w:rsidRPr="000105B0">
        <w:t xml:space="preserve"> psychology, genetic memory is a memory present at birth that exists in the absence of sensory experience, and is incorporated into the</w:t>
      </w:r>
      <w:r>
        <w:t xml:space="preserve"> genome over long spans of time.</w:t>
      </w:r>
      <w:r w:rsidR="000105B0" w:rsidRPr="000105B0">
        <w:t xml:space="preserve"> It is based on the idea that common experiences of a species become incorporated into its genetic code, not by a Lamarckian process that encodes specific memories but by a much vaguer tendency to encode a readiness to respond in certain ways to certain stimuli.</w:t>
      </w:r>
    </w:p>
    <w:p w14:paraId="6EB5005C" w14:textId="77777777" w:rsidR="005A50AA" w:rsidRDefault="005A50AA" w:rsidP="000105B0">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p>
    <w:p w14:paraId="30DBCAC0" w14:textId="77777777" w:rsidR="000105B0" w:rsidRPr="000105B0" w:rsidRDefault="000105B0" w:rsidP="000105B0">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r w:rsidRPr="000105B0">
        <w:rPr>
          <w:rFonts w:ascii="Georgia" w:eastAsia="Times New Roman" w:hAnsi="Georgia" w:cs="Times New Roman"/>
          <w:color w:val="000000"/>
          <w:sz w:val="36"/>
          <w:szCs w:val="36"/>
        </w:rPr>
        <w:t>Language</w:t>
      </w:r>
    </w:p>
    <w:p w14:paraId="7AFDEF01" w14:textId="77777777" w:rsidR="000105B0" w:rsidRDefault="000105B0" w:rsidP="000105B0">
      <w:pPr>
        <w:jc w:val="both"/>
      </w:pPr>
      <w:r w:rsidRPr="000105B0">
        <w:t>Language, in the modern view, is considered to be only a partial product of genetic memory. The fact that humans can have languages is a property of the nervous system that is present at birth, and thus phylogenetic in character.[citation needed] However, perception of the particular set of phonemes specific to a native language only develops during ontogeny. There is no genetic predisposition towards the phonemic makeup of any single language. Children in a particular country are not genetically predisposed to speak the languages of that country, adding further weight to the assertion that genetic memory is not Lamarckian.[1] However, there is scientific evidence of a gene for perfect pitch which is more common in Asian countries where pitch is critical to the meaning of a spoken word.[citation needed]</w:t>
      </w:r>
    </w:p>
    <w:p w14:paraId="7AC6EF99" w14:textId="77777777" w:rsidR="000105B0" w:rsidRPr="000105B0" w:rsidRDefault="000105B0" w:rsidP="000105B0">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r w:rsidRPr="000105B0">
        <w:rPr>
          <w:rFonts w:ascii="Georgia" w:eastAsia="Times New Roman" w:hAnsi="Georgia" w:cs="Times New Roman"/>
          <w:color w:val="000000"/>
          <w:sz w:val="36"/>
          <w:szCs w:val="36"/>
        </w:rPr>
        <w:t>Trauma, phobias, and neuropsychiatric disorders</w:t>
      </w:r>
    </w:p>
    <w:p w14:paraId="3CE2B2B3" w14:textId="77777777" w:rsidR="000105B0" w:rsidRDefault="000105B0" w:rsidP="000105B0">
      <w:pPr>
        <w:jc w:val="both"/>
      </w:pPr>
      <w:r>
        <w:t>Neuroscientific research on mice suggests that some experiences can influence subsequent generations. In a 2013 study,[2][3] mice trained to fear a specific smell passed on their trained aversion to their descendants, which were then extremely sensitive and fearful of the same smell, even though they had never encountered it, nor been trained to fear it.</w:t>
      </w:r>
    </w:p>
    <w:p w14:paraId="5FEE4914" w14:textId="77777777" w:rsidR="000105B0" w:rsidRDefault="005A50AA" w:rsidP="000105B0">
      <w:pPr>
        <w:jc w:val="both"/>
      </w:pPr>
      <w:r>
        <w:rPr>
          <w:rFonts w:ascii="Georgia" w:eastAsia="Times New Roman" w:hAnsi="Georgia" w:cs="Times New Roman"/>
          <w:noProof/>
          <w:color w:val="000000"/>
          <w:kern w:val="36"/>
          <w:sz w:val="43"/>
          <w:szCs w:val="43"/>
        </w:rPr>
        <w:drawing>
          <wp:anchor distT="0" distB="0" distL="114300" distR="114300" simplePos="0" relativeHeight="251659264" behindDoc="1" locked="0" layoutInCell="1" allowOverlap="1" wp14:anchorId="41D70771" wp14:editId="714554C9">
            <wp:simplePos x="0" y="0"/>
            <wp:positionH relativeFrom="margin">
              <wp:align>left</wp:align>
            </wp:positionH>
            <wp:positionV relativeFrom="paragraph">
              <wp:posOffset>94361</wp:posOffset>
            </wp:positionV>
            <wp:extent cx="3986530" cy="2239645"/>
            <wp:effectExtent l="0" t="0" r="0" b="8255"/>
            <wp:wrapThrough wrapText="bothSides">
              <wp:wrapPolygon edited="0">
                <wp:start x="0" y="0"/>
                <wp:lineTo x="0" y="21496"/>
                <wp:lineTo x="21469" y="21496"/>
                <wp:lineTo x="21469" y="0"/>
                <wp:lineTo x="0" y="0"/>
              </wp:wrapPolygon>
            </wp:wrapThrough>
            <wp:docPr id="2" name="Picture 2" descr="D:\Owais Files\FAST NU assignments\ICT Lab-02\13952802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ais Files\FAST NU assignments\ICT Lab-02\13952802_f4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279" cy="2243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5B0">
        <w:t>Changes in brain structure were also found. The researchers concluded that "[t]he experiences of a parent, even before conceiving, markedly influence both structure and function in the nervous system of subsequent generations".[4]</w:t>
      </w:r>
    </w:p>
    <w:p w14:paraId="53766C1E" w14:textId="77777777" w:rsidR="000105B0" w:rsidRDefault="000105B0" w:rsidP="000105B0">
      <w:pPr>
        <w:jc w:val="both"/>
      </w:pPr>
      <w:r>
        <w:t>Scientists speculate that similar genetic mechanisms could be linked with phobias, anxiety, and post-traumatic stress disorders, as well as other neuropsychiatric disorders, in humans</w:t>
      </w:r>
      <w:proofErr w:type="gramStart"/>
      <w:r>
        <w:t>.[</w:t>
      </w:r>
      <w:proofErr w:type="gramEnd"/>
      <w:r>
        <w:t>citation needed]</w:t>
      </w:r>
    </w:p>
    <w:p w14:paraId="011E8B4D" w14:textId="77777777" w:rsidR="000105B0" w:rsidRDefault="000105B0" w:rsidP="000105B0">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p>
    <w:p w14:paraId="0BD2B8A1" w14:textId="77777777" w:rsidR="000105B0" w:rsidRPr="000105B0" w:rsidRDefault="000105B0" w:rsidP="000105B0">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r w:rsidRPr="000105B0">
        <w:rPr>
          <w:rFonts w:ascii="Georgia" w:eastAsia="Times New Roman" w:hAnsi="Georgia" w:cs="Times New Roman"/>
          <w:color w:val="000000"/>
          <w:sz w:val="36"/>
          <w:szCs w:val="36"/>
        </w:rPr>
        <w:t xml:space="preserve">Historical </w:t>
      </w:r>
      <w:commentRangeStart w:id="0"/>
      <w:r w:rsidRPr="000105B0">
        <w:rPr>
          <w:rFonts w:ascii="Georgia" w:eastAsia="Times New Roman" w:hAnsi="Georgia" w:cs="Times New Roman"/>
          <w:color w:val="000000"/>
          <w:sz w:val="36"/>
          <w:szCs w:val="36"/>
        </w:rPr>
        <w:t>views</w:t>
      </w:r>
      <w:commentRangeEnd w:id="0"/>
      <w:r w:rsidR="00D50EF3">
        <w:rPr>
          <w:rStyle w:val="CommentReference"/>
        </w:rPr>
        <w:commentReference w:id="0"/>
      </w:r>
    </w:p>
    <w:p w14:paraId="2E01C00C" w14:textId="77777777" w:rsidR="000105B0" w:rsidRDefault="000105B0" w:rsidP="000105B0">
      <w:pPr>
        <w:jc w:val="both"/>
      </w:pPr>
      <w:r>
        <w:t>In contrast to the modern view, in the 19th century, biologists considered genetic memory to be a fusion of memory and heredity, and held it to be a Lamarckian mechanism. Ribot in 1881, for example, held that psychological and genetic memory were based upon a common mechanism, and that the former only differed from the latter in that it interacted with consciousness.[5] Hering and Semon developed general theories of memory, the latter inventing the idea of the engram and concomitant processes of engraphy and ecphory. Semon divided memory into genetic memory and central nervous memory.[6]</w:t>
      </w:r>
    </w:p>
    <w:p w14:paraId="14315D3F" w14:textId="77777777" w:rsidR="000105B0" w:rsidRDefault="000105B0" w:rsidP="000105B0">
      <w:pPr>
        <w:jc w:val="both"/>
      </w:pPr>
      <w:r>
        <w:t>This 19th-century view is not wholly dead, albeit that it stands in stark contrast to the ideas of neo-Darwinism. In modern psychology, genetic memory is generally considered a false idea. However, biologists such as Stuart A. Newman and Gerd B. Müller have contributed to the idea in the 21st century.</w:t>
      </w:r>
    </w:p>
    <w:p w14:paraId="44D303A7" w14:textId="77777777" w:rsidR="005A50AA" w:rsidRDefault="00D50EF3" w:rsidP="000105B0">
      <w:pPr>
        <w:jc w:val="both"/>
      </w:pPr>
      <w:r w:rsidRPr="00D50EF3">
        <w:t>Steven Pinker’s 2003 book, The Blank Slate: The Modern Denial of Human Nature, refutes the “blank slate” theories of human development. Brian Butterworth, in his 1999 book, What Counts: How Every Brain is Hardwired for Math, points out that babies have many specialized innate abilities, including numerical ones that he attributes to a “number module” encoded in the human genome from ancestors 30,000 years ago.</w:t>
      </w:r>
    </w:p>
    <w:p w14:paraId="6E4003FB" w14:textId="77777777" w:rsidR="00D50EF3" w:rsidRPr="00D50EF3" w:rsidRDefault="00D50EF3" w:rsidP="00D50EF3">
      <w:r w:rsidRPr="00D50EF3">
        <w:t>Carl Jung used the term “collective unconscious” to define his even broader concept of inherited traits, intuitions and collective wisdom of the past.</w:t>
      </w:r>
    </w:p>
    <w:p w14:paraId="28E5A254" w14:textId="77777777" w:rsidR="005A50AA" w:rsidRDefault="005A50AA" w:rsidP="000105B0">
      <w:pPr>
        <w:jc w:val="both"/>
      </w:pPr>
    </w:p>
    <w:p w14:paraId="0C914AF5" w14:textId="77777777" w:rsidR="005A50AA" w:rsidRDefault="00D50EF3" w:rsidP="000105B0">
      <w:pPr>
        <w:jc w:val="both"/>
      </w:pPr>
      <w:r>
        <w:tab/>
      </w:r>
      <w:bookmarkStart w:id="1" w:name="_GoBack"/>
      <w:bookmarkEnd w:id="1"/>
    </w:p>
    <w:p w14:paraId="29C837A8" w14:textId="77777777" w:rsidR="007928DC" w:rsidRDefault="007928DC" w:rsidP="00D50EF3">
      <w:pPr>
        <w:pStyle w:val="Heading1"/>
        <w:rPr>
          <w:rFonts w:asciiTheme="minorHAnsi" w:eastAsiaTheme="minorHAnsi" w:hAnsiTheme="minorHAnsi" w:cstheme="minorBidi"/>
          <w:b w:val="0"/>
          <w:bCs w:val="0"/>
          <w:kern w:val="0"/>
          <w:sz w:val="22"/>
          <w:szCs w:val="22"/>
        </w:rPr>
      </w:pPr>
    </w:p>
    <w:sdt>
      <w:sdtPr>
        <w:rPr>
          <w:rFonts w:asciiTheme="minorHAnsi" w:eastAsiaTheme="minorHAnsi" w:hAnsiTheme="minorHAnsi" w:cstheme="minorBidi"/>
          <w:b w:val="0"/>
          <w:bCs w:val="0"/>
          <w:kern w:val="0"/>
          <w:sz w:val="22"/>
          <w:szCs w:val="22"/>
        </w:rPr>
        <w:id w:val="1700816805"/>
        <w:docPartObj>
          <w:docPartGallery w:val="Bibliographies"/>
          <w:docPartUnique/>
        </w:docPartObj>
      </w:sdtPr>
      <w:sdtEndPr/>
      <w:sdtContent>
        <w:p w14:paraId="3CF555B2" w14:textId="581CAB4E" w:rsidR="005A50AA" w:rsidRDefault="005C66C4" w:rsidP="00D50EF3">
          <w:pPr>
            <w:pStyle w:val="Heading1"/>
          </w:pPr>
          <w:r>
            <w:t>Citation</w:t>
          </w:r>
        </w:p>
        <w:p w14:paraId="2AE56C73" w14:textId="77777777" w:rsidR="005A50AA" w:rsidRPr="005A50AA" w:rsidRDefault="005A50AA"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r w:rsidRPr="005A50AA">
            <w:rPr>
              <w:rFonts w:ascii="Arial" w:eastAsia="Times New Roman" w:hAnsi="Arial" w:cs="Arial"/>
              <w:color w:val="202122"/>
              <w:sz w:val="19"/>
              <w:szCs w:val="19"/>
            </w:rPr>
            <w:t> </w:t>
          </w:r>
          <w:r w:rsidRPr="005A50AA">
            <w:rPr>
              <w:rFonts w:ascii="Arial" w:eastAsia="Times New Roman" w:hAnsi="Arial" w:cs="Arial"/>
              <w:i/>
              <w:iCs/>
              <w:color w:val="202122"/>
              <w:sz w:val="19"/>
              <w:szCs w:val="19"/>
            </w:rPr>
            <w:t>Rodolfo R. Llinas (2001). </w:t>
          </w:r>
          <w:hyperlink r:id="rId12" w:tooltip="I of the vortex: from neurons to self" w:history="1">
            <w:r w:rsidRPr="005A50AA">
              <w:rPr>
                <w:rFonts w:ascii="Arial" w:eastAsia="Times New Roman" w:hAnsi="Arial" w:cs="Arial"/>
                <w:i/>
                <w:iCs/>
                <w:color w:val="0645AD"/>
                <w:sz w:val="19"/>
                <w:szCs w:val="19"/>
              </w:rPr>
              <w:t>I of the vortex: from neurons to self</w:t>
            </w:r>
          </w:hyperlink>
          <w:r w:rsidRPr="005A50AA">
            <w:rPr>
              <w:rFonts w:ascii="Arial" w:eastAsia="Times New Roman" w:hAnsi="Arial" w:cs="Arial"/>
              <w:i/>
              <w:iCs/>
              <w:color w:val="202122"/>
              <w:sz w:val="19"/>
              <w:szCs w:val="19"/>
            </w:rPr>
            <w:t>. MIT Press. pp. 190–191. </w:t>
          </w:r>
          <w:hyperlink r:id="rId13" w:tooltip="ISBN (identifier)" w:history="1">
            <w:r w:rsidRPr="005A50AA">
              <w:rPr>
                <w:rFonts w:ascii="Arial" w:eastAsia="Times New Roman" w:hAnsi="Arial" w:cs="Arial"/>
                <w:i/>
                <w:iCs/>
                <w:color w:val="0645AD"/>
                <w:sz w:val="19"/>
                <w:szCs w:val="19"/>
              </w:rPr>
              <w:t>ISBN</w:t>
            </w:r>
          </w:hyperlink>
          <w:r w:rsidRPr="005A50AA">
            <w:rPr>
              <w:rFonts w:ascii="Arial" w:eastAsia="Times New Roman" w:hAnsi="Arial" w:cs="Arial"/>
              <w:i/>
              <w:iCs/>
              <w:color w:val="202122"/>
              <w:sz w:val="19"/>
              <w:szCs w:val="19"/>
            </w:rPr>
            <w:t> </w:t>
          </w:r>
          <w:hyperlink r:id="rId14" w:tooltip="Special:BookSources/0-262-62163-0" w:history="1">
            <w:r w:rsidRPr="005A50AA">
              <w:rPr>
                <w:rFonts w:ascii="Arial" w:eastAsia="Times New Roman" w:hAnsi="Arial" w:cs="Arial"/>
                <w:i/>
                <w:iCs/>
                <w:color w:val="0645AD"/>
                <w:sz w:val="19"/>
                <w:szCs w:val="19"/>
              </w:rPr>
              <w:t>0-262-62163-0</w:t>
            </w:r>
          </w:hyperlink>
          <w:r w:rsidRPr="005A50AA">
            <w:rPr>
              <w:rFonts w:ascii="Arial" w:eastAsia="Times New Roman" w:hAnsi="Arial" w:cs="Arial"/>
              <w:i/>
              <w:iCs/>
              <w:color w:val="202122"/>
              <w:sz w:val="19"/>
              <w:szCs w:val="19"/>
            </w:rPr>
            <w:t>.</w:t>
          </w:r>
        </w:p>
        <w:p w14:paraId="3E7E4900"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15" w:anchor="cite_ref-2"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r w:rsidR="005A50AA" w:rsidRPr="005A50AA">
            <w:rPr>
              <w:rFonts w:ascii="Arial" w:eastAsia="Times New Roman" w:hAnsi="Arial" w:cs="Arial"/>
              <w:i/>
              <w:iCs/>
              <w:color w:val="202122"/>
              <w:sz w:val="19"/>
              <w:szCs w:val="19"/>
            </w:rPr>
            <w:t>Dias, Brian G; Ressler, Kerry J (2013). </w:t>
          </w:r>
          <w:hyperlink r:id="rId16" w:history="1">
            <w:r w:rsidR="005A50AA" w:rsidRPr="005A50AA">
              <w:rPr>
                <w:rFonts w:ascii="Arial" w:eastAsia="Times New Roman" w:hAnsi="Arial" w:cs="Arial"/>
                <w:i/>
                <w:iCs/>
                <w:color w:val="3366BB"/>
                <w:sz w:val="19"/>
                <w:szCs w:val="19"/>
              </w:rPr>
              <w:t>"Parental olfactory experience influences behavior and neural structure in subsequent generations"</w:t>
            </w:r>
          </w:hyperlink>
          <w:r w:rsidR="005A50AA" w:rsidRPr="005A50AA">
            <w:rPr>
              <w:rFonts w:ascii="Arial" w:eastAsia="Times New Roman" w:hAnsi="Arial" w:cs="Arial"/>
              <w:i/>
              <w:iCs/>
              <w:color w:val="202122"/>
              <w:sz w:val="19"/>
              <w:szCs w:val="19"/>
            </w:rPr>
            <w:t>. Nature Neuroscience. </w:t>
          </w:r>
          <w:r w:rsidR="005A50AA" w:rsidRPr="005A50AA">
            <w:rPr>
              <w:rFonts w:ascii="Arial" w:eastAsia="Times New Roman" w:hAnsi="Arial" w:cs="Arial"/>
              <w:b/>
              <w:bCs/>
              <w:i/>
              <w:iCs/>
              <w:color w:val="202122"/>
              <w:sz w:val="19"/>
              <w:szCs w:val="19"/>
            </w:rPr>
            <w:t>17</w:t>
          </w:r>
          <w:r w:rsidR="005A50AA" w:rsidRPr="005A50AA">
            <w:rPr>
              <w:rFonts w:ascii="Arial" w:eastAsia="Times New Roman" w:hAnsi="Arial" w:cs="Arial"/>
              <w:i/>
              <w:iCs/>
              <w:color w:val="202122"/>
              <w:sz w:val="19"/>
              <w:szCs w:val="19"/>
            </w:rPr>
            <w:t> (1): 89–96. </w:t>
          </w:r>
          <w:hyperlink r:id="rId17" w:tooltip="Doi (identifier)" w:history="1">
            <w:proofErr w:type="gramStart"/>
            <w:r w:rsidR="005A50AA" w:rsidRPr="005A50AA">
              <w:rPr>
                <w:rFonts w:ascii="Arial" w:eastAsia="Times New Roman" w:hAnsi="Arial" w:cs="Arial"/>
                <w:i/>
                <w:iCs/>
                <w:color w:val="0645AD"/>
                <w:sz w:val="19"/>
                <w:szCs w:val="19"/>
              </w:rPr>
              <w:t>doi</w:t>
            </w:r>
            <w:proofErr w:type="gramEnd"/>
          </w:hyperlink>
          <w:r w:rsidR="005A50AA" w:rsidRPr="005A50AA">
            <w:rPr>
              <w:rFonts w:ascii="Arial" w:eastAsia="Times New Roman" w:hAnsi="Arial" w:cs="Arial"/>
              <w:i/>
              <w:iCs/>
              <w:color w:val="202122"/>
              <w:sz w:val="19"/>
              <w:szCs w:val="19"/>
            </w:rPr>
            <w:t>:</w:t>
          </w:r>
          <w:hyperlink r:id="rId18" w:history="1">
            <w:r w:rsidR="005A50AA" w:rsidRPr="005A50AA">
              <w:rPr>
                <w:rFonts w:ascii="Arial" w:eastAsia="Times New Roman" w:hAnsi="Arial" w:cs="Arial"/>
                <w:i/>
                <w:iCs/>
                <w:color w:val="3366BB"/>
                <w:sz w:val="19"/>
                <w:szCs w:val="19"/>
              </w:rPr>
              <w:t>10.1038/nn.3594</w:t>
            </w:r>
          </w:hyperlink>
          <w:r w:rsidR="005A50AA" w:rsidRPr="005A50AA">
            <w:rPr>
              <w:rFonts w:ascii="Arial" w:eastAsia="Times New Roman" w:hAnsi="Arial" w:cs="Arial"/>
              <w:i/>
              <w:iCs/>
              <w:color w:val="202122"/>
              <w:sz w:val="19"/>
              <w:szCs w:val="19"/>
            </w:rPr>
            <w:t>. </w:t>
          </w:r>
          <w:hyperlink r:id="rId19" w:tooltip="PMC (identifier)" w:history="1">
            <w:r w:rsidR="005A50AA" w:rsidRPr="005A50AA">
              <w:rPr>
                <w:rFonts w:ascii="Arial" w:eastAsia="Times New Roman" w:hAnsi="Arial" w:cs="Arial"/>
                <w:i/>
                <w:iCs/>
                <w:color w:val="0645AD"/>
                <w:sz w:val="19"/>
                <w:szCs w:val="19"/>
              </w:rPr>
              <w:t>PMC</w:t>
            </w:r>
          </w:hyperlink>
          <w:r w:rsidR="005A50AA" w:rsidRPr="005A50AA">
            <w:rPr>
              <w:rFonts w:ascii="Arial" w:eastAsia="Times New Roman" w:hAnsi="Arial" w:cs="Arial"/>
              <w:i/>
              <w:iCs/>
              <w:color w:val="202122"/>
              <w:sz w:val="19"/>
              <w:szCs w:val="19"/>
            </w:rPr>
            <w:t> </w:t>
          </w:r>
          <w:hyperlink r:id="rId20" w:history="1">
            <w:r w:rsidR="005A50AA" w:rsidRPr="005A50AA">
              <w:rPr>
                <w:rFonts w:ascii="Arial" w:eastAsia="Times New Roman" w:hAnsi="Arial" w:cs="Arial"/>
                <w:i/>
                <w:iCs/>
                <w:color w:val="3366BB"/>
                <w:sz w:val="19"/>
                <w:szCs w:val="19"/>
              </w:rPr>
              <w:t>3923835</w:t>
            </w:r>
          </w:hyperlink>
          <w:r w:rsidR="005A50AA" w:rsidRPr="005A50AA">
            <w:rPr>
              <w:rFonts w:ascii="Arial" w:eastAsia="Times New Roman" w:hAnsi="Arial" w:cs="Arial"/>
              <w:i/>
              <w:iCs/>
              <w:color w:val="202122"/>
              <w:sz w:val="19"/>
              <w:szCs w:val="19"/>
            </w:rPr>
            <w:t>. </w:t>
          </w:r>
          <w:hyperlink r:id="rId21" w:tooltip="PMID (identifier)" w:history="1">
            <w:r w:rsidR="005A50AA" w:rsidRPr="005A50AA">
              <w:rPr>
                <w:rFonts w:ascii="Arial" w:eastAsia="Times New Roman" w:hAnsi="Arial" w:cs="Arial"/>
                <w:i/>
                <w:iCs/>
                <w:color w:val="0645AD"/>
                <w:sz w:val="19"/>
                <w:szCs w:val="19"/>
              </w:rPr>
              <w:t>PMID</w:t>
            </w:r>
          </w:hyperlink>
          <w:r w:rsidR="005A50AA" w:rsidRPr="005A50AA">
            <w:rPr>
              <w:rFonts w:ascii="Arial" w:eastAsia="Times New Roman" w:hAnsi="Arial" w:cs="Arial"/>
              <w:i/>
              <w:iCs/>
              <w:color w:val="202122"/>
              <w:sz w:val="19"/>
              <w:szCs w:val="19"/>
            </w:rPr>
            <w:t> </w:t>
          </w:r>
          <w:hyperlink r:id="rId22" w:history="1">
            <w:r w:rsidR="005A50AA" w:rsidRPr="005A50AA">
              <w:rPr>
                <w:rFonts w:ascii="Arial" w:eastAsia="Times New Roman" w:hAnsi="Arial" w:cs="Arial"/>
                <w:i/>
                <w:iCs/>
                <w:color w:val="3366BB"/>
                <w:sz w:val="19"/>
                <w:szCs w:val="19"/>
              </w:rPr>
              <w:t>24292232</w:t>
            </w:r>
          </w:hyperlink>
          <w:r w:rsidR="005A50AA" w:rsidRPr="005A50AA">
            <w:rPr>
              <w:rFonts w:ascii="Arial" w:eastAsia="Times New Roman" w:hAnsi="Arial" w:cs="Arial"/>
              <w:i/>
              <w:iCs/>
              <w:color w:val="202122"/>
              <w:sz w:val="19"/>
              <w:szCs w:val="19"/>
            </w:rPr>
            <w:t>. </w:t>
          </w:r>
          <w:hyperlink r:id="rId23" w:history="1">
            <w:r w:rsidR="005A50AA" w:rsidRPr="005A50AA">
              <w:rPr>
                <w:rFonts w:ascii="Arial" w:eastAsia="Times New Roman" w:hAnsi="Arial" w:cs="Arial"/>
                <w:i/>
                <w:iCs/>
                <w:color w:val="3366BB"/>
                <w:sz w:val="19"/>
                <w:szCs w:val="19"/>
              </w:rPr>
              <w:t>Lay summary</w:t>
            </w:r>
          </w:hyperlink>
          <w:r w:rsidR="005A50AA" w:rsidRPr="005A50AA">
            <w:rPr>
              <w:rFonts w:ascii="Arial" w:eastAsia="Times New Roman" w:hAnsi="Arial" w:cs="Arial"/>
              <w:i/>
              <w:iCs/>
              <w:color w:val="202122"/>
              <w:sz w:val="19"/>
              <w:szCs w:val="19"/>
            </w:rPr>
            <w:t> – New Scientist (1 December 2013).</w:t>
          </w:r>
        </w:p>
        <w:p w14:paraId="0DC35AF2"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24" w:anchor="cite_ref-3"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r w:rsidR="005A50AA" w:rsidRPr="005A50AA">
            <w:rPr>
              <w:rFonts w:ascii="Arial" w:eastAsia="Times New Roman" w:hAnsi="Arial" w:cs="Arial"/>
              <w:i/>
              <w:iCs/>
              <w:color w:val="202122"/>
              <w:sz w:val="19"/>
              <w:szCs w:val="19"/>
            </w:rPr>
            <w:t>Callaway, Ewen (2013). "Fearful memories haunt mouse descendants". Nature. </w:t>
          </w:r>
          <w:hyperlink r:id="rId25" w:tooltip="Doi (identifier)" w:history="1">
            <w:proofErr w:type="gramStart"/>
            <w:r w:rsidR="005A50AA" w:rsidRPr="005A50AA">
              <w:rPr>
                <w:rFonts w:ascii="Arial" w:eastAsia="Times New Roman" w:hAnsi="Arial" w:cs="Arial"/>
                <w:i/>
                <w:iCs/>
                <w:color w:val="0645AD"/>
                <w:sz w:val="19"/>
                <w:szCs w:val="19"/>
              </w:rPr>
              <w:t>doi</w:t>
            </w:r>
            <w:proofErr w:type="gramEnd"/>
          </w:hyperlink>
          <w:r w:rsidR="005A50AA" w:rsidRPr="005A50AA">
            <w:rPr>
              <w:rFonts w:ascii="Arial" w:eastAsia="Times New Roman" w:hAnsi="Arial" w:cs="Arial"/>
              <w:i/>
              <w:iCs/>
              <w:color w:val="202122"/>
              <w:sz w:val="19"/>
              <w:szCs w:val="19"/>
            </w:rPr>
            <w:t>:</w:t>
          </w:r>
          <w:hyperlink r:id="rId26" w:history="1">
            <w:r w:rsidR="005A50AA" w:rsidRPr="005A50AA">
              <w:rPr>
                <w:rFonts w:ascii="Arial" w:eastAsia="Times New Roman" w:hAnsi="Arial" w:cs="Arial"/>
                <w:i/>
                <w:iCs/>
                <w:color w:val="3366BB"/>
                <w:sz w:val="19"/>
                <w:szCs w:val="19"/>
              </w:rPr>
              <w:t>10.1038/nature.2013.14272</w:t>
            </w:r>
          </w:hyperlink>
          <w:r w:rsidR="005A50AA" w:rsidRPr="005A50AA">
            <w:rPr>
              <w:rFonts w:ascii="Arial" w:eastAsia="Times New Roman" w:hAnsi="Arial" w:cs="Arial"/>
              <w:i/>
              <w:iCs/>
              <w:color w:val="202122"/>
              <w:sz w:val="19"/>
              <w:szCs w:val="19"/>
            </w:rPr>
            <w:t>.</w:t>
          </w:r>
        </w:p>
        <w:p w14:paraId="1A84B681"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27" w:anchor="cite_ref-4"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r w:rsidR="005A50AA" w:rsidRPr="005A50AA">
            <w:rPr>
              <w:rFonts w:ascii="Arial" w:eastAsia="Times New Roman" w:hAnsi="Arial" w:cs="Arial"/>
              <w:i/>
              <w:iCs/>
              <w:color w:val="202122"/>
              <w:sz w:val="19"/>
              <w:szCs w:val="19"/>
            </w:rPr>
            <w:t>Gallagher, James. </w:t>
          </w:r>
          <w:hyperlink r:id="rId28" w:history="1">
            <w:r w:rsidR="005A50AA" w:rsidRPr="005A50AA">
              <w:rPr>
                <w:rFonts w:ascii="Arial" w:eastAsia="Times New Roman" w:hAnsi="Arial" w:cs="Arial"/>
                <w:i/>
                <w:iCs/>
                <w:color w:val="3366BB"/>
                <w:sz w:val="19"/>
                <w:szCs w:val="19"/>
              </w:rPr>
              <w:t>"'Memories' pass between generations"</w:t>
            </w:r>
          </w:hyperlink>
          <w:r w:rsidR="005A50AA" w:rsidRPr="005A50AA">
            <w:rPr>
              <w:rFonts w:ascii="Arial" w:eastAsia="Times New Roman" w:hAnsi="Arial" w:cs="Arial"/>
              <w:i/>
              <w:iCs/>
              <w:color w:val="202122"/>
              <w:sz w:val="19"/>
              <w:szCs w:val="19"/>
            </w:rPr>
            <w:t>. BBC. Retrieved 1 December 2013.</w:t>
          </w:r>
        </w:p>
        <w:p w14:paraId="705A3C5E"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29" w:anchor="cite_ref-5"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r w:rsidR="005A50AA" w:rsidRPr="005A50AA">
            <w:rPr>
              <w:rFonts w:ascii="Arial" w:eastAsia="Times New Roman" w:hAnsi="Arial" w:cs="Arial"/>
              <w:i/>
              <w:iCs/>
              <w:color w:val="202122"/>
              <w:sz w:val="19"/>
              <w:szCs w:val="19"/>
            </w:rPr>
            <w:t>Louis D. Matzel (2002). "Learning Mutants". In Harold E. Pashler (</w:t>
          </w:r>
          <w:proofErr w:type="gramStart"/>
          <w:r w:rsidR="005A50AA" w:rsidRPr="005A50AA">
            <w:rPr>
              <w:rFonts w:ascii="Arial" w:eastAsia="Times New Roman" w:hAnsi="Arial" w:cs="Arial"/>
              <w:i/>
              <w:iCs/>
              <w:color w:val="202122"/>
              <w:sz w:val="19"/>
              <w:szCs w:val="19"/>
            </w:rPr>
            <w:t>ed</w:t>
          </w:r>
          <w:proofErr w:type="gramEnd"/>
          <w:r w:rsidR="005A50AA" w:rsidRPr="005A50AA">
            <w:rPr>
              <w:rFonts w:ascii="Arial" w:eastAsia="Times New Roman" w:hAnsi="Arial" w:cs="Arial"/>
              <w:i/>
              <w:iCs/>
              <w:color w:val="202122"/>
              <w:sz w:val="19"/>
              <w:szCs w:val="19"/>
            </w:rPr>
            <w:t>.). </w:t>
          </w:r>
          <w:hyperlink r:id="rId30" w:history="1">
            <w:r w:rsidR="005A50AA" w:rsidRPr="005A50AA">
              <w:rPr>
                <w:rFonts w:ascii="Arial" w:eastAsia="Times New Roman" w:hAnsi="Arial" w:cs="Arial"/>
                <w:i/>
                <w:iCs/>
                <w:color w:val="3366BB"/>
                <w:sz w:val="19"/>
                <w:szCs w:val="19"/>
              </w:rPr>
              <w:t>Steven's Handbook of Experimental Psychology</w:t>
            </w:r>
          </w:hyperlink>
          <w:r w:rsidR="005A50AA" w:rsidRPr="005A50AA">
            <w:rPr>
              <w:rFonts w:ascii="Arial" w:eastAsia="Times New Roman" w:hAnsi="Arial" w:cs="Arial"/>
              <w:i/>
              <w:iCs/>
              <w:color w:val="202122"/>
              <w:sz w:val="19"/>
              <w:szCs w:val="19"/>
            </w:rPr>
            <w:t>. John Wiley and Sons. p. </w:t>
          </w:r>
          <w:hyperlink r:id="rId31" w:history="1">
            <w:r w:rsidR="005A50AA" w:rsidRPr="005A50AA">
              <w:rPr>
                <w:rFonts w:ascii="Arial" w:eastAsia="Times New Roman" w:hAnsi="Arial" w:cs="Arial"/>
                <w:i/>
                <w:iCs/>
                <w:color w:val="3366BB"/>
                <w:sz w:val="19"/>
                <w:szCs w:val="19"/>
              </w:rPr>
              <w:t>201</w:t>
            </w:r>
          </w:hyperlink>
          <w:r w:rsidR="005A50AA" w:rsidRPr="005A50AA">
            <w:rPr>
              <w:rFonts w:ascii="Arial" w:eastAsia="Times New Roman" w:hAnsi="Arial" w:cs="Arial"/>
              <w:i/>
              <w:iCs/>
              <w:color w:val="202122"/>
              <w:sz w:val="19"/>
              <w:szCs w:val="19"/>
            </w:rPr>
            <w:t>. </w:t>
          </w:r>
          <w:hyperlink r:id="rId32" w:tooltip="ISBN (identifier)" w:history="1">
            <w:r w:rsidR="005A50AA" w:rsidRPr="005A50AA">
              <w:rPr>
                <w:rFonts w:ascii="Arial" w:eastAsia="Times New Roman" w:hAnsi="Arial" w:cs="Arial"/>
                <w:i/>
                <w:iCs/>
                <w:color w:val="0645AD"/>
                <w:sz w:val="19"/>
                <w:szCs w:val="19"/>
              </w:rPr>
              <w:t>ISBN</w:t>
            </w:r>
          </w:hyperlink>
          <w:r w:rsidR="005A50AA" w:rsidRPr="005A50AA">
            <w:rPr>
              <w:rFonts w:ascii="Arial" w:eastAsia="Times New Roman" w:hAnsi="Arial" w:cs="Arial"/>
              <w:i/>
              <w:iCs/>
              <w:color w:val="202122"/>
              <w:sz w:val="19"/>
              <w:szCs w:val="19"/>
            </w:rPr>
            <w:t> </w:t>
          </w:r>
          <w:hyperlink r:id="rId33" w:tooltip="Special:BookSources/0-471-65016-1" w:history="1">
            <w:r w:rsidR="005A50AA" w:rsidRPr="005A50AA">
              <w:rPr>
                <w:rFonts w:ascii="Arial" w:eastAsia="Times New Roman" w:hAnsi="Arial" w:cs="Arial"/>
                <w:i/>
                <w:iCs/>
                <w:color w:val="0645AD"/>
                <w:sz w:val="19"/>
                <w:szCs w:val="19"/>
              </w:rPr>
              <w:t>0-471-65016-1</w:t>
            </w:r>
          </w:hyperlink>
          <w:r w:rsidR="005A50AA" w:rsidRPr="005A50AA">
            <w:rPr>
              <w:rFonts w:ascii="Arial" w:eastAsia="Times New Roman" w:hAnsi="Arial" w:cs="Arial"/>
              <w:i/>
              <w:iCs/>
              <w:color w:val="202122"/>
              <w:sz w:val="19"/>
              <w:szCs w:val="19"/>
            </w:rPr>
            <w:t>.</w:t>
          </w:r>
        </w:p>
        <w:p w14:paraId="50CAC341"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34" w:anchor="cite_ref-6"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r w:rsidR="005A50AA" w:rsidRPr="005A50AA">
            <w:rPr>
              <w:rFonts w:ascii="Arial" w:eastAsia="Times New Roman" w:hAnsi="Arial" w:cs="Arial"/>
              <w:i/>
              <w:iCs/>
              <w:color w:val="202122"/>
              <w:sz w:val="19"/>
              <w:szCs w:val="19"/>
            </w:rPr>
            <w:t>Timothy L. Strickler (1978). Functional Osteology and Myology of the Shoulder in the Chiroptera. Karger Publishers. p. 325. </w:t>
          </w:r>
          <w:hyperlink r:id="rId35" w:tooltip="ISBN (identifier)" w:history="1">
            <w:r w:rsidR="005A50AA" w:rsidRPr="005A50AA">
              <w:rPr>
                <w:rFonts w:ascii="Arial" w:eastAsia="Times New Roman" w:hAnsi="Arial" w:cs="Arial"/>
                <w:i/>
                <w:iCs/>
                <w:color w:val="0645AD"/>
                <w:sz w:val="19"/>
                <w:szCs w:val="19"/>
              </w:rPr>
              <w:t>ISBN</w:t>
            </w:r>
          </w:hyperlink>
          <w:r w:rsidR="005A50AA" w:rsidRPr="005A50AA">
            <w:rPr>
              <w:rFonts w:ascii="Arial" w:eastAsia="Times New Roman" w:hAnsi="Arial" w:cs="Arial"/>
              <w:i/>
              <w:iCs/>
              <w:color w:val="202122"/>
              <w:sz w:val="19"/>
              <w:szCs w:val="19"/>
            </w:rPr>
            <w:t> </w:t>
          </w:r>
          <w:hyperlink r:id="rId36" w:tooltip="Special:BookSources/3-8055-2645-8" w:history="1">
            <w:r w:rsidR="005A50AA" w:rsidRPr="005A50AA">
              <w:rPr>
                <w:rFonts w:ascii="Arial" w:eastAsia="Times New Roman" w:hAnsi="Arial" w:cs="Arial"/>
                <w:i/>
                <w:iCs/>
                <w:color w:val="0645AD"/>
                <w:sz w:val="19"/>
                <w:szCs w:val="19"/>
              </w:rPr>
              <w:t>3-8055-2645-8</w:t>
            </w:r>
          </w:hyperlink>
          <w:r w:rsidR="005A50AA" w:rsidRPr="005A50AA">
            <w:rPr>
              <w:rFonts w:ascii="Arial" w:eastAsia="Times New Roman" w:hAnsi="Arial" w:cs="Arial"/>
              <w:i/>
              <w:iCs/>
              <w:color w:val="202122"/>
              <w:sz w:val="19"/>
              <w:szCs w:val="19"/>
            </w:rPr>
            <w:t>.</w:t>
          </w:r>
        </w:p>
        <w:p w14:paraId="0DB17E0A"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37" w:anchor="cite_ref-7"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r w:rsidR="005A50AA" w:rsidRPr="005A50AA">
            <w:rPr>
              <w:rFonts w:ascii="Arial" w:eastAsia="Times New Roman" w:hAnsi="Arial" w:cs="Arial"/>
              <w:i/>
              <w:iCs/>
              <w:color w:val="202122"/>
              <w:sz w:val="19"/>
              <w:szCs w:val="19"/>
            </w:rPr>
            <w:t>Brian Keith Hall; Roy Douglas Pearson; Gerd B. Müller (2003). Environment, Development, and Evolution: Toward a Synthesis. MIT Press. p. 17. </w:t>
          </w:r>
          <w:hyperlink r:id="rId38" w:tooltip="ISBN (identifier)" w:history="1">
            <w:r w:rsidR="005A50AA" w:rsidRPr="005A50AA">
              <w:rPr>
                <w:rFonts w:ascii="Arial" w:eastAsia="Times New Roman" w:hAnsi="Arial" w:cs="Arial"/>
                <w:i/>
                <w:iCs/>
                <w:color w:val="0645AD"/>
                <w:sz w:val="19"/>
                <w:szCs w:val="19"/>
              </w:rPr>
              <w:t>ISBN</w:t>
            </w:r>
          </w:hyperlink>
          <w:r w:rsidR="005A50AA" w:rsidRPr="005A50AA">
            <w:rPr>
              <w:rFonts w:ascii="Arial" w:eastAsia="Times New Roman" w:hAnsi="Arial" w:cs="Arial"/>
              <w:i/>
              <w:iCs/>
              <w:color w:val="202122"/>
              <w:sz w:val="19"/>
              <w:szCs w:val="19"/>
            </w:rPr>
            <w:t> </w:t>
          </w:r>
          <w:hyperlink r:id="rId39" w:tooltip="Special:BookSources/0-262-08319-1" w:history="1">
            <w:r w:rsidR="005A50AA" w:rsidRPr="005A50AA">
              <w:rPr>
                <w:rFonts w:ascii="Arial" w:eastAsia="Times New Roman" w:hAnsi="Arial" w:cs="Arial"/>
                <w:i/>
                <w:iCs/>
                <w:color w:val="0645AD"/>
                <w:sz w:val="19"/>
                <w:szCs w:val="19"/>
              </w:rPr>
              <w:t>0-262-08319-1</w:t>
            </w:r>
          </w:hyperlink>
          <w:r w:rsidR="005A50AA" w:rsidRPr="005A50AA">
            <w:rPr>
              <w:rFonts w:ascii="Arial" w:eastAsia="Times New Roman" w:hAnsi="Arial" w:cs="Arial"/>
              <w:i/>
              <w:iCs/>
              <w:color w:val="202122"/>
              <w:sz w:val="19"/>
              <w:szCs w:val="19"/>
            </w:rPr>
            <w:t>.</w:t>
          </w:r>
        </w:p>
        <w:p w14:paraId="6D3D0EE9" w14:textId="77777777" w:rsidR="005A50AA" w:rsidRPr="005A50AA" w:rsidRDefault="00153E21" w:rsidP="005A50AA">
          <w:pPr>
            <w:numPr>
              <w:ilvl w:val="0"/>
              <w:numId w:val="2"/>
            </w:numPr>
            <w:shd w:val="clear" w:color="auto" w:fill="FFFFFF"/>
            <w:spacing w:before="100" w:beforeAutospacing="1" w:after="24" w:line="240" w:lineRule="auto"/>
            <w:ind w:left="768"/>
            <w:rPr>
              <w:rFonts w:ascii="Arial" w:eastAsia="Times New Roman" w:hAnsi="Arial" w:cs="Arial"/>
              <w:color w:val="202122"/>
              <w:sz w:val="19"/>
              <w:szCs w:val="19"/>
            </w:rPr>
          </w:pPr>
          <w:hyperlink r:id="rId40" w:anchor="cite_ref-8" w:tooltip="Jump up" w:history="1">
            <w:r w:rsidR="005A50AA" w:rsidRPr="005A50AA">
              <w:rPr>
                <w:rFonts w:ascii="Arial" w:eastAsia="Times New Roman" w:hAnsi="Arial" w:cs="Arial"/>
                <w:b/>
                <w:bCs/>
                <w:color w:val="0645AD"/>
                <w:sz w:val="19"/>
                <w:szCs w:val="19"/>
              </w:rPr>
              <w:t>^</w:t>
            </w:r>
          </w:hyperlink>
          <w:r w:rsidR="005A50AA" w:rsidRPr="005A50AA">
            <w:rPr>
              <w:rFonts w:ascii="Arial" w:eastAsia="Times New Roman" w:hAnsi="Arial" w:cs="Arial"/>
              <w:color w:val="202122"/>
              <w:sz w:val="19"/>
              <w:szCs w:val="19"/>
            </w:rPr>
            <w:t> </w:t>
          </w:r>
          <w:hyperlink r:id="rId41" w:history="1">
            <w:r w:rsidR="005A50AA" w:rsidRPr="005A50AA">
              <w:rPr>
                <w:rFonts w:ascii="Arial" w:eastAsia="Times New Roman" w:hAnsi="Arial" w:cs="Arial"/>
                <w:color w:val="3366BB"/>
                <w:sz w:val="19"/>
                <w:szCs w:val="19"/>
              </w:rPr>
              <w:t>The Science Fact Animating Assassin's Creed's Animus</w:t>
            </w:r>
          </w:hyperlink>
          <w:r w:rsidR="005A50AA" w:rsidRPr="005A50AA">
            <w:rPr>
              <w:rFonts w:ascii="Arial" w:eastAsia="Times New Roman" w:hAnsi="Arial" w:cs="Arial"/>
              <w:color w:val="202122"/>
              <w:sz w:val="19"/>
              <w:szCs w:val="19"/>
            </w:rPr>
            <w:t>. Kotaku.com. 11 April 2012. Retrieved 8 November 2015.</w:t>
          </w:r>
        </w:p>
        <w:p w14:paraId="5A71F335" w14:textId="77777777" w:rsidR="005A50AA" w:rsidRDefault="00153E21" w:rsidP="00D50EF3">
          <w:pPr>
            <w:pStyle w:val="Bibliography"/>
          </w:pPr>
        </w:p>
      </w:sdtContent>
    </w:sdt>
    <w:sdt>
      <w:sdtPr>
        <w:rPr>
          <w:rFonts w:asciiTheme="minorHAnsi" w:eastAsiaTheme="minorHAnsi" w:hAnsiTheme="minorHAnsi" w:cstheme="minorBidi"/>
          <w:b w:val="0"/>
          <w:bCs w:val="0"/>
          <w:kern w:val="0"/>
          <w:sz w:val="22"/>
          <w:szCs w:val="22"/>
        </w:rPr>
        <w:id w:val="648171839"/>
        <w:docPartObj>
          <w:docPartGallery w:val="Bibliographies"/>
          <w:docPartUnique/>
        </w:docPartObj>
      </w:sdtPr>
      <w:sdtEndPr/>
      <w:sdtContent>
        <w:p w14:paraId="608C2E1D" w14:textId="77777777" w:rsidR="005A50AA" w:rsidRDefault="005A50AA">
          <w:pPr>
            <w:pStyle w:val="Heading1"/>
          </w:pPr>
          <w:r>
            <w:t>Bibliography</w:t>
          </w:r>
        </w:p>
        <w:sdt>
          <w:sdtPr>
            <w:id w:val="111145805"/>
            <w:bibliography/>
          </w:sdtPr>
          <w:sdtEndPr/>
          <w:sdtContent>
            <w:p w14:paraId="7CD20405" w14:textId="77777777" w:rsidR="005A50AA" w:rsidRPr="005A50AA" w:rsidRDefault="005A50AA" w:rsidP="005A50AA">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5A50AA">
                <w:rPr>
                  <w:rFonts w:ascii="Arial" w:eastAsia="Times New Roman" w:hAnsi="Arial" w:cs="Arial"/>
                  <w:i/>
                  <w:iCs/>
                  <w:color w:val="202122"/>
                  <w:sz w:val="21"/>
                  <w:szCs w:val="21"/>
                </w:rPr>
                <w:t>Alan Bullock; Oliver Stallybrass (1977). "Genetic memory". The Harper Dictionary of Modern Thought. Harper &amp; Row. p. 258.</w:t>
              </w:r>
            </w:p>
            <w:p w14:paraId="1FF12CD4" w14:textId="77777777" w:rsidR="005A50AA" w:rsidRPr="005A50AA" w:rsidRDefault="005A50AA" w:rsidP="005A50AA">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5A50AA">
                <w:rPr>
                  <w:rFonts w:ascii="Arial" w:eastAsia="Times New Roman" w:hAnsi="Arial" w:cs="Arial"/>
                  <w:i/>
                  <w:iCs/>
                  <w:color w:val="202122"/>
                  <w:sz w:val="21"/>
                  <w:szCs w:val="21"/>
                </w:rPr>
                <w:t>Raymond Joseph Corsini (1999). "Genetic memory". The Dictionary of Psychology. Psychology Press. p. 410. </w:t>
              </w:r>
              <w:hyperlink r:id="rId42" w:tooltip="ISBN (identifier)" w:history="1">
                <w:r w:rsidRPr="005A50AA">
                  <w:rPr>
                    <w:rFonts w:ascii="Arial" w:eastAsia="Times New Roman" w:hAnsi="Arial" w:cs="Arial"/>
                    <w:i/>
                    <w:iCs/>
                    <w:color w:val="0645AD"/>
                    <w:sz w:val="21"/>
                    <w:szCs w:val="21"/>
                    <w:u w:val="single"/>
                  </w:rPr>
                  <w:t>ISBN</w:t>
                </w:r>
              </w:hyperlink>
              <w:r w:rsidRPr="005A50AA">
                <w:rPr>
                  <w:rFonts w:ascii="Arial" w:eastAsia="Times New Roman" w:hAnsi="Arial" w:cs="Arial"/>
                  <w:i/>
                  <w:iCs/>
                  <w:color w:val="202122"/>
                  <w:sz w:val="21"/>
                  <w:szCs w:val="21"/>
                </w:rPr>
                <w:t> </w:t>
              </w:r>
              <w:hyperlink r:id="rId43" w:tooltip="Special:BookSources/158391028X" w:history="1">
                <w:r w:rsidRPr="005A50AA">
                  <w:rPr>
                    <w:rFonts w:ascii="Arial" w:eastAsia="Times New Roman" w:hAnsi="Arial" w:cs="Arial"/>
                    <w:i/>
                    <w:iCs/>
                    <w:color w:val="0645AD"/>
                    <w:sz w:val="21"/>
                    <w:szCs w:val="21"/>
                    <w:u w:val="single"/>
                  </w:rPr>
                  <w:t>158391028X</w:t>
                </w:r>
              </w:hyperlink>
              <w:r w:rsidRPr="005A50AA">
                <w:rPr>
                  <w:rFonts w:ascii="Arial" w:eastAsia="Times New Roman" w:hAnsi="Arial" w:cs="Arial"/>
                  <w:i/>
                  <w:iCs/>
                  <w:color w:val="202122"/>
                  <w:sz w:val="21"/>
                  <w:szCs w:val="21"/>
                </w:rPr>
                <w:t>.</w:t>
              </w:r>
              <w:r w:rsidRPr="005A50AA">
                <w:rPr>
                  <w:rFonts w:ascii="Arial" w:eastAsia="Times New Roman" w:hAnsi="Arial" w:cs="Arial"/>
                  <w:color w:val="202122"/>
                  <w:sz w:val="21"/>
                  <w:szCs w:val="21"/>
                </w:rPr>
                <w:t> —Note that the definition talks of "information based upon" learning and experience, rather than about learning and experience themselves.</w:t>
              </w:r>
            </w:p>
            <w:p w14:paraId="025181FC" w14:textId="77777777" w:rsidR="005A50AA" w:rsidRDefault="005A50AA" w:rsidP="005A50AA">
              <w:pPr>
                <w:pStyle w:val="Bibliography"/>
              </w:pPr>
            </w:p>
            <w:p w14:paraId="0BF4402C" w14:textId="77777777" w:rsidR="005A50AA" w:rsidRDefault="00153E21" w:rsidP="005A50AA"/>
          </w:sdtContent>
        </w:sdt>
      </w:sdtContent>
    </w:sdt>
    <w:p w14:paraId="344E7E20" w14:textId="77777777" w:rsidR="005A50AA" w:rsidRPr="000105B0" w:rsidRDefault="005A50AA" w:rsidP="000105B0">
      <w:pPr>
        <w:jc w:val="both"/>
      </w:pPr>
    </w:p>
    <w:sectPr w:rsidR="005A50AA" w:rsidRPr="000105B0" w:rsidSect="00D50EF3">
      <w:headerReference w:type="default" r:id="rId44"/>
      <w:pgSz w:w="24480" w:h="15840" w:orient="landscape" w:code="3"/>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IL TRADERS" w:date="2021-09-19T17:38:00Z" w:initials="AT">
    <w:p w14:paraId="0BD2A1F4" w14:textId="77777777" w:rsidR="00D50EF3" w:rsidRPr="00D50EF3" w:rsidRDefault="00D50EF3" w:rsidP="00D50EF3">
      <w:pPr>
        <w:pStyle w:val="NormalWeb"/>
        <w:spacing w:before="0" w:beforeAutospacing="0" w:after="0" w:afterAutospacing="0"/>
        <w:textAlignment w:val="baseline"/>
        <w:rPr>
          <w:rFonts w:ascii="Georgia" w:hAnsi="Georgia"/>
          <w:i/>
          <w:iCs/>
          <w:color w:val="323232"/>
          <w:sz w:val="27"/>
          <w:szCs w:val="27"/>
        </w:rPr>
      </w:pPr>
      <w:r>
        <w:rPr>
          <w:rStyle w:val="CommentReference"/>
        </w:rPr>
        <w:annotationRef/>
      </w:r>
      <w:r>
        <w:rPr>
          <w:rStyle w:val="Emphasis"/>
          <w:rFonts w:ascii="Georgia" w:eastAsiaTheme="majorEastAsia" w:hAnsi="Georgia"/>
          <w:color w:val="323232"/>
          <w:sz w:val="27"/>
          <w:szCs w:val="27"/>
          <w:bdr w:val="none" w:sz="0" w:space="0" w:color="auto" w:frame="1"/>
        </w:rPr>
        <w:t>“The baby does not learn trigonometry, but knows it; does not learn how to distinguish figure from ground, but knows it; does not need to learn, but knows, that when one object with mass hits another, it will move the object … The vast human cerebral cortex is chock full of specialized systems ready, willing and able to be used for specific tasks. Moreover, the brain is built under tight genetic control … As soon as the brain is built, it starts to express what it knows, what it comes with from the factory. And the brain comes loaded. The number of special devices that are in place and active is staggering. Everything from perceptual phenomena to intuitive physics to social exchange rules comes with the brain. These things are not learned; they are innately structured. Each device solves a different problem … the multitude of devices we have for doing what we do are factory installed; by the time we know about an action, the devices have already performed it.”</w:t>
      </w:r>
      <w:r>
        <w:rPr>
          <w:rFonts w:ascii="Georgia" w:hAnsi="Georgia"/>
          <w:i/>
          <w:iCs/>
          <w:color w:val="323232"/>
          <w:sz w:val="27"/>
          <w:szCs w:val="27"/>
        </w:rPr>
        <w:t xml:space="preserve"> </w:t>
      </w:r>
      <w:r>
        <w:rPr>
          <w:rFonts w:ascii="Georgia" w:hAnsi="Georgia"/>
          <w:color w:val="323232"/>
          <w:sz w:val="27"/>
          <w:szCs w:val="27"/>
          <w:shd w:val="clear" w:color="auto" w:fill="FFFFFF"/>
        </w:rPr>
        <w:t xml:space="preserve">Michael </w:t>
      </w:r>
      <w:proofErr w:type="spellStart"/>
      <w:r>
        <w:rPr>
          <w:rFonts w:ascii="Georgia" w:hAnsi="Georgia"/>
          <w:color w:val="323232"/>
          <w:sz w:val="27"/>
          <w:szCs w:val="27"/>
          <w:shd w:val="clear" w:color="auto" w:fill="FFFFFF"/>
        </w:rPr>
        <w:t>Gazzaniga</w:t>
      </w:r>
      <w:proofErr w:type="spellEnd"/>
      <w:r>
        <w:rPr>
          <w:rFonts w:ascii="Georgia" w:hAnsi="Georgia"/>
          <w:color w:val="323232"/>
          <w:sz w:val="27"/>
          <w:szCs w:val="27"/>
          <w:shd w:val="clear" w:color="auto" w:fill="FFFFFF"/>
        </w:rPr>
        <w:t>, The Mind’s Past (1998)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2A1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A61E9" w14:textId="77777777" w:rsidR="00153E21" w:rsidRDefault="00153E21" w:rsidP="005A50AA">
      <w:pPr>
        <w:spacing w:after="0" w:line="240" w:lineRule="auto"/>
      </w:pPr>
      <w:r>
        <w:separator/>
      </w:r>
    </w:p>
  </w:endnote>
  <w:endnote w:type="continuationSeparator" w:id="0">
    <w:p w14:paraId="2ED758DF" w14:textId="77777777" w:rsidR="00153E21" w:rsidRDefault="00153E21" w:rsidP="005A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D4C80" w14:textId="77777777" w:rsidR="00153E21" w:rsidRDefault="00153E21" w:rsidP="005A50AA">
      <w:pPr>
        <w:spacing w:after="0" w:line="240" w:lineRule="auto"/>
      </w:pPr>
      <w:r>
        <w:separator/>
      </w:r>
    </w:p>
  </w:footnote>
  <w:footnote w:type="continuationSeparator" w:id="0">
    <w:p w14:paraId="08528705" w14:textId="77777777" w:rsidR="00153E21" w:rsidRDefault="00153E21" w:rsidP="005A5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EDF6F" w14:textId="77777777" w:rsidR="00D50EF3" w:rsidRDefault="00D50EF3">
    <w:pPr>
      <w:pStyle w:val="Header"/>
    </w:pPr>
    <w:r>
      <w:t>Pg</w:t>
    </w:r>
    <w:r w:rsidR="005A50AA">
      <w:rPr>
        <w:noProof/>
      </w:rPr>
      <mc:AlternateContent>
        <mc:Choice Requires="wps">
          <w:drawing>
            <wp:anchor distT="0" distB="0" distL="118745" distR="118745" simplePos="0" relativeHeight="251659264" behindDoc="1" locked="0" layoutInCell="1" allowOverlap="0" wp14:anchorId="540E3828" wp14:editId="408D3AD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E52927" w14:textId="77777777" w:rsidR="005A50AA" w:rsidRDefault="00070E78">
                              <w:pPr>
                                <w:pStyle w:val="Header"/>
                                <w:tabs>
                                  <w:tab w:val="clear" w:pos="4680"/>
                                  <w:tab w:val="clear" w:pos="9360"/>
                                </w:tabs>
                                <w:jc w:val="center"/>
                                <w:rPr>
                                  <w:caps/>
                                  <w:color w:val="FFFFFF" w:themeColor="background1"/>
                                </w:rPr>
                              </w:pPr>
                              <w:r>
                                <w:rPr>
                                  <w:caps/>
                                  <w:color w:val="FFFFFF" w:themeColor="background1"/>
                                </w:rPr>
                                <w:t>Owais ali khan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0E38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DE52927" w14:textId="77777777" w:rsidR="005A50AA" w:rsidRDefault="00070E78">
                        <w:pPr>
                          <w:pStyle w:val="Header"/>
                          <w:tabs>
                            <w:tab w:val="clear" w:pos="4680"/>
                            <w:tab w:val="clear" w:pos="9360"/>
                          </w:tabs>
                          <w:jc w:val="center"/>
                          <w:rPr>
                            <w:caps/>
                            <w:color w:val="FFFFFF" w:themeColor="background1"/>
                          </w:rPr>
                        </w:pPr>
                        <w:r>
                          <w:rPr>
                            <w:caps/>
                            <w:color w:val="FFFFFF" w:themeColor="background1"/>
                          </w:rPr>
                          <w:t>Owais ali khan</w:t>
                        </w:r>
                      </w:p>
                    </w:sdtContent>
                  </w:sdt>
                </w:txbxContent>
              </v:textbox>
              <w10:wrap type="square" anchorx="margin" anchory="page"/>
            </v:rect>
          </w:pict>
        </mc:Fallback>
      </mc:AlternateConten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7DA1"/>
    <w:multiLevelType w:val="multilevel"/>
    <w:tmpl w:val="A90C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138F8"/>
    <w:multiLevelType w:val="multilevel"/>
    <w:tmpl w:val="6A9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IL TRADERS">
    <w15:presenceInfo w15:providerId="None" w15:userId="A@DIL TRAD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0"/>
    <w:rsid w:val="000105B0"/>
    <w:rsid w:val="00070E78"/>
    <w:rsid w:val="00153E21"/>
    <w:rsid w:val="0021740B"/>
    <w:rsid w:val="003437A1"/>
    <w:rsid w:val="005A2FA4"/>
    <w:rsid w:val="005A50AA"/>
    <w:rsid w:val="005C66C4"/>
    <w:rsid w:val="007928DC"/>
    <w:rsid w:val="00D5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4CCEB"/>
  <w15:chartTrackingRefBased/>
  <w15:docId w15:val="{13D9C95A-0713-4072-938C-088A230A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0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105B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A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0AA"/>
  </w:style>
  <w:style w:type="paragraph" w:styleId="Footer">
    <w:name w:val="footer"/>
    <w:basedOn w:val="Normal"/>
    <w:link w:val="FooterChar"/>
    <w:uiPriority w:val="99"/>
    <w:unhideWhenUsed/>
    <w:rsid w:val="005A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0AA"/>
  </w:style>
  <w:style w:type="paragraph" w:styleId="Bibliography">
    <w:name w:val="Bibliography"/>
    <w:basedOn w:val="Normal"/>
    <w:next w:val="Normal"/>
    <w:uiPriority w:val="37"/>
    <w:unhideWhenUsed/>
    <w:rsid w:val="005A50AA"/>
  </w:style>
  <w:style w:type="character" w:styleId="HTMLCite">
    <w:name w:val="HTML Cite"/>
    <w:basedOn w:val="DefaultParagraphFont"/>
    <w:uiPriority w:val="99"/>
    <w:semiHidden/>
    <w:unhideWhenUsed/>
    <w:rsid w:val="005A50AA"/>
    <w:rPr>
      <w:i/>
      <w:iCs/>
    </w:rPr>
  </w:style>
  <w:style w:type="character" w:styleId="Hyperlink">
    <w:name w:val="Hyperlink"/>
    <w:basedOn w:val="DefaultParagraphFont"/>
    <w:uiPriority w:val="99"/>
    <w:semiHidden/>
    <w:unhideWhenUsed/>
    <w:rsid w:val="005A50AA"/>
    <w:rPr>
      <w:color w:val="0000FF"/>
      <w:u w:val="single"/>
    </w:rPr>
  </w:style>
  <w:style w:type="character" w:customStyle="1" w:styleId="reference-text">
    <w:name w:val="reference-text"/>
    <w:basedOn w:val="DefaultParagraphFont"/>
    <w:rsid w:val="005A50AA"/>
  </w:style>
  <w:style w:type="character" w:customStyle="1" w:styleId="mw-cite-backlink">
    <w:name w:val="mw-cite-backlink"/>
    <w:basedOn w:val="DefaultParagraphFont"/>
    <w:rsid w:val="005A50AA"/>
  </w:style>
  <w:style w:type="character" w:customStyle="1" w:styleId="cs1-lock-free">
    <w:name w:val="cs1-lock-free"/>
    <w:basedOn w:val="DefaultParagraphFont"/>
    <w:rsid w:val="005A50AA"/>
  </w:style>
  <w:style w:type="character" w:customStyle="1" w:styleId="cs1-kern-left">
    <w:name w:val="cs1-kern-left"/>
    <w:basedOn w:val="DefaultParagraphFont"/>
    <w:rsid w:val="005A50AA"/>
  </w:style>
  <w:style w:type="character" w:customStyle="1" w:styleId="reference-accessdate">
    <w:name w:val="reference-accessdate"/>
    <w:basedOn w:val="DefaultParagraphFont"/>
    <w:rsid w:val="005A50AA"/>
  </w:style>
  <w:style w:type="character" w:customStyle="1" w:styleId="nowrap">
    <w:name w:val="nowrap"/>
    <w:basedOn w:val="DefaultParagraphFont"/>
    <w:rsid w:val="005A50AA"/>
  </w:style>
  <w:style w:type="character" w:customStyle="1" w:styleId="cs1-lock-limited">
    <w:name w:val="cs1-lock-limited"/>
    <w:basedOn w:val="DefaultParagraphFont"/>
    <w:rsid w:val="005A50AA"/>
  </w:style>
  <w:style w:type="character" w:styleId="CommentReference">
    <w:name w:val="annotation reference"/>
    <w:basedOn w:val="DefaultParagraphFont"/>
    <w:uiPriority w:val="99"/>
    <w:semiHidden/>
    <w:unhideWhenUsed/>
    <w:rsid w:val="00D50EF3"/>
    <w:rPr>
      <w:sz w:val="16"/>
      <w:szCs w:val="16"/>
    </w:rPr>
  </w:style>
  <w:style w:type="paragraph" w:styleId="CommentText">
    <w:name w:val="annotation text"/>
    <w:basedOn w:val="Normal"/>
    <w:link w:val="CommentTextChar"/>
    <w:uiPriority w:val="99"/>
    <w:semiHidden/>
    <w:unhideWhenUsed/>
    <w:rsid w:val="00D50EF3"/>
    <w:pPr>
      <w:spacing w:line="240" w:lineRule="auto"/>
    </w:pPr>
    <w:rPr>
      <w:sz w:val="20"/>
      <w:szCs w:val="20"/>
    </w:rPr>
  </w:style>
  <w:style w:type="character" w:customStyle="1" w:styleId="CommentTextChar">
    <w:name w:val="Comment Text Char"/>
    <w:basedOn w:val="DefaultParagraphFont"/>
    <w:link w:val="CommentText"/>
    <w:uiPriority w:val="99"/>
    <w:semiHidden/>
    <w:rsid w:val="00D50EF3"/>
    <w:rPr>
      <w:sz w:val="20"/>
      <w:szCs w:val="20"/>
    </w:rPr>
  </w:style>
  <w:style w:type="paragraph" w:styleId="CommentSubject">
    <w:name w:val="annotation subject"/>
    <w:basedOn w:val="CommentText"/>
    <w:next w:val="CommentText"/>
    <w:link w:val="CommentSubjectChar"/>
    <w:uiPriority w:val="99"/>
    <w:semiHidden/>
    <w:unhideWhenUsed/>
    <w:rsid w:val="00D50EF3"/>
    <w:rPr>
      <w:b/>
      <w:bCs/>
    </w:rPr>
  </w:style>
  <w:style w:type="character" w:customStyle="1" w:styleId="CommentSubjectChar">
    <w:name w:val="Comment Subject Char"/>
    <w:basedOn w:val="CommentTextChar"/>
    <w:link w:val="CommentSubject"/>
    <w:uiPriority w:val="99"/>
    <w:semiHidden/>
    <w:rsid w:val="00D50EF3"/>
    <w:rPr>
      <w:b/>
      <w:bCs/>
      <w:sz w:val="20"/>
      <w:szCs w:val="20"/>
    </w:rPr>
  </w:style>
  <w:style w:type="paragraph" w:styleId="BalloonText">
    <w:name w:val="Balloon Text"/>
    <w:basedOn w:val="Normal"/>
    <w:link w:val="BalloonTextChar"/>
    <w:uiPriority w:val="99"/>
    <w:semiHidden/>
    <w:unhideWhenUsed/>
    <w:rsid w:val="00D5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EF3"/>
    <w:rPr>
      <w:rFonts w:ascii="Segoe UI" w:hAnsi="Segoe UI" w:cs="Segoe UI"/>
      <w:sz w:val="18"/>
      <w:szCs w:val="18"/>
    </w:rPr>
  </w:style>
  <w:style w:type="paragraph" w:styleId="NormalWeb">
    <w:name w:val="Normal (Web)"/>
    <w:basedOn w:val="Normal"/>
    <w:uiPriority w:val="99"/>
    <w:unhideWhenUsed/>
    <w:rsid w:val="00D50E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0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83622">
      <w:bodyDiv w:val="1"/>
      <w:marLeft w:val="0"/>
      <w:marRight w:val="0"/>
      <w:marTop w:val="0"/>
      <w:marBottom w:val="0"/>
      <w:divBdr>
        <w:top w:val="none" w:sz="0" w:space="0" w:color="auto"/>
        <w:left w:val="none" w:sz="0" w:space="0" w:color="auto"/>
        <w:bottom w:val="none" w:sz="0" w:space="0" w:color="auto"/>
        <w:right w:val="none" w:sz="0" w:space="0" w:color="auto"/>
      </w:divBdr>
    </w:div>
    <w:div w:id="465583202">
      <w:bodyDiv w:val="1"/>
      <w:marLeft w:val="0"/>
      <w:marRight w:val="0"/>
      <w:marTop w:val="0"/>
      <w:marBottom w:val="0"/>
      <w:divBdr>
        <w:top w:val="none" w:sz="0" w:space="0" w:color="auto"/>
        <w:left w:val="none" w:sz="0" w:space="0" w:color="auto"/>
        <w:bottom w:val="none" w:sz="0" w:space="0" w:color="auto"/>
        <w:right w:val="none" w:sz="0" w:space="0" w:color="auto"/>
      </w:divBdr>
    </w:div>
    <w:div w:id="482819527">
      <w:bodyDiv w:val="1"/>
      <w:marLeft w:val="0"/>
      <w:marRight w:val="0"/>
      <w:marTop w:val="0"/>
      <w:marBottom w:val="0"/>
      <w:divBdr>
        <w:top w:val="none" w:sz="0" w:space="0" w:color="auto"/>
        <w:left w:val="none" w:sz="0" w:space="0" w:color="auto"/>
        <w:bottom w:val="none" w:sz="0" w:space="0" w:color="auto"/>
        <w:right w:val="none" w:sz="0" w:space="0" w:color="auto"/>
      </w:divBdr>
    </w:div>
    <w:div w:id="742996162">
      <w:bodyDiv w:val="1"/>
      <w:marLeft w:val="0"/>
      <w:marRight w:val="0"/>
      <w:marTop w:val="0"/>
      <w:marBottom w:val="0"/>
      <w:divBdr>
        <w:top w:val="none" w:sz="0" w:space="0" w:color="auto"/>
        <w:left w:val="none" w:sz="0" w:space="0" w:color="auto"/>
        <w:bottom w:val="none" w:sz="0" w:space="0" w:color="auto"/>
        <w:right w:val="none" w:sz="0" w:space="0" w:color="auto"/>
      </w:divBdr>
    </w:div>
    <w:div w:id="784932895">
      <w:bodyDiv w:val="1"/>
      <w:marLeft w:val="0"/>
      <w:marRight w:val="0"/>
      <w:marTop w:val="0"/>
      <w:marBottom w:val="0"/>
      <w:divBdr>
        <w:top w:val="none" w:sz="0" w:space="0" w:color="auto"/>
        <w:left w:val="none" w:sz="0" w:space="0" w:color="auto"/>
        <w:bottom w:val="none" w:sz="0" w:space="0" w:color="auto"/>
        <w:right w:val="none" w:sz="0" w:space="0" w:color="auto"/>
      </w:divBdr>
    </w:div>
    <w:div w:id="852181081">
      <w:bodyDiv w:val="1"/>
      <w:marLeft w:val="0"/>
      <w:marRight w:val="0"/>
      <w:marTop w:val="0"/>
      <w:marBottom w:val="0"/>
      <w:divBdr>
        <w:top w:val="none" w:sz="0" w:space="0" w:color="auto"/>
        <w:left w:val="none" w:sz="0" w:space="0" w:color="auto"/>
        <w:bottom w:val="none" w:sz="0" w:space="0" w:color="auto"/>
        <w:right w:val="none" w:sz="0" w:space="0" w:color="auto"/>
      </w:divBdr>
      <w:divsChild>
        <w:div w:id="984969766">
          <w:blockQuote w:val="1"/>
          <w:marLeft w:val="600"/>
          <w:marRight w:val="0"/>
          <w:marTop w:val="450"/>
          <w:marBottom w:val="675"/>
          <w:divBdr>
            <w:top w:val="none" w:sz="0" w:space="0" w:color="auto"/>
            <w:left w:val="none" w:sz="0" w:space="0" w:color="auto"/>
            <w:bottom w:val="none" w:sz="0" w:space="0" w:color="auto"/>
            <w:right w:val="none" w:sz="0" w:space="0" w:color="auto"/>
          </w:divBdr>
        </w:div>
      </w:divsChild>
    </w:div>
    <w:div w:id="926383649">
      <w:bodyDiv w:val="1"/>
      <w:marLeft w:val="0"/>
      <w:marRight w:val="0"/>
      <w:marTop w:val="0"/>
      <w:marBottom w:val="0"/>
      <w:divBdr>
        <w:top w:val="none" w:sz="0" w:space="0" w:color="auto"/>
        <w:left w:val="none" w:sz="0" w:space="0" w:color="auto"/>
        <w:bottom w:val="none" w:sz="0" w:space="0" w:color="auto"/>
        <w:right w:val="none" w:sz="0" w:space="0" w:color="auto"/>
      </w:divBdr>
    </w:div>
    <w:div w:id="1235703240">
      <w:bodyDiv w:val="1"/>
      <w:marLeft w:val="0"/>
      <w:marRight w:val="0"/>
      <w:marTop w:val="0"/>
      <w:marBottom w:val="0"/>
      <w:divBdr>
        <w:top w:val="none" w:sz="0" w:space="0" w:color="auto"/>
        <w:left w:val="none" w:sz="0" w:space="0" w:color="auto"/>
        <w:bottom w:val="none" w:sz="0" w:space="0" w:color="auto"/>
        <w:right w:val="none" w:sz="0" w:space="0" w:color="auto"/>
      </w:divBdr>
    </w:div>
    <w:div w:id="1314025041">
      <w:bodyDiv w:val="1"/>
      <w:marLeft w:val="0"/>
      <w:marRight w:val="0"/>
      <w:marTop w:val="0"/>
      <w:marBottom w:val="0"/>
      <w:divBdr>
        <w:top w:val="none" w:sz="0" w:space="0" w:color="auto"/>
        <w:left w:val="none" w:sz="0" w:space="0" w:color="auto"/>
        <w:bottom w:val="none" w:sz="0" w:space="0" w:color="auto"/>
        <w:right w:val="none" w:sz="0" w:space="0" w:color="auto"/>
      </w:divBdr>
    </w:div>
    <w:div w:id="1370301371">
      <w:bodyDiv w:val="1"/>
      <w:marLeft w:val="0"/>
      <w:marRight w:val="0"/>
      <w:marTop w:val="0"/>
      <w:marBottom w:val="0"/>
      <w:divBdr>
        <w:top w:val="none" w:sz="0" w:space="0" w:color="auto"/>
        <w:left w:val="none" w:sz="0" w:space="0" w:color="auto"/>
        <w:bottom w:val="none" w:sz="0" w:space="0" w:color="auto"/>
        <w:right w:val="none" w:sz="0" w:space="0" w:color="auto"/>
      </w:divBdr>
    </w:div>
    <w:div w:id="1458832916">
      <w:bodyDiv w:val="1"/>
      <w:marLeft w:val="0"/>
      <w:marRight w:val="0"/>
      <w:marTop w:val="0"/>
      <w:marBottom w:val="0"/>
      <w:divBdr>
        <w:top w:val="none" w:sz="0" w:space="0" w:color="auto"/>
        <w:left w:val="none" w:sz="0" w:space="0" w:color="auto"/>
        <w:bottom w:val="none" w:sz="0" w:space="0" w:color="auto"/>
        <w:right w:val="none" w:sz="0" w:space="0" w:color="auto"/>
      </w:divBdr>
    </w:div>
    <w:div w:id="1481845172">
      <w:bodyDiv w:val="1"/>
      <w:marLeft w:val="0"/>
      <w:marRight w:val="0"/>
      <w:marTop w:val="0"/>
      <w:marBottom w:val="0"/>
      <w:divBdr>
        <w:top w:val="none" w:sz="0" w:space="0" w:color="auto"/>
        <w:left w:val="none" w:sz="0" w:space="0" w:color="auto"/>
        <w:bottom w:val="none" w:sz="0" w:space="0" w:color="auto"/>
        <w:right w:val="none" w:sz="0" w:space="0" w:color="auto"/>
      </w:divBdr>
    </w:div>
    <w:div w:id="1488937712">
      <w:bodyDiv w:val="1"/>
      <w:marLeft w:val="0"/>
      <w:marRight w:val="0"/>
      <w:marTop w:val="0"/>
      <w:marBottom w:val="0"/>
      <w:divBdr>
        <w:top w:val="none" w:sz="0" w:space="0" w:color="auto"/>
        <w:left w:val="none" w:sz="0" w:space="0" w:color="auto"/>
        <w:bottom w:val="none" w:sz="0" w:space="0" w:color="auto"/>
        <w:right w:val="none" w:sz="0" w:space="0" w:color="auto"/>
      </w:divBdr>
    </w:div>
    <w:div w:id="1494642191">
      <w:bodyDiv w:val="1"/>
      <w:marLeft w:val="0"/>
      <w:marRight w:val="0"/>
      <w:marTop w:val="0"/>
      <w:marBottom w:val="0"/>
      <w:divBdr>
        <w:top w:val="none" w:sz="0" w:space="0" w:color="auto"/>
        <w:left w:val="none" w:sz="0" w:space="0" w:color="auto"/>
        <w:bottom w:val="none" w:sz="0" w:space="0" w:color="auto"/>
        <w:right w:val="none" w:sz="0" w:space="0" w:color="auto"/>
      </w:divBdr>
    </w:div>
    <w:div w:id="1499149034">
      <w:bodyDiv w:val="1"/>
      <w:marLeft w:val="0"/>
      <w:marRight w:val="0"/>
      <w:marTop w:val="0"/>
      <w:marBottom w:val="0"/>
      <w:divBdr>
        <w:top w:val="none" w:sz="0" w:space="0" w:color="auto"/>
        <w:left w:val="none" w:sz="0" w:space="0" w:color="auto"/>
        <w:bottom w:val="none" w:sz="0" w:space="0" w:color="auto"/>
        <w:right w:val="none" w:sz="0" w:space="0" w:color="auto"/>
      </w:divBdr>
    </w:div>
    <w:div w:id="1554660380">
      <w:bodyDiv w:val="1"/>
      <w:marLeft w:val="0"/>
      <w:marRight w:val="0"/>
      <w:marTop w:val="0"/>
      <w:marBottom w:val="0"/>
      <w:divBdr>
        <w:top w:val="none" w:sz="0" w:space="0" w:color="auto"/>
        <w:left w:val="none" w:sz="0" w:space="0" w:color="auto"/>
        <w:bottom w:val="none" w:sz="0" w:space="0" w:color="auto"/>
        <w:right w:val="none" w:sz="0" w:space="0" w:color="auto"/>
      </w:divBdr>
    </w:div>
    <w:div w:id="1570967391">
      <w:bodyDiv w:val="1"/>
      <w:marLeft w:val="0"/>
      <w:marRight w:val="0"/>
      <w:marTop w:val="0"/>
      <w:marBottom w:val="0"/>
      <w:divBdr>
        <w:top w:val="none" w:sz="0" w:space="0" w:color="auto"/>
        <w:left w:val="none" w:sz="0" w:space="0" w:color="auto"/>
        <w:bottom w:val="none" w:sz="0" w:space="0" w:color="auto"/>
        <w:right w:val="none" w:sz="0" w:space="0" w:color="auto"/>
      </w:divBdr>
    </w:div>
    <w:div w:id="1689871936">
      <w:bodyDiv w:val="1"/>
      <w:marLeft w:val="0"/>
      <w:marRight w:val="0"/>
      <w:marTop w:val="0"/>
      <w:marBottom w:val="0"/>
      <w:divBdr>
        <w:top w:val="none" w:sz="0" w:space="0" w:color="auto"/>
        <w:left w:val="none" w:sz="0" w:space="0" w:color="auto"/>
        <w:bottom w:val="none" w:sz="0" w:space="0" w:color="auto"/>
        <w:right w:val="none" w:sz="0" w:space="0" w:color="auto"/>
      </w:divBdr>
    </w:div>
    <w:div w:id="2058778143">
      <w:bodyDiv w:val="1"/>
      <w:marLeft w:val="0"/>
      <w:marRight w:val="0"/>
      <w:marTop w:val="0"/>
      <w:marBottom w:val="0"/>
      <w:divBdr>
        <w:top w:val="none" w:sz="0" w:space="0" w:color="auto"/>
        <w:left w:val="none" w:sz="0" w:space="0" w:color="auto"/>
        <w:bottom w:val="none" w:sz="0" w:space="0" w:color="auto"/>
        <w:right w:val="none" w:sz="0" w:space="0" w:color="auto"/>
      </w:divBdr>
    </w:div>
    <w:div w:id="21409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SBN_(identifier)" TargetMode="External"/><Relationship Id="rId18" Type="http://schemas.openxmlformats.org/officeDocument/2006/relationships/hyperlink" Target="https://doi.org/10.1038%2Fnn.3594" TargetMode="External"/><Relationship Id="rId26" Type="http://schemas.openxmlformats.org/officeDocument/2006/relationships/hyperlink" Target="https://doi.org/10.1038%2Fnature.2013.14272" TargetMode="External"/><Relationship Id="rId39" Type="http://schemas.openxmlformats.org/officeDocument/2006/relationships/hyperlink" Target="https://en.wikipedia.org/wiki/Special:BookSources/0-262-08319-1" TargetMode="External"/><Relationship Id="rId21" Type="http://schemas.openxmlformats.org/officeDocument/2006/relationships/hyperlink" Target="https://en.wikipedia.org/wiki/PMID_(identifier)" TargetMode="External"/><Relationship Id="rId34" Type="http://schemas.openxmlformats.org/officeDocument/2006/relationships/hyperlink" Target="https://en.wikipedia.org/wiki/Genetic_memory_(psychology)" TargetMode="External"/><Relationship Id="rId42" Type="http://schemas.openxmlformats.org/officeDocument/2006/relationships/hyperlink" Target="https://en.wikipedia.org/wiki/ISBN_(identifi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3923835" TargetMode="External"/><Relationship Id="rId29" Type="http://schemas.openxmlformats.org/officeDocument/2006/relationships/hyperlink" Target="https://en.wikipedia.org/wiki/Genetic_memory_(psych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n.wikipedia.org/wiki/Genetic_memory_(psychology)" TargetMode="External"/><Relationship Id="rId32" Type="http://schemas.openxmlformats.org/officeDocument/2006/relationships/hyperlink" Target="https://en.wikipedia.org/wiki/ISBN_(identifier)" TargetMode="External"/><Relationship Id="rId37" Type="http://schemas.openxmlformats.org/officeDocument/2006/relationships/hyperlink" Target="https://en.wikipedia.org/wiki/Genetic_memory_(psychology)" TargetMode="External"/><Relationship Id="rId40" Type="http://schemas.openxmlformats.org/officeDocument/2006/relationships/hyperlink" Target="https://en.wikipedia.org/wiki/Genetic_memory_(psycholog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netic_memory_(psychology)" TargetMode="External"/><Relationship Id="rId23" Type="http://schemas.openxmlformats.org/officeDocument/2006/relationships/hyperlink" Target="https://www.newscientist.com/article/dn24677-fear-of-a-smell-can-be-passed-down-several-generations.html" TargetMode="External"/><Relationship Id="rId28" Type="http://schemas.openxmlformats.org/officeDocument/2006/relationships/hyperlink" Target="https://www.bbc.co.uk/news/health-25156510" TargetMode="External"/><Relationship Id="rId36" Type="http://schemas.openxmlformats.org/officeDocument/2006/relationships/hyperlink" Target="https://en.wikipedia.org/wiki/Special:BookSources/3-8055-2645-8" TargetMode="External"/><Relationship Id="rId10" Type="http://schemas.openxmlformats.org/officeDocument/2006/relationships/comments" Target="comments.xml"/><Relationship Id="rId19" Type="http://schemas.openxmlformats.org/officeDocument/2006/relationships/hyperlink" Target="https://en.wikipedia.org/wiki/PMC_(identifier)" TargetMode="External"/><Relationship Id="rId31" Type="http://schemas.openxmlformats.org/officeDocument/2006/relationships/hyperlink" Target="https://archive.org/details/stevenshandbooke00gall/page/n212"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pecial:BookSources/0-262-62163-0" TargetMode="External"/><Relationship Id="rId22" Type="http://schemas.openxmlformats.org/officeDocument/2006/relationships/hyperlink" Target="https://pubmed.ncbi.nlm.nih.gov/24292232" TargetMode="External"/><Relationship Id="rId27" Type="http://schemas.openxmlformats.org/officeDocument/2006/relationships/hyperlink" Target="https://en.wikipedia.org/wiki/Genetic_memory_(psychology)" TargetMode="External"/><Relationship Id="rId30" Type="http://schemas.openxmlformats.org/officeDocument/2006/relationships/hyperlink" Target="https://archive.org/details/stevenshandbooke00gall" TargetMode="External"/><Relationship Id="rId35" Type="http://schemas.openxmlformats.org/officeDocument/2006/relationships/hyperlink" Target="https://en.wikipedia.org/wiki/ISBN_(identifier)" TargetMode="External"/><Relationship Id="rId43" Type="http://schemas.openxmlformats.org/officeDocument/2006/relationships/hyperlink" Target="https://en.wikipedia.org/wiki/Special:BookSources/158391028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I_of_the_vortex:_from_neurons_to_self" TargetMode="External"/><Relationship Id="rId17" Type="http://schemas.openxmlformats.org/officeDocument/2006/relationships/hyperlink" Target="https://en.wikipedia.org/wiki/Doi_(identifier)" TargetMode="External"/><Relationship Id="rId25" Type="http://schemas.openxmlformats.org/officeDocument/2006/relationships/hyperlink" Target="https://en.wikipedia.org/wiki/Doi_(identifier)" TargetMode="External"/><Relationship Id="rId33" Type="http://schemas.openxmlformats.org/officeDocument/2006/relationships/hyperlink" Target="https://en.wikipedia.org/wiki/Special:BookSources/0-471-65016-1" TargetMode="External"/><Relationship Id="rId38" Type="http://schemas.openxmlformats.org/officeDocument/2006/relationships/hyperlink" Target="https://en.wikipedia.org/wiki/ISBN_(identifier)" TargetMode="External"/><Relationship Id="rId46" Type="http://schemas.microsoft.com/office/2011/relationships/people" Target="people.xml"/><Relationship Id="rId20" Type="http://schemas.openxmlformats.org/officeDocument/2006/relationships/hyperlink" Target="https://www.ncbi.nlm.nih.gov/pmc/articles/PMC3923835" TargetMode="External"/><Relationship Id="rId41" Type="http://schemas.openxmlformats.org/officeDocument/2006/relationships/hyperlink" Target="https://kotaku.com/5901160/the-science-fact-animating-assassins-creeds-ani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b:Tag>
    <b:SourceType>Book</b:SourceType>
    <b:Guid>{AA9E58F7-4719-434A-BB70-E9B9C75EC638}</b:Guid>
    <b:Author>
      <b:Author>
        <b:NameList>
          <b:Person>
            <b:Last>0-262-62163-0.</b:Last>
            <b:First>Rodolfo</b:First>
            <b:Middle>R. Llinas (2001). I of the vortex: from neurons to self. MIT Press. pp. 190–191. ISBN</b:Middle>
          </b:Person>
        </b:NameList>
      </b:Author>
    </b:Author>
    <b:RefOrder>1</b:RefOrder>
  </b:Source>
</b:Sources>
</file>

<file path=customXml/itemProps1.xml><?xml version="1.0" encoding="utf-8"?>
<ds:datastoreItem xmlns:ds="http://schemas.openxmlformats.org/officeDocument/2006/customXml" ds:itemID="{A8CE27D0-A05F-4AAC-BD4B-FC286D1A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Owais ali khan</dc:title>
  <dc:subject/>
  <dc:creator>A@DIL TRADERS</dc:creator>
  <cp:keywords/>
  <dc:description/>
  <cp:lastModifiedBy>A@DIL TRADERS</cp:lastModifiedBy>
  <cp:revision>4</cp:revision>
  <dcterms:created xsi:type="dcterms:W3CDTF">2021-09-19T12:42:00Z</dcterms:created>
  <dcterms:modified xsi:type="dcterms:W3CDTF">2021-09-19T12:52:00Z</dcterms:modified>
</cp:coreProperties>
</file>