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cffogjf8nkya" w:id="0"/>
      <w:bookmarkEnd w:id="0"/>
      <w:r w:rsidDel="00000000" w:rsidR="00000000" w:rsidRPr="00000000">
        <w:rPr>
          <w:rtl w:val="0"/>
        </w:rPr>
        <w:t xml:space="preserve">Non-Technical Executive Summaries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b5o0wvd5n8bm" w:id="1"/>
      <w:bookmarkEnd w:id="1"/>
      <w:r w:rsidDel="00000000" w:rsidR="00000000" w:rsidRPr="00000000">
        <w:rPr>
          <w:rtl w:val="0"/>
        </w:rPr>
        <w:t xml:space="preserve">Project: Travel Behavior Analysis Using The National Household Travel Survey (NHTS) </w:t>
      </w:r>
    </w:p>
    <w:p w:rsidR="00000000" w:rsidDel="00000000" w:rsidP="00000000" w:rsidRDefault="00000000" w:rsidRPr="00000000" w14:paraId="00000004">
      <w:pPr>
        <w:rPr/>
      </w:pPr>
      <w:r w:rsidDel="00000000" w:rsidR="00000000" w:rsidRPr="00000000">
        <w:rPr>
          <w:rtl w:val="0"/>
        </w:rPr>
        <w:t xml:space="preserve">The goal of this project was to examine how people in the Midwest travel and what trends we could find in those trips using the 2022 National Household Travel Survey (NHTS). The two questions that led this research were:  (1) Which households make longer trips, and does the number of family members affect this? And (2) Does the Income level of the household affect the chosen mode of transportation? To create a proper analysis of these two questions, several databases were combined. This analysis showed that the larger the household, the more trips they made, and the more money the household made, there was a dramatic the increase in the number of households that reported having vehicles. By understanding the transportation trends of households in the Midwest, transportation agencies can get a better understanding and make better decisions about road systems, transportation investment, and equitable access to transportation resources. </w:t>
      </w:r>
    </w:p>
    <w:p w:rsidR="00000000" w:rsidDel="00000000" w:rsidP="00000000" w:rsidRDefault="00000000" w:rsidRPr="00000000" w14:paraId="00000005">
      <w:pPr>
        <w:pStyle w:val="Heading1"/>
        <w:rPr/>
      </w:pPr>
      <w:bookmarkStart w:colFirst="0" w:colLast="0" w:name="_kekmvfz4t8z0" w:id="2"/>
      <w:bookmarkEnd w:id="2"/>
      <w:r w:rsidDel="00000000" w:rsidR="00000000" w:rsidRPr="00000000">
        <w:br w:type="pag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