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129DC" w14:textId="77777777" w:rsidR="00DD355D" w:rsidRPr="00DD355D" w:rsidRDefault="00DD355D" w:rsidP="00DD355D">
      <w:pPr>
        <w:spacing w:before="100" w:beforeAutospacing="1" w:after="100" w:afterAutospacing="1"/>
      </w:pPr>
      <w:r w:rsidRPr="00DD355D">
        <w:rPr>
          <w:b/>
          <w:bCs/>
        </w:rPr>
        <w:t>Memo</w:t>
      </w:r>
    </w:p>
    <w:p w14:paraId="301FA262" w14:textId="4E5F6679" w:rsidR="00DD355D" w:rsidRPr="00DD355D" w:rsidRDefault="00DD355D" w:rsidP="00DD355D">
      <w:pPr>
        <w:spacing w:before="100" w:beforeAutospacing="1" w:after="100" w:afterAutospacing="1"/>
      </w:pPr>
      <w:r w:rsidRPr="00DD355D">
        <w:rPr>
          <w:b/>
          <w:bCs/>
        </w:rPr>
        <w:t>To:</w:t>
      </w:r>
      <w:r w:rsidRPr="00DD355D">
        <w:t xml:space="preserve"> Annie Anthony, CFO</w:t>
      </w:r>
      <w:r w:rsidRPr="00DD355D">
        <w:br/>
      </w:r>
      <w:r w:rsidRPr="00DD355D">
        <w:rPr>
          <w:b/>
          <w:bCs/>
        </w:rPr>
        <w:t>From:</w:t>
      </w:r>
      <w:r w:rsidRPr="00DD355D">
        <w:t xml:space="preserve"> </w:t>
      </w:r>
      <w:r w:rsidR="00136A6F">
        <w:t>Alan Howard, Owen Tatlonghari, Svetozar Hristov</w:t>
      </w:r>
      <w:r w:rsidRPr="00DD355D">
        <w:br/>
      </w:r>
      <w:r w:rsidRPr="00DD355D">
        <w:rPr>
          <w:b/>
          <w:bCs/>
        </w:rPr>
        <w:t>Date:</w:t>
      </w:r>
      <w:r w:rsidRPr="00DD355D">
        <w:t xml:space="preserve"> </w:t>
      </w:r>
      <w:r w:rsidR="000A47B9">
        <w:t>03/21/2025</w:t>
      </w:r>
      <w:r w:rsidRPr="00DD355D">
        <w:br/>
      </w:r>
      <w:r w:rsidRPr="00DD355D">
        <w:rPr>
          <w:b/>
          <w:bCs/>
        </w:rPr>
        <w:t>Subject:</w:t>
      </w:r>
      <w:r w:rsidRPr="00DD355D">
        <w:t xml:space="preserve"> ESG Project Evaluation – Analysis and Recommendations</w:t>
      </w:r>
    </w:p>
    <w:p w14:paraId="48A54BB0" w14:textId="7F47FAFD" w:rsidR="00DD355D" w:rsidRPr="00DD355D" w:rsidRDefault="006E4C07" w:rsidP="00DD355D">
      <w:r>
        <w:rPr>
          <w:noProof/>
          <w14:ligatures w14:val="standardContextual"/>
        </w:rPr>
        <w:pict w14:anchorId="4923B755">
          <v:rect id="_x0000_i1025" style="width:468pt;height:.05pt" o:hralign="center" o:hrstd="t" o:hr="t" fillcolor="#a0a0a0" stroked="f"/>
        </w:pict>
      </w:r>
    </w:p>
    <w:p w14:paraId="085580B9" w14:textId="17C6AB17" w:rsidR="00DD355D" w:rsidRPr="00DD355D" w:rsidRDefault="00DD355D" w:rsidP="00DD355D">
      <w:pPr>
        <w:spacing w:before="100" w:beforeAutospacing="1" w:after="100" w:afterAutospacing="1"/>
      </w:pPr>
      <w:r w:rsidRPr="00DD355D">
        <w:rPr>
          <w:b/>
          <w:bCs/>
        </w:rPr>
        <w:t>Introduction</w:t>
      </w:r>
      <w:r w:rsidRPr="00DD355D">
        <w:br/>
        <w:t xml:space="preserve">In this memo, </w:t>
      </w:r>
      <w:r w:rsidR="00C10C65">
        <w:t>we</w:t>
      </w:r>
      <w:r w:rsidRPr="00DD355D">
        <w:t xml:space="preserve"> will address the various questions outlined in your request, providing a detailed analysis of the ESG project under consideration. Our group has evaluated the potential business opportunity and the financial implications of the project, incorporating both quantitative and qualitative factors. Below is an outline of the questions I will address in this memo.</w:t>
      </w:r>
    </w:p>
    <w:p w14:paraId="5337EE41" w14:textId="0774C110" w:rsidR="00DD355D" w:rsidRPr="00DD355D" w:rsidRDefault="006E4C07" w:rsidP="00DD355D">
      <w:r>
        <w:rPr>
          <w:noProof/>
          <w14:ligatures w14:val="standardContextual"/>
        </w:rPr>
        <w:pict w14:anchorId="72DE4C26">
          <v:rect id="_x0000_i1026" style="width:468pt;height:.05pt" o:hralign="center" o:hrstd="t" o:hr="t" fillcolor="#a0a0a0" stroked="f"/>
        </w:pict>
      </w:r>
    </w:p>
    <w:p w14:paraId="23BC2488"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1. What is your qualitative assessment of Liz’s current and prospective business? Was Liz well positioned for success?</w:t>
      </w:r>
    </w:p>
    <w:p w14:paraId="037FCA6B" w14:textId="663F5344" w:rsidR="002578EE" w:rsidRDefault="002578EE" w:rsidP="002578EE">
      <w:pPr>
        <w:pStyle w:val="NormalWeb"/>
      </w:pPr>
      <w:r>
        <w:t>Liz Motor Corp. has the potential for a strong business model, but its current industry is highly competitive and expensive, making survival difficult. The automotive sector is saturated, and it’s challenging to implement new innovations without other companies quickly copying and improving upon them. As a relatively new company, Liz likely has fewer resources to invest in risky projects compared to larger competitors, so it must be very strategic and calculated with its investments in new technology. At the same time, environmental and political concerns heavily influence a company’s image, both with investors and the public, leaving little room for error in certain areas. These challenges make it difficult for Liz to position itself for success, and the company faces tough odds to overcome.</w:t>
      </w:r>
    </w:p>
    <w:p w14:paraId="34AD2747" w14:textId="251F2DC0" w:rsidR="00DD355D" w:rsidRPr="00DD355D" w:rsidRDefault="006E4C07" w:rsidP="00DD355D">
      <w:r>
        <w:rPr>
          <w:noProof/>
          <w14:ligatures w14:val="standardContextual"/>
        </w:rPr>
        <w:pict w14:anchorId="3A174BDD">
          <v:rect id="_x0000_i1027" style="width:468pt;height:.05pt" o:hralign="center" o:hrstd="t" o:hr="t" fillcolor="#a0a0a0" stroked="f"/>
        </w:pict>
      </w:r>
    </w:p>
    <w:p w14:paraId="71C89D51"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2. Why was Anthony considering this ESG project? What criteria should she use for evaluation?</w:t>
      </w:r>
    </w:p>
    <w:p w14:paraId="3848140D" w14:textId="7C1A6579" w:rsidR="00DD355D" w:rsidRPr="00DD355D" w:rsidRDefault="008E7E91" w:rsidP="00DD355D">
      <w:pPr>
        <w:spacing w:before="100" w:beforeAutospacing="1" w:after="100" w:afterAutospacing="1"/>
      </w:pPr>
      <w:r>
        <w:t xml:space="preserve">Anthony is considering this project to </w:t>
      </w:r>
      <w:r w:rsidR="00D258C7">
        <w:t xml:space="preserve">try and </w:t>
      </w:r>
      <w:r w:rsidR="00EA66C3">
        <w:t xml:space="preserve">raise Liz Motor Corp.’s ESG rankings after a disappointing </w:t>
      </w:r>
      <w:r w:rsidR="004B249F">
        <w:t xml:space="preserve">2022. After stock price dropped 6.2 percent, the shareholders of Liz Motor Corp. asked </w:t>
      </w:r>
      <w:r w:rsidR="00E03EC7">
        <w:t xml:space="preserve">its CEO and CFO (Anthony) to invest more </w:t>
      </w:r>
      <w:r w:rsidR="00D33ED3">
        <w:t xml:space="preserve">into ensuring 2023 has better results. Criteria that </w:t>
      </w:r>
      <w:r w:rsidR="005A3C1A">
        <w:t>must</w:t>
      </w:r>
      <w:r w:rsidR="00D33ED3">
        <w:t xml:space="preserve"> be used in evaluation include:</w:t>
      </w:r>
      <w:r w:rsidR="00112989">
        <w:t xml:space="preserve"> </w:t>
      </w:r>
      <w:r w:rsidR="006B1B80">
        <w:t>Industr</w:t>
      </w:r>
      <w:r w:rsidR="00E1068B">
        <w:t xml:space="preserve">y and </w:t>
      </w:r>
      <w:r w:rsidR="00A734DD">
        <w:t>Market</w:t>
      </w:r>
      <w:r w:rsidR="006B1B80">
        <w:t xml:space="preserve"> Trends; </w:t>
      </w:r>
      <w:r w:rsidR="00991766">
        <w:t xml:space="preserve">Money Lending Rates; </w:t>
      </w:r>
      <w:r w:rsidR="00455B2D">
        <w:t xml:space="preserve">Investment Total; </w:t>
      </w:r>
      <w:r w:rsidR="00840335">
        <w:t>Investment Return Amount</w:t>
      </w:r>
      <w:r w:rsidR="00E1068B">
        <w:t xml:space="preserve"> and </w:t>
      </w:r>
      <w:r w:rsidR="00840335">
        <w:t xml:space="preserve">Time; </w:t>
      </w:r>
      <w:r w:rsidR="00A734DD">
        <w:t>Technological Innovation</w:t>
      </w:r>
      <w:r w:rsidR="00E1068B">
        <w:t xml:space="preserve"> Possibilities and Timeline</w:t>
      </w:r>
      <w:r w:rsidR="00567530">
        <w:t>; Probable Outcome Ceilings and Floors.</w:t>
      </w:r>
    </w:p>
    <w:p w14:paraId="403618A7" w14:textId="382AD54C" w:rsidR="00DD355D" w:rsidRPr="00DD355D" w:rsidRDefault="006E4C07" w:rsidP="00DD355D">
      <w:r>
        <w:rPr>
          <w:noProof/>
          <w14:ligatures w14:val="standardContextual"/>
        </w:rPr>
        <w:pict w14:anchorId="4F778013">
          <v:rect id="_x0000_i1028" style="width:468pt;height:.05pt" o:hralign="center" o:hrstd="t" o:hr="t" fillcolor="#a0a0a0" stroked="f"/>
        </w:pict>
      </w:r>
    </w:p>
    <w:p w14:paraId="765CA804"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3. What hurdle rate would you use for this project?</w:t>
      </w:r>
    </w:p>
    <w:p w14:paraId="1A1D13D8" w14:textId="5B925AE7" w:rsidR="07D47E3A" w:rsidRDefault="07D47E3A" w:rsidP="01EECEF4">
      <w:pPr>
        <w:spacing w:beforeAutospacing="1" w:afterAutospacing="1" w:line="259" w:lineRule="auto"/>
      </w:pPr>
      <w:r w:rsidRPr="01EECEF4">
        <w:t xml:space="preserve">We will be using the given rate of 8% for this project. </w:t>
      </w:r>
    </w:p>
    <w:p w14:paraId="1F0DE464" w14:textId="5E45A770" w:rsidR="00DD355D" w:rsidRPr="00DD355D" w:rsidRDefault="006E4C07" w:rsidP="00DD355D">
      <w:r>
        <w:rPr>
          <w:noProof/>
          <w14:ligatures w14:val="standardContextual"/>
        </w:rPr>
        <w:pict w14:anchorId="65D4C666">
          <v:rect id="_x0000_i1029" style="width:468pt;height:.05pt" o:hralign="center" o:hrstd="t" o:hr="t" fillcolor="#a0a0a0" stroked="f"/>
        </w:pict>
      </w:r>
    </w:p>
    <w:p w14:paraId="72FF7FFB"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4. Base model: project the cashflows for 2023 – 2035 and evaluate the investment decision by calculating the NPV, payback period, IRR, and PI.</w:t>
      </w:r>
    </w:p>
    <w:p w14:paraId="4EDDAE1A" w14:textId="22C5A8AC" w:rsidR="00DD355D" w:rsidRDefault="002C3992" w:rsidP="00DD355D">
      <w:pPr>
        <w:spacing w:before="100" w:beforeAutospacing="1" w:after="100" w:afterAutospacing="1"/>
      </w:pPr>
      <w:r>
        <w:t xml:space="preserve">Cash Flows: </w:t>
      </w:r>
    </w:p>
    <w:tbl>
      <w:tblPr>
        <w:tblStyle w:val="TableGrid"/>
        <w:tblW w:w="0" w:type="auto"/>
        <w:tblLook w:val="04A0" w:firstRow="1" w:lastRow="0" w:firstColumn="1" w:lastColumn="0" w:noHBand="0" w:noVBand="1"/>
      </w:tblPr>
      <w:tblGrid>
        <w:gridCol w:w="766"/>
        <w:gridCol w:w="729"/>
        <w:gridCol w:w="730"/>
        <w:gridCol w:w="730"/>
        <w:gridCol w:w="730"/>
        <w:gridCol w:w="722"/>
        <w:gridCol w:w="722"/>
        <w:gridCol w:w="722"/>
        <w:gridCol w:w="722"/>
        <w:gridCol w:w="722"/>
        <w:gridCol w:w="685"/>
        <w:gridCol w:w="685"/>
        <w:gridCol w:w="685"/>
      </w:tblGrid>
      <w:tr w:rsidR="00DE1B9C" w14:paraId="282258FF" w14:textId="77777777" w:rsidTr="00A42C05">
        <w:tc>
          <w:tcPr>
            <w:tcW w:w="737" w:type="dxa"/>
          </w:tcPr>
          <w:p w14:paraId="4777B9F0" w14:textId="24D790AF" w:rsidR="00A42C05" w:rsidRPr="00DE1B9C" w:rsidRDefault="00A42C05" w:rsidP="00DD355D">
            <w:pPr>
              <w:spacing w:before="100" w:beforeAutospacing="1" w:after="100" w:afterAutospacing="1"/>
              <w:rPr>
                <w:sz w:val="18"/>
                <w:szCs w:val="18"/>
              </w:rPr>
            </w:pPr>
            <w:r w:rsidRPr="00DE1B9C">
              <w:rPr>
                <w:sz w:val="18"/>
                <w:szCs w:val="18"/>
              </w:rPr>
              <w:t>Year 0</w:t>
            </w:r>
          </w:p>
        </w:tc>
        <w:tc>
          <w:tcPr>
            <w:tcW w:w="737" w:type="dxa"/>
          </w:tcPr>
          <w:p w14:paraId="57250AE5" w14:textId="342AB96D" w:rsidR="00A42C05" w:rsidRPr="00DE1B9C" w:rsidRDefault="00A42C05" w:rsidP="00DD355D">
            <w:pPr>
              <w:spacing w:before="100" w:beforeAutospacing="1" w:after="100" w:afterAutospacing="1"/>
              <w:rPr>
                <w:sz w:val="18"/>
                <w:szCs w:val="18"/>
              </w:rPr>
            </w:pPr>
            <w:r w:rsidRPr="00DE1B9C">
              <w:rPr>
                <w:sz w:val="18"/>
                <w:szCs w:val="18"/>
              </w:rPr>
              <w:t>Year 1</w:t>
            </w:r>
          </w:p>
        </w:tc>
        <w:tc>
          <w:tcPr>
            <w:tcW w:w="736" w:type="dxa"/>
          </w:tcPr>
          <w:p w14:paraId="431FE3CF" w14:textId="666ED4B1" w:rsidR="00A42C05" w:rsidRPr="00DE1B9C" w:rsidRDefault="00A42C05" w:rsidP="00DD355D">
            <w:pPr>
              <w:spacing w:before="100" w:beforeAutospacing="1" w:after="100" w:afterAutospacing="1"/>
              <w:rPr>
                <w:sz w:val="18"/>
                <w:szCs w:val="18"/>
              </w:rPr>
            </w:pPr>
            <w:r w:rsidRPr="00DE1B9C">
              <w:rPr>
                <w:sz w:val="18"/>
                <w:szCs w:val="18"/>
              </w:rPr>
              <w:t>Year 2</w:t>
            </w:r>
          </w:p>
        </w:tc>
        <w:tc>
          <w:tcPr>
            <w:tcW w:w="735" w:type="dxa"/>
          </w:tcPr>
          <w:p w14:paraId="39735644" w14:textId="2EC96DDD" w:rsidR="00A42C05" w:rsidRPr="00DE1B9C" w:rsidRDefault="00A42C05" w:rsidP="00DD355D">
            <w:pPr>
              <w:spacing w:before="100" w:beforeAutospacing="1" w:after="100" w:afterAutospacing="1"/>
              <w:rPr>
                <w:sz w:val="18"/>
                <w:szCs w:val="18"/>
              </w:rPr>
            </w:pPr>
            <w:r w:rsidRPr="00DE1B9C">
              <w:rPr>
                <w:sz w:val="18"/>
                <w:szCs w:val="18"/>
              </w:rPr>
              <w:t>Year 3</w:t>
            </w:r>
          </w:p>
        </w:tc>
        <w:tc>
          <w:tcPr>
            <w:tcW w:w="735" w:type="dxa"/>
          </w:tcPr>
          <w:p w14:paraId="18C12EEB" w14:textId="784095C6" w:rsidR="00A42C05" w:rsidRPr="00DE1B9C" w:rsidRDefault="00A42C05" w:rsidP="00DD355D">
            <w:pPr>
              <w:spacing w:before="100" w:beforeAutospacing="1" w:after="100" w:afterAutospacing="1"/>
              <w:rPr>
                <w:sz w:val="18"/>
                <w:szCs w:val="18"/>
              </w:rPr>
            </w:pPr>
            <w:r w:rsidRPr="00DE1B9C">
              <w:rPr>
                <w:sz w:val="18"/>
                <w:szCs w:val="18"/>
              </w:rPr>
              <w:t>Year 4</w:t>
            </w:r>
          </w:p>
        </w:tc>
        <w:tc>
          <w:tcPr>
            <w:tcW w:w="735" w:type="dxa"/>
          </w:tcPr>
          <w:p w14:paraId="4631BA66" w14:textId="2CF941F9" w:rsidR="00A42C05" w:rsidRPr="00DE1B9C" w:rsidRDefault="00A42C05" w:rsidP="00DD355D">
            <w:pPr>
              <w:spacing w:before="100" w:beforeAutospacing="1" w:after="100" w:afterAutospacing="1"/>
              <w:rPr>
                <w:sz w:val="18"/>
                <w:szCs w:val="18"/>
              </w:rPr>
            </w:pPr>
            <w:r w:rsidRPr="00DE1B9C">
              <w:rPr>
                <w:sz w:val="18"/>
                <w:szCs w:val="18"/>
              </w:rPr>
              <w:t>Year 5</w:t>
            </w:r>
          </w:p>
        </w:tc>
        <w:tc>
          <w:tcPr>
            <w:tcW w:w="735" w:type="dxa"/>
          </w:tcPr>
          <w:p w14:paraId="7CC8AA66" w14:textId="2E494D3A" w:rsidR="00A42C05" w:rsidRPr="00DE1B9C" w:rsidRDefault="00A42C05" w:rsidP="00DD355D">
            <w:pPr>
              <w:spacing w:before="100" w:beforeAutospacing="1" w:after="100" w:afterAutospacing="1"/>
              <w:rPr>
                <w:sz w:val="18"/>
                <w:szCs w:val="18"/>
              </w:rPr>
            </w:pPr>
            <w:r w:rsidRPr="00DE1B9C">
              <w:rPr>
                <w:sz w:val="18"/>
                <w:szCs w:val="18"/>
              </w:rPr>
              <w:t>Year 6</w:t>
            </w:r>
          </w:p>
        </w:tc>
        <w:tc>
          <w:tcPr>
            <w:tcW w:w="735" w:type="dxa"/>
          </w:tcPr>
          <w:p w14:paraId="393E18F8" w14:textId="026CFCC0" w:rsidR="00A42C05" w:rsidRPr="00DE1B9C" w:rsidRDefault="00A42C05" w:rsidP="00DD355D">
            <w:pPr>
              <w:spacing w:before="100" w:beforeAutospacing="1" w:after="100" w:afterAutospacing="1"/>
              <w:rPr>
                <w:sz w:val="18"/>
                <w:szCs w:val="18"/>
              </w:rPr>
            </w:pPr>
            <w:r w:rsidRPr="00DE1B9C">
              <w:rPr>
                <w:sz w:val="18"/>
                <w:szCs w:val="18"/>
              </w:rPr>
              <w:t>Year 7</w:t>
            </w:r>
          </w:p>
        </w:tc>
        <w:tc>
          <w:tcPr>
            <w:tcW w:w="735" w:type="dxa"/>
          </w:tcPr>
          <w:p w14:paraId="1E50BCFC" w14:textId="60626431" w:rsidR="00A42C05" w:rsidRPr="00DE1B9C" w:rsidRDefault="00A42C05" w:rsidP="00DD355D">
            <w:pPr>
              <w:spacing w:before="100" w:beforeAutospacing="1" w:after="100" w:afterAutospacing="1"/>
              <w:rPr>
                <w:sz w:val="18"/>
                <w:szCs w:val="18"/>
              </w:rPr>
            </w:pPr>
            <w:r w:rsidRPr="00DE1B9C">
              <w:rPr>
                <w:sz w:val="18"/>
                <w:szCs w:val="18"/>
              </w:rPr>
              <w:t>Year 8</w:t>
            </w:r>
          </w:p>
        </w:tc>
        <w:tc>
          <w:tcPr>
            <w:tcW w:w="735" w:type="dxa"/>
          </w:tcPr>
          <w:p w14:paraId="74A14DFD" w14:textId="1AAF14F7" w:rsidR="00A42C05" w:rsidRPr="00DE1B9C" w:rsidRDefault="00A42C05" w:rsidP="00DD355D">
            <w:pPr>
              <w:spacing w:before="100" w:beforeAutospacing="1" w:after="100" w:afterAutospacing="1"/>
              <w:rPr>
                <w:sz w:val="18"/>
                <w:szCs w:val="18"/>
              </w:rPr>
            </w:pPr>
            <w:r w:rsidRPr="00DE1B9C">
              <w:rPr>
                <w:sz w:val="18"/>
                <w:szCs w:val="18"/>
              </w:rPr>
              <w:t>Year 9</w:t>
            </w:r>
          </w:p>
        </w:tc>
        <w:tc>
          <w:tcPr>
            <w:tcW w:w="735" w:type="dxa"/>
          </w:tcPr>
          <w:p w14:paraId="3CCB6B0F" w14:textId="67FF40F9" w:rsidR="00A42C05" w:rsidRPr="00DE1B9C" w:rsidRDefault="00A42C05" w:rsidP="00DD355D">
            <w:pPr>
              <w:spacing w:before="100" w:beforeAutospacing="1" w:after="100" w:afterAutospacing="1"/>
              <w:rPr>
                <w:sz w:val="18"/>
                <w:szCs w:val="18"/>
              </w:rPr>
            </w:pPr>
            <w:r w:rsidRPr="00DE1B9C">
              <w:rPr>
                <w:sz w:val="18"/>
                <w:szCs w:val="18"/>
              </w:rPr>
              <w:t>Year 10</w:t>
            </w:r>
          </w:p>
        </w:tc>
        <w:tc>
          <w:tcPr>
            <w:tcW w:w="525" w:type="dxa"/>
          </w:tcPr>
          <w:p w14:paraId="0AB50C38" w14:textId="6CC1CB0A" w:rsidR="00A42C05" w:rsidRPr="00DE1B9C" w:rsidRDefault="00A42C05" w:rsidP="00DD355D">
            <w:pPr>
              <w:spacing w:before="100" w:beforeAutospacing="1" w:after="100" w:afterAutospacing="1"/>
              <w:rPr>
                <w:sz w:val="18"/>
                <w:szCs w:val="18"/>
              </w:rPr>
            </w:pPr>
            <w:r w:rsidRPr="00DE1B9C">
              <w:rPr>
                <w:sz w:val="18"/>
                <w:szCs w:val="18"/>
              </w:rPr>
              <w:t>Year 11</w:t>
            </w:r>
          </w:p>
        </w:tc>
        <w:tc>
          <w:tcPr>
            <w:tcW w:w="735" w:type="dxa"/>
          </w:tcPr>
          <w:p w14:paraId="1A6ECFB0" w14:textId="0066DF88" w:rsidR="00A42C05" w:rsidRPr="00DE1B9C" w:rsidRDefault="00A42C05" w:rsidP="00DD355D">
            <w:pPr>
              <w:spacing w:before="100" w:beforeAutospacing="1" w:after="100" w:afterAutospacing="1"/>
              <w:rPr>
                <w:sz w:val="18"/>
                <w:szCs w:val="18"/>
              </w:rPr>
            </w:pPr>
            <w:r w:rsidRPr="00DE1B9C">
              <w:rPr>
                <w:sz w:val="18"/>
                <w:szCs w:val="18"/>
              </w:rPr>
              <w:t>Year 12</w:t>
            </w:r>
          </w:p>
        </w:tc>
      </w:tr>
      <w:tr w:rsidR="00DE1B9C" w14:paraId="5B9B1C5B" w14:textId="77777777" w:rsidTr="00A42C05">
        <w:tc>
          <w:tcPr>
            <w:tcW w:w="737" w:type="dxa"/>
          </w:tcPr>
          <w:p w14:paraId="76B73E81"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$(800,000,000.00)</w:t>
            </w:r>
          </w:p>
          <w:p w14:paraId="48BD021B" w14:textId="02AE9FEB" w:rsidR="00A42C05" w:rsidRPr="00DE1B9C" w:rsidRDefault="00A42C05" w:rsidP="00DD355D">
            <w:pPr>
              <w:spacing w:before="100" w:beforeAutospacing="1" w:after="100" w:afterAutospacing="1"/>
              <w:rPr>
                <w:sz w:val="13"/>
                <w:szCs w:val="13"/>
              </w:rPr>
            </w:pPr>
          </w:p>
        </w:tc>
        <w:tc>
          <w:tcPr>
            <w:tcW w:w="737" w:type="dxa"/>
          </w:tcPr>
          <w:p w14:paraId="365B4373"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$(18,518,518.52)</w:t>
            </w:r>
          </w:p>
          <w:p w14:paraId="1606ACFD" w14:textId="7819D107" w:rsidR="00A42C05" w:rsidRPr="00DE1B9C" w:rsidRDefault="00A42C05" w:rsidP="00DD355D">
            <w:pPr>
              <w:spacing w:before="100" w:beforeAutospacing="1" w:after="100" w:afterAutospacing="1"/>
              <w:rPr>
                <w:sz w:val="13"/>
                <w:szCs w:val="13"/>
              </w:rPr>
            </w:pPr>
          </w:p>
        </w:tc>
        <w:tc>
          <w:tcPr>
            <w:tcW w:w="736" w:type="dxa"/>
          </w:tcPr>
          <w:p w14:paraId="30DF19BB" w14:textId="77777777" w:rsidR="00ED664D" w:rsidRPr="00DE1B9C" w:rsidRDefault="00ED664D" w:rsidP="00ED664D">
            <w:pPr>
              <w:rPr>
                <w:rFonts w:ascii="Aptos Narrow" w:hAnsi="Aptos Narrow"/>
                <w:color w:val="000000"/>
                <w:sz w:val="13"/>
                <w:szCs w:val="13"/>
              </w:rPr>
            </w:pPr>
            <w:r w:rsidRPr="00DE1B9C">
              <w:rPr>
                <w:rFonts w:ascii="Aptos Narrow" w:hAnsi="Aptos Narrow"/>
                <w:color w:val="000000"/>
                <w:sz w:val="13"/>
                <w:szCs w:val="13"/>
              </w:rPr>
              <w:t>$(17,146,776.41)</w:t>
            </w:r>
          </w:p>
          <w:p w14:paraId="19271DF6" w14:textId="65B3DC2B" w:rsidR="00A42C05" w:rsidRPr="00DE1B9C" w:rsidRDefault="00A42C05" w:rsidP="00DD355D">
            <w:pPr>
              <w:spacing w:before="100" w:beforeAutospacing="1" w:after="100" w:afterAutospacing="1"/>
              <w:rPr>
                <w:sz w:val="13"/>
                <w:szCs w:val="13"/>
              </w:rPr>
            </w:pPr>
          </w:p>
        </w:tc>
        <w:tc>
          <w:tcPr>
            <w:tcW w:w="735" w:type="dxa"/>
          </w:tcPr>
          <w:p w14:paraId="4140470D" w14:textId="77777777" w:rsidR="00ED664D" w:rsidRPr="00DE1B9C" w:rsidRDefault="00ED664D" w:rsidP="00ED664D">
            <w:pPr>
              <w:rPr>
                <w:rFonts w:ascii="Aptos Narrow" w:hAnsi="Aptos Narrow"/>
                <w:color w:val="000000"/>
                <w:sz w:val="13"/>
                <w:szCs w:val="13"/>
              </w:rPr>
            </w:pPr>
            <w:r w:rsidRPr="00DE1B9C">
              <w:rPr>
                <w:rFonts w:ascii="Aptos Narrow" w:hAnsi="Aptos Narrow"/>
                <w:color w:val="000000"/>
                <w:sz w:val="13"/>
                <w:szCs w:val="13"/>
              </w:rPr>
              <w:t>$(15,876,644.82)</w:t>
            </w:r>
          </w:p>
          <w:p w14:paraId="0CB514C0" w14:textId="21F2D320" w:rsidR="00A42C05" w:rsidRPr="00DE1B9C" w:rsidRDefault="00A42C05" w:rsidP="00DD355D">
            <w:pPr>
              <w:spacing w:before="100" w:beforeAutospacing="1" w:after="100" w:afterAutospacing="1"/>
              <w:rPr>
                <w:sz w:val="13"/>
                <w:szCs w:val="13"/>
              </w:rPr>
            </w:pPr>
          </w:p>
        </w:tc>
        <w:tc>
          <w:tcPr>
            <w:tcW w:w="735" w:type="dxa"/>
          </w:tcPr>
          <w:p w14:paraId="7BED937B"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$(14,700,597.06)</w:t>
            </w:r>
          </w:p>
          <w:p w14:paraId="19E9CDF0" w14:textId="77777777" w:rsidR="00A42C05" w:rsidRPr="00DE1B9C" w:rsidRDefault="00A42C05" w:rsidP="00DD355D">
            <w:pPr>
              <w:spacing w:before="100" w:beforeAutospacing="1" w:after="100" w:afterAutospacing="1"/>
              <w:rPr>
                <w:sz w:val="13"/>
                <w:szCs w:val="13"/>
              </w:rPr>
            </w:pPr>
          </w:p>
        </w:tc>
        <w:tc>
          <w:tcPr>
            <w:tcW w:w="735" w:type="dxa"/>
          </w:tcPr>
          <w:p w14:paraId="6C1A7EBC"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$136,116,639.41 </w:t>
            </w:r>
          </w:p>
          <w:p w14:paraId="398E2EE7" w14:textId="77777777" w:rsidR="00A42C05" w:rsidRPr="00DE1B9C" w:rsidRDefault="00A42C05" w:rsidP="00DD355D">
            <w:pPr>
              <w:spacing w:before="100" w:beforeAutospacing="1" w:after="100" w:afterAutospacing="1"/>
              <w:rPr>
                <w:sz w:val="13"/>
                <w:szCs w:val="13"/>
              </w:rPr>
            </w:pPr>
          </w:p>
        </w:tc>
        <w:tc>
          <w:tcPr>
            <w:tcW w:w="735" w:type="dxa"/>
          </w:tcPr>
          <w:p w14:paraId="710F7E07"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$126,033,925.38 </w:t>
            </w:r>
          </w:p>
          <w:p w14:paraId="1EAA2F08" w14:textId="77777777" w:rsidR="00A42C05" w:rsidRPr="00DE1B9C" w:rsidRDefault="00A42C05" w:rsidP="00DD355D">
            <w:pPr>
              <w:spacing w:before="100" w:beforeAutospacing="1" w:after="100" w:afterAutospacing="1"/>
              <w:rPr>
                <w:sz w:val="13"/>
                <w:szCs w:val="13"/>
              </w:rPr>
            </w:pPr>
          </w:p>
        </w:tc>
        <w:tc>
          <w:tcPr>
            <w:tcW w:w="735" w:type="dxa"/>
          </w:tcPr>
          <w:p w14:paraId="747304CD"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$116,698,079.05 </w:t>
            </w:r>
          </w:p>
          <w:p w14:paraId="01DB1AF4" w14:textId="77777777" w:rsidR="00A42C05" w:rsidRPr="00DE1B9C" w:rsidRDefault="00A42C05" w:rsidP="00DD355D">
            <w:pPr>
              <w:spacing w:before="100" w:beforeAutospacing="1" w:after="100" w:afterAutospacing="1"/>
              <w:rPr>
                <w:sz w:val="13"/>
                <w:szCs w:val="13"/>
              </w:rPr>
            </w:pPr>
          </w:p>
        </w:tc>
        <w:tc>
          <w:tcPr>
            <w:tcW w:w="735" w:type="dxa"/>
          </w:tcPr>
          <w:p w14:paraId="7551D54C"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$108,053,776.90 </w:t>
            </w:r>
          </w:p>
          <w:p w14:paraId="4DA5BC56" w14:textId="77777777" w:rsidR="00A42C05" w:rsidRPr="00DE1B9C" w:rsidRDefault="00A42C05" w:rsidP="00DD355D">
            <w:pPr>
              <w:spacing w:before="100" w:beforeAutospacing="1" w:after="100" w:afterAutospacing="1"/>
              <w:rPr>
                <w:sz w:val="13"/>
                <w:szCs w:val="13"/>
              </w:rPr>
            </w:pPr>
          </w:p>
        </w:tc>
        <w:tc>
          <w:tcPr>
            <w:tcW w:w="735" w:type="dxa"/>
          </w:tcPr>
          <w:p w14:paraId="77041E16"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$100,049,793.43 </w:t>
            </w:r>
          </w:p>
          <w:p w14:paraId="223FE590" w14:textId="77777777" w:rsidR="00A42C05" w:rsidRPr="00DE1B9C" w:rsidRDefault="00A42C05" w:rsidP="00DD355D">
            <w:pPr>
              <w:spacing w:before="100" w:beforeAutospacing="1" w:after="100" w:afterAutospacing="1"/>
              <w:rPr>
                <w:sz w:val="13"/>
                <w:szCs w:val="13"/>
              </w:rPr>
            </w:pPr>
          </w:p>
        </w:tc>
        <w:tc>
          <w:tcPr>
            <w:tcW w:w="735" w:type="dxa"/>
          </w:tcPr>
          <w:p w14:paraId="736C87AF"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$92,638,697.62 </w:t>
            </w:r>
          </w:p>
          <w:p w14:paraId="7A4B6F91" w14:textId="77777777" w:rsidR="00A42C05" w:rsidRPr="00DE1B9C" w:rsidRDefault="00A42C05" w:rsidP="00DD355D">
            <w:pPr>
              <w:spacing w:before="100" w:beforeAutospacing="1" w:after="100" w:afterAutospacing="1"/>
              <w:rPr>
                <w:sz w:val="13"/>
                <w:szCs w:val="13"/>
              </w:rPr>
            </w:pPr>
          </w:p>
        </w:tc>
        <w:tc>
          <w:tcPr>
            <w:tcW w:w="525" w:type="dxa"/>
          </w:tcPr>
          <w:p w14:paraId="004F8746"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$85,776,571.87 </w:t>
            </w:r>
          </w:p>
          <w:p w14:paraId="5DDB656E" w14:textId="77777777" w:rsidR="00A42C05" w:rsidRPr="00DE1B9C" w:rsidRDefault="00A42C05" w:rsidP="00DD355D">
            <w:pPr>
              <w:spacing w:before="100" w:beforeAutospacing="1" w:after="100" w:afterAutospacing="1"/>
              <w:rPr>
                <w:sz w:val="13"/>
                <w:szCs w:val="13"/>
              </w:rPr>
            </w:pPr>
          </w:p>
        </w:tc>
        <w:tc>
          <w:tcPr>
            <w:tcW w:w="735" w:type="dxa"/>
          </w:tcPr>
          <w:p w14:paraId="43A36DFE" w14:textId="77777777" w:rsidR="00DE1B9C" w:rsidRPr="00DE1B9C" w:rsidRDefault="00DE1B9C" w:rsidP="00DE1B9C">
            <w:pPr>
              <w:rPr>
                <w:rFonts w:ascii="Aptos Narrow" w:hAnsi="Aptos Narrow"/>
                <w:color w:val="000000"/>
                <w:sz w:val="13"/>
                <w:szCs w:val="13"/>
              </w:rPr>
            </w:pPr>
            <w:r w:rsidRPr="00DE1B9C">
              <w:rPr>
                <w:rFonts w:ascii="Aptos Narrow" w:hAnsi="Aptos Narrow"/>
                <w:color w:val="000000"/>
                <w:sz w:val="13"/>
                <w:szCs w:val="13"/>
              </w:rPr>
              <w:t xml:space="preserve">$79,422,751.73 </w:t>
            </w:r>
          </w:p>
          <w:p w14:paraId="6A3703D6" w14:textId="5D1A87DF" w:rsidR="00A42C05" w:rsidRPr="00DE1B9C" w:rsidRDefault="00A42C05" w:rsidP="00DD355D">
            <w:pPr>
              <w:spacing w:before="100" w:beforeAutospacing="1" w:after="100" w:afterAutospacing="1"/>
              <w:rPr>
                <w:sz w:val="13"/>
                <w:szCs w:val="13"/>
              </w:rPr>
            </w:pPr>
          </w:p>
        </w:tc>
      </w:tr>
    </w:tbl>
    <w:p w14:paraId="434A571B" w14:textId="77777777" w:rsidR="0017329B" w:rsidRDefault="0017329B" w:rsidP="0017329B"/>
    <w:p w14:paraId="1580D3B8" w14:textId="65DA17ED" w:rsidR="0017329B" w:rsidRPr="0017329B" w:rsidRDefault="0017329B" w:rsidP="0017329B">
      <w:pPr>
        <w:rPr>
          <w:rFonts w:ascii="Aptos Narrow" w:hAnsi="Aptos Narrow"/>
          <w:color w:val="000000"/>
          <w:sz w:val="22"/>
          <w:szCs w:val="22"/>
        </w:rPr>
      </w:pPr>
      <w:r>
        <w:t xml:space="preserve">NPV: </w:t>
      </w:r>
      <w:r w:rsidR="00A90228">
        <w:rPr>
          <w:rFonts w:ascii="Aptos Narrow" w:hAnsi="Aptos Narrow"/>
          <w:color w:val="000000"/>
          <w:sz w:val="22"/>
          <w:szCs w:val="22"/>
        </w:rPr>
        <w:t>$(21,452,301.42)</w:t>
      </w:r>
    </w:p>
    <w:p w14:paraId="5D30BE4A" w14:textId="5770A0FB" w:rsidR="0017329B" w:rsidRPr="00406369" w:rsidRDefault="0017329B" w:rsidP="0017329B">
      <w:pPr>
        <w:rPr>
          <w:rFonts w:ascii="Aptos Narrow" w:hAnsi="Aptos Narrow"/>
          <w:color w:val="000000"/>
          <w:sz w:val="22"/>
          <w:szCs w:val="22"/>
        </w:rPr>
      </w:pPr>
      <w:r>
        <w:t>IRR:</w:t>
      </w:r>
      <w:r w:rsidR="00406369">
        <w:t xml:space="preserve"> </w:t>
      </w:r>
      <w:r w:rsidR="00406369" w:rsidRPr="00406369">
        <w:rPr>
          <w:rFonts w:ascii="Aptos Narrow" w:hAnsi="Aptos Narrow"/>
          <w:color w:val="000000"/>
          <w:sz w:val="22"/>
          <w:szCs w:val="22"/>
        </w:rPr>
        <w:t>0.076586755</w:t>
      </w:r>
    </w:p>
    <w:p w14:paraId="3D08DD68" w14:textId="5EB1FCFD" w:rsidR="00406369" w:rsidRDefault="0017329B" w:rsidP="00406369">
      <w:pPr>
        <w:rPr>
          <w:rFonts w:ascii="Aptos Narrow" w:hAnsi="Aptos Narrow"/>
          <w:color w:val="000000"/>
          <w:sz w:val="22"/>
          <w:szCs w:val="22"/>
        </w:rPr>
      </w:pPr>
      <w:r>
        <w:t>PI:</w:t>
      </w:r>
      <w:r w:rsidR="00406369" w:rsidRPr="00406369">
        <w:rPr>
          <w:rFonts w:ascii="Aptos Narrow" w:hAnsi="Aptos Narrow"/>
          <w:color w:val="000000"/>
          <w:sz w:val="22"/>
          <w:szCs w:val="22"/>
        </w:rPr>
        <w:t xml:space="preserve"> 0.9</w:t>
      </w:r>
      <w:r w:rsidR="4899D4B4" w:rsidRPr="00406369">
        <w:rPr>
          <w:rFonts w:ascii="Aptos Narrow" w:hAnsi="Aptos Narrow"/>
          <w:color w:val="000000"/>
          <w:sz w:val="22"/>
          <w:szCs w:val="22"/>
        </w:rPr>
        <w:t>7</w:t>
      </w:r>
    </w:p>
    <w:p w14:paraId="0A692D28" w14:textId="77777777" w:rsidR="00100DB7" w:rsidRDefault="00100DB7" w:rsidP="00406369">
      <w:pPr>
        <w:rPr>
          <w:rFonts w:ascii="Aptos Narrow" w:hAnsi="Aptos Narrow"/>
          <w:color w:val="000000"/>
          <w:sz w:val="22"/>
          <w:szCs w:val="22"/>
        </w:rPr>
      </w:pPr>
    </w:p>
    <w:p w14:paraId="1DEB9392" w14:textId="4E5A7943" w:rsidR="00100DB7" w:rsidRPr="00406369" w:rsidRDefault="00100DB7" w:rsidP="00406369">
      <w:pPr>
        <w:rPr>
          <w:rFonts w:ascii="Aptos Narrow" w:hAnsi="Aptos Narrow"/>
          <w:color w:val="000000"/>
          <w:sz w:val="22"/>
          <w:szCs w:val="22"/>
        </w:rPr>
      </w:pPr>
      <w:r w:rsidRPr="00100DB7">
        <w:rPr>
          <w:rFonts w:ascii="Aptos Narrow" w:hAnsi="Aptos Narrow"/>
          <w:noProof/>
          <w:color w:val="000000"/>
          <w:sz w:val="22"/>
          <w:szCs w:val="22"/>
        </w:rPr>
        <w:drawing>
          <wp:inline distT="0" distB="0" distL="0" distR="0" wp14:anchorId="7FEAE28B" wp14:editId="44039237">
            <wp:extent cx="5943600" cy="2813050"/>
            <wp:effectExtent l="0" t="0" r="0" b="6350"/>
            <wp:docPr id="9" name="Content Placeholder 4" descr="A graph with green squares and red lines&#10;&#10;AI-generated content may be incorrect.">
              <a:extLst xmlns:a="http://schemas.openxmlformats.org/drawingml/2006/main">
                <a:ext uri="{FF2B5EF4-FFF2-40B4-BE49-F238E27FC236}">
                  <a16:creationId xmlns:a16="http://schemas.microsoft.com/office/drawing/2014/main" id="{9E9FFFE4-CBC2-02FD-EED6-7CB14EAD4C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4" descr="A graph with green squares and red lines&#10;&#10;AI-generated content may be incorrect.">
                      <a:extLst>
                        <a:ext uri="{FF2B5EF4-FFF2-40B4-BE49-F238E27FC236}">
                          <a16:creationId xmlns:a16="http://schemas.microsoft.com/office/drawing/2014/main" id="{9E9FFFE4-CBC2-02FD-EED6-7CB14EAD4C20}"/>
                        </a:ext>
                      </a:extLst>
                    </pic:cNvPr>
                    <pic:cNvPicPr>
                      <a:picLocks noGrp="1" noChangeAspect="1"/>
                    </pic:cNvPicPr>
                  </pic:nvPicPr>
                  <pic:blipFill>
                    <a:blip r:embed="rId5"/>
                    <a:srcRect b="5350"/>
                    <a:stretch/>
                  </pic:blipFill>
                  <pic:spPr>
                    <a:xfrm>
                      <a:off x="0" y="0"/>
                      <a:ext cx="5943600" cy="2813050"/>
                    </a:xfrm>
                    <a:prstGeom prst="rect">
                      <a:avLst/>
                    </a:prstGeom>
                  </pic:spPr>
                </pic:pic>
              </a:graphicData>
            </a:graphic>
          </wp:inline>
        </w:drawing>
      </w:r>
    </w:p>
    <w:p w14:paraId="059D06DF" w14:textId="75C3F7F5" w:rsidR="0017329B" w:rsidRDefault="0017329B" w:rsidP="0017329B"/>
    <w:p w14:paraId="296D0745" w14:textId="313563EE" w:rsidR="00DD355D" w:rsidRPr="00DD355D" w:rsidRDefault="006E4C07" w:rsidP="00DD355D">
      <w:r>
        <w:rPr>
          <w:noProof/>
          <w14:ligatures w14:val="standardContextual"/>
        </w:rPr>
        <w:pict w14:anchorId="129CA013">
          <v:rect id="_x0000_i1030" style="width:468pt;height:.05pt" o:hralign="center" o:hrstd="t" o:hr="t" fillcolor="#a0a0a0" stroked="f"/>
        </w:pict>
      </w:r>
    </w:p>
    <w:p w14:paraId="56BCA427"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5. Sensitivity analysis: complete the sensitivity analysis based on the list of uncertainties given in the case.</w:t>
      </w:r>
    </w:p>
    <w:p w14:paraId="6991D650" w14:textId="2EFBD5F3" w:rsidR="00934947" w:rsidRDefault="00AD7061" w:rsidP="00934947">
      <w:r>
        <w:t xml:space="preserve">Using </w:t>
      </w:r>
      <w:r w:rsidR="0053609A">
        <w:t xml:space="preserve">a monte carlo simulation, we have gathered that from the different uncertainties </w:t>
      </w:r>
      <w:r w:rsidR="002A53FE">
        <w:t xml:space="preserve">mentioned in the many scenarios, the </w:t>
      </w:r>
      <w:r w:rsidR="00E504AF">
        <w:t xml:space="preserve">average NPV of our </w:t>
      </w:r>
      <w:r w:rsidR="004522ED">
        <w:t xml:space="preserve">project is around </w:t>
      </w:r>
      <w:r w:rsidR="00AD508C">
        <w:t xml:space="preserve">-$50,000,000 </w:t>
      </w:r>
      <w:r w:rsidR="0013458B">
        <w:t xml:space="preserve">with </w:t>
      </w:r>
      <w:r w:rsidR="000D070C">
        <w:t xml:space="preserve">and standard deviation of </w:t>
      </w:r>
      <w:r w:rsidR="00AD508C">
        <w:t>90</w:t>
      </w:r>
      <w:r w:rsidR="005B2B93">
        <w:t>,</w:t>
      </w:r>
      <w:r w:rsidR="00AD508C">
        <w:t>000</w:t>
      </w:r>
      <w:r w:rsidR="005B2B93">
        <w:t>,</w:t>
      </w:r>
      <w:r w:rsidR="00AD508C">
        <w:t>000</w:t>
      </w:r>
      <w:r w:rsidR="005B2B93">
        <w:t xml:space="preserve">. </w:t>
      </w:r>
      <w:r w:rsidR="00963AD1">
        <w:t>we</w:t>
      </w:r>
      <w:r w:rsidR="005B2B93">
        <w:t xml:space="preserve"> calculated this based on the </w:t>
      </w:r>
      <w:r w:rsidR="00942862">
        <w:t xml:space="preserve">parameters shown below. Another aspect </w:t>
      </w:r>
      <w:r w:rsidR="00B42C94">
        <w:t xml:space="preserve">we included was the 30% chance </w:t>
      </w:r>
      <w:r w:rsidR="002C5758">
        <w:t>of the projects lifespan being cut two years short and left with zero salvage value</w:t>
      </w:r>
      <w:r w:rsidR="00963AD1">
        <w:t xml:space="preserve">. Given these constraints, we iterated the project 1000 times to ensure accuracy and </w:t>
      </w:r>
      <w:r w:rsidR="002F6EED">
        <w:t>came up with the already stated statistics.</w:t>
      </w:r>
    </w:p>
    <w:p w14:paraId="53D2FE2D" w14:textId="77777777" w:rsidR="00AF0395" w:rsidRDefault="00AF0395" w:rsidP="00934947"/>
    <w:p w14:paraId="6421281F" w14:textId="77777777" w:rsidR="00AF0395" w:rsidRDefault="00AF0395" w:rsidP="00934947"/>
    <w:tbl>
      <w:tblPr>
        <w:tblW w:w="7480" w:type="dxa"/>
        <w:tblLook w:val="04A0" w:firstRow="1" w:lastRow="0" w:firstColumn="1" w:lastColumn="0" w:noHBand="0" w:noVBand="1"/>
      </w:tblPr>
      <w:tblGrid>
        <w:gridCol w:w="1960"/>
        <w:gridCol w:w="1880"/>
        <w:gridCol w:w="1820"/>
        <w:gridCol w:w="1820"/>
      </w:tblGrid>
      <w:tr w:rsidR="00AF0395" w:rsidRPr="00AF0395" w14:paraId="39E3ACD6" w14:textId="77777777" w:rsidTr="00AF0395">
        <w:trPr>
          <w:trHeight w:val="300"/>
        </w:trPr>
        <w:tc>
          <w:tcPr>
            <w:tcW w:w="1960" w:type="dxa"/>
            <w:tcBorders>
              <w:top w:val="nil"/>
              <w:left w:val="nil"/>
              <w:bottom w:val="nil"/>
              <w:right w:val="nil"/>
            </w:tcBorders>
            <w:shd w:val="clear" w:color="auto" w:fill="auto"/>
            <w:noWrap/>
            <w:vAlign w:val="bottom"/>
            <w:hideMark/>
          </w:tcPr>
          <w:p w14:paraId="03241608" w14:textId="77777777" w:rsidR="00AF0395" w:rsidRPr="00AF0395" w:rsidRDefault="00AF0395" w:rsidP="00AF0395"/>
        </w:tc>
        <w:tc>
          <w:tcPr>
            <w:tcW w:w="1880" w:type="dxa"/>
            <w:tcBorders>
              <w:top w:val="nil"/>
              <w:left w:val="nil"/>
              <w:bottom w:val="nil"/>
              <w:right w:val="nil"/>
            </w:tcBorders>
            <w:shd w:val="clear" w:color="auto" w:fill="auto"/>
            <w:noWrap/>
            <w:vAlign w:val="bottom"/>
            <w:hideMark/>
          </w:tcPr>
          <w:p w14:paraId="1A6DDF97"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Expected</w:t>
            </w:r>
          </w:p>
        </w:tc>
        <w:tc>
          <w:tcPr>
            <w:tcW w:w="1820" w:type="dxa"/>
            <w:tcBorders>
              <w:top w:val="nil"/>
              <w:left w:val="nil"/>
              <w:bottom w:val="nil"/>
              <w:right w:val="nil"/>
            </w:tcBorders>
            <w:shd w:val="clear" w:color="auto" w:fill="auto"/>
            <w:noWrap/>
            <w:vAlign w:val="bottom"/>
            <w:hideMark/>
          </w:tcPr>
          <w:p w14:paraId="04275D8E"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Min</w:t>
            </w:r>
          </w:p>
        </w:tc>
        <w:tc>
          <w:tcPr>
            <w:tcW w:w="1820" w:type="dxa"/>
            <w:tcBorders>
              <w:top w:val="nil"/>
              <w:left w:val="nil"/>
              <w:bottom w:val="nil"/>
              <w:right w:val="nil"/>
            </w:tcBorders>
            <w:shd w:val="clear" w:color="auto" w:fill="auto"/>
            <w:noWrap/>
            <w:vAlign w:val="bottom"/>
            <w:hideMark/>
          </w:tcPr>
          <w:p w14:paraId="753CD5D1"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Max</w:t>
            </w:r>
          </w:p>
        </w:tc>
      </w:tr>
      <w:tr w:rsidR="00AF0395" w:rsidRPr="00AF0395" w14:paraId="1335F82C" w14:textId="77777777" w:rsidTr="00AF0395">
        <w:trPr>
          <w:trHeight w:val="300"/>
        </w:trPr>
        <w:tc>
          <w:tcPr>
            <w:tcW w:w="1960" w:type="dxa"/>
            <w:tcBorders>
              <w:top w:val="nil"/>
              <w:left w:val="nil"/>
              <w:bottom w:val="nil"/>
              <w:right w:val="nil"/>
            </w:tcBorders>
            <w:shd w:val="clear" w:color="auto" w:fill="auto"/>
            <w:noWrap/>
            <w:vAlign w:val="bottom"/>
            <w:hideMark/>
          </w:tcPr>
          <w:p w14:paraId="6E6A5599"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Discount Rate</w:t>
            </w:r>
          </w:p>
        </w:tc>
        <w:tc>
          <w:tcPr>
            <w:tcW w:w="1880" w:type="dxa"/>
            <w:tcBorders>
              <w:top w:val="nil"/>
              <w:left w:val="nil"/>
              <w:bottom w:val="nil"/>
              <w:right w:val="nil"/>
            </w:tcBorders>
            <w:shd w:val="clear" w:color="auto" w:fill="auto"/>
            <w:noWrap/>
            <w:vAlign w:val="bottom"/>
            <w:hideMark/>
          </w:tcPr>
          <w:p w14:paraId="0062AFD8"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8.0%</w:t>
            </w:r>
          </w:p>
        </w:tc>
        <w:tc>
          <w:tcPr>
            <w:tcW w:w="1820" w:type="dxa"/>
            <w:tcBorders>
              <w:top w:val="nil"/>
              <w:left w:val="nil"/>
              <w:bottom w:val="nil"/>
              <w:right w:val="nil"/>
            </w:tcBorders>
            <w:shd w:val="clear" w:color="auto" w:fill="auto"/>
            <w:noWrap/>
            <w:vAlign w:val="bottom"/>
            <w:hideMark/>
          </w:tcPr>
          <w:p w14:paraId="65009C1A"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7.5%</w:t>
            </w:r>
          </w:p>
        </w:tc>
        <w:tc>
          <w:tcPr>
            <w:tcW w:w="1820" w:type="dxa"/>
            <w:tcBorders>
              <w:top w:val="nil"/>
              <w:left w:val="nil"/>
              <w:bottom w:val="nil"/>
              <w:right w:val="nil"/>
            </w:tcBorders>
            <w:shd w:val="clear" w:color="auto" w:fill="auto"/>
            <w:noWrap/>
            <w:vAlign w:val="bottom"/>
            <w:hideMark/>
          </w:tcPr>
          <w:p w14:paraId="637178D9"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8.5%</w:t>
            </w:r>
          </w:p>
        </w:tc>
      </w:tr>
      <w:tr w:rsidR="00AF0395" w:rsidRPr="00AF0395" w14:paraId="445CDC5E" w14:textId="77777777" w:rsidTr="00AF0395">
        <w:trPr>
          <w:trHeight w:val="300"/>
        </w:trPr>
        <w:tc>
          <w:tcPr>
            <w:tcW w:w="1960" w:type="dxa"/>
            <w:tcBorders>
              <w:top w:val="nil"/>
              <w:left w:val="nil"/>
              <w:bottom w:val="nil"/>
              <w:right w:val="nil"/>
            </w:tcBorders>
            <w:shd w:val="clear" w:color="auto" w:fill="auto"/>
            <w:noWrap/>
            <w:vAlign w:val="bottom"/>
            <w:hideMark/>
          </w:tcPr>
          <w:p w14:paraId="187E7393"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Cash Flow Return</w:t>
            </w:r>
          </w:p>
        </w:tc>
        <w:tc>
          <w:tcPr>
            <w:tcW w:w="1880" w:type="dxa"/>
            <w:tcBorders>
              <w:top w:val="nil"/>
              <w:left w:val="nil"/>
              <w:bottom w:val="nil"/>
              <w:right w:val="nil"/>
            </w:tcBorders>
            <w:shd w:val="clear" w:color="auto" w:fill="auto"/>
            <w:noWrap/>
            <w:vAlign w:val="bottom"/>
            <w:hideMark/>
          </w:tcPr>
          <w:p w14:paraId="46247BBC"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$200,000,000.00</w:t>
            </w:r>
          </w:p>
        </w:tc>
        <w:tc>
          <w:tcPr>
            <w:tcW w:w="1820" w:type="dxa"/>
            <w:tcBorders>
              <w:top w:val="nil"/>
              <w:left w:val="nil"/>
              <w:bottom w:val="nil"/>
              <w:right w:val="nil"/>
            </w:tcBorders>
            <w:shd w:val="clear" w:color="auto" w:fill="auto"/>
            <w:noWrap/>
            <w:vAlign w:val="bottom"/>
            <w:hideMark/>
          </w:tcPr>
          <w:p w14:paraId="00ABB105"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$152,000,000.00</w:t>
            </w:r>
          </w:p>
        </w:tc>
        <w:tc>
          <w:tcPr>
            <w:tcW w:w="1820" w:type="dxa"/>
            <w:tcBorders>
              <w:top w:val="nil"/>
              <w:left w:val="nil"/>
              <w:bottom w:val="nil"/>
              <w:right w:val="nil"/>
            </w:tcBorders>
            <w:shd w:val="clear" w:color="auto" w:fill="auto"/>
            <w:noWrap/>
            <w:vAlign w:val="bottom"/>
            <w:hideMark/>
          </w:tcPr>
          <w:p w14:paraId="55B2B880"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$260,501,288.85</w:t>
            </w:r>
          </w:p>
        </w:tc>
      </w:tr>
      <w:tr w:rsidR="00AF0395" w:rsidRPr="00AF0395" w14:paraId="672E6709" w14:textId="77777777" w:rsidTr="00AF0395">
        <w:trPr>
          <w:trHeight w:val="300"/>
        </w:trPr>
        <w:tc>
          <w:tcPr>
            <w:tcW w:w="1960" w:type="dxa"/>
            <w:tcBorders>
              <w:top w:val="nil"/>
              <w:left w:val="nil"/>
              <w:bottom w:val="nil"/>
              <w:right w:val="nil"/>
            </w:tcBorders>
            <w:shd w:val="clear" w:color="auto" w:fill="auto"/>
            <w:noWrap/>
            <w:vAlign w:val="bottom"/>
            <w:hideMark/>
          </w:tcPr>
          <w:p w14:paraId="397EED99"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Initial Investment</w:t>
            </w:r>
          </w:p>
        </w:tc>
        <w:tc>
          <w:tcPr>
            <w:tcW w:w="1880" w:type="dxa"/>
            <w:tcBorders>
              <w:top w:val="nil"/>
              <w:left w:val="nil"/>
              <w:bottom w:val="nil"/>
              <w:right w:val="nil"/>
            </w:tcBorders>
            <w:shd w:val="clear" w:color="auto" w:fill="auto"/>
            <w:noWrap/>
            <w:vAlign w:val="bottom"/>
            <w:hideMark/>
          </w:tcPr>
          <w:p w14:paraId="556DCC30"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$800,000,000.00</w:t>
            </w:r>
          </w:p>
        </w:tc>
        <w:tc>
          <w:tcPr>
            <w:tcW w:w="1820" w:type="dxa"/>
            <w:tcBorders>
              <w:top w:val="nil"/>
              <w:left w:val="nil"/>
              <w:bottom w:val="nil"/>
              <w:right w:val="nil"/>
            </w:tcBorders>
            <w:shd w:val="clear" w:color="auto" w:fill="auto"/>
            <w:noWrap/>
            <w:vAlign w:val="bottom"/>
            <w:hideMark/>
          </w:tcPr>
          <w:p w14:paraId="703F43D2"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$800,000,000.00</w:t>
            </w:r>
          </w:p>
        </w:tc>
        <w:tc>
          <w:tcPr>
            <w:tcW w:w="1820" w:type="dxa"/>
            <w:tcBorders>
              <w:top w:val="nil"/>
              <w:left w:val="nil"/>
              <w:bottom w:val="nil"/>
              <w:right w:val="nil"/>
            </w:tcBorders>
            <w:shd w:val="clear" w:color="auto" w:fill="auto"/>
            <w:noWrap/>
            <w:vAlign w:val="bottom"/>
            <w:hideMark/>
          </w:tcPr>
          <w:p w14:paraId="4619CF31"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$810,000,000.00</w:t>
            </w:r>
          </w:p>
        </w:tc>
      </w:tr>
      <w:tr w:rsidR="00AF0395" w:rsidRPr="00AF0395" w14:paraId="7BBE57BA" w14:textId="77777777" w:rsidTr="00AF0395">
        <w:trPr>
          <w:trHeight w:val="300"/>
        </w:trPr>
        <w:tc>
          <w:tcPr>
            <w:tcW w:w="1960" w:type="dxa"/>
            <w:tcBorders>
              <w:top w:val="nil"/>
              <w:left w:val="nil"/>
              <w:bottom w:val="nil"/>
              <w:right w:val="nil"/>
            </w:tcBorders>
            <w:shd w:val="clear" w:color="auto" w:fill="auto"/>
            <w:noWrap/>
            <w:vAlign w:val="bottom"/>
            <w:hideMark/>
          </w:tcPr>
          <w:p w14:paraId="7A33B51C" w14:textId="77777777" w:rsidR="00AF0395" w:rsidRPr="00AF0395" w:rsidRDefault="00AF0395" w:rsidP="00AF0395">
            <w:pPr>
              <w:rPr>
                <w:rFonts w:ascii="Aptos Narrow" w:hAnsi="Aptos Narrow"/>
                <w:color w:val="000000"/>
                <w:sz w:val="22"/>
                <w:szCs w:val="22"/>
              </w:rPr>
            </w:pPr>
            <w:r w:rsidRPr="00AF0395">
              <w:rPr>
                <w:rFonts w:ascii="Aptos Narrow" w:hAnsi="Aptos Narrow"/>
                <w:color w:val="000000"/>
                <w:sz w:val="22"/>
                <w:szCs w:val="22"/>
              </w:rPr>
              <w:t>Salvage Value</w:t>
            </w:r>
          </w:p>
        </w:tc>
        <w:tc>
          <w:tcPr>
            <w:tcW w:w="1880" w:type="dxa"/>
            <w:tcBorders>
              <w:top w:val="nil"/>
              <w:left w:val="nil"/>
              <w:bottom w:val="nil"/>
              <w:right w:val="nil"/>
            </w:tcBorders>
            <w:shd w:val="clear" w:color="auto" w:fill="auto"/>
            <w:noWrap/>
            <w:vAlign w:val="bottom"/>
            <w:hideMark/>
          </w:tcPr>
          <w:p w14:paraId="2CB7E224"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$0.00</w:t>
            </w:r>
          </w:p>
        </w:tc>
        <w:tc>
          <w:tcPr>
            <w:tcW w:w="1820" w:type="dxa"/>
            <w:tcBorders>
              <w:top w:val="nil"/>
              <w:left w:val="nil"/>
              <w:bottom w:val="nil"/>
              <w:right w:val="nil"/>
            </w:tcBorders>
            <w:shd w:val="clear" w:color="auto" w:fill="auto"/>
            <w:noWrap/>
            <w:vAlign w:val="bottom"/>
            <w:hideMark/>
          </w:tcPr>
          <w:p w14:paraId="256B595E"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$0.00</w:t>
            </w:r>
          </w:p>
        </w:tc>
        <w:tc>
          <w:tcPr>
            <w:tcW w:w="1820" w:type="dxa"/>
            <w:tcBorders>
              <w:top w:val="nil"/>
              <w:left w:val="nil"/>
              <w:bottom w:val="nil"/>
              <w:right w:val="nil"/>
            </w:tcBorders>
            <w:shd w:val="clear" w:color="auto" w:fill="auto"/>
            <w:noWrap/>
            <w:vAlign w:val="bottom"/>
            <w:hideMark/>
          </w:tcPr>
          <w:p w14:paraId="22504045" w14:textId="77777777" w:rsidR="00AF0395" w:rsidRPr="00AF0395" w:rsidRDefault="00AF0395" w:rsidP="00AF0395">
            <w:pPr>
              <w:jc w:val="right"/>
              <w:rPr>
                <w:rFonts w:ascii="Aptos Narrow" w:hAnsi="Aptos Narrow"/>
                <w:color w:val="000000"/>
                <w:sz w:val="22"/>
                <w:szCs w:val="22"/>
              </w:rPr>
            </w:pPr>
            <w:r w:rsidRPr="00AF0395">
              <w:rPr>
                <w:rFonts w:ascii="Aptos Narrow" w:hAnsi="Aptos Narrow"/>
                <w:color w:val="000000"/>
                <w:sz w:val="22"/>
                <w:szCs w:val="22"/>
              </w:rPr>
              <w:t>$100,000,000.00</w:t>
            </w:r>
          </w:p>
        </w:tc>
      </w:tr>
    </w:tbl>
    <w:p w14:paraId="74644CEA" w14:textId="77777777" w:rsidR="00AF0395" w:rsidRPr="00934947" w:rsidRDefault="00AF0395" w:rsidP="00934947">
      <w:pPr>
        <w:rPr>
          <w:rFonts w:ascii="Aptos Narrow" w:hAnsi="Aptos Narrow"/>
          <w:color w:val="000000"/>
          <w:sz w:val="22"/>
          <w:szCs w:val="22"/>
        </w:rPr>
      </w:pPr>
    </w:p>
    <w:p w14:paraId="1DF24DF4" w14:textId="14B9C36B" w:rsidR="00DD355D" w:rsidRPr="00DD355D" w:rsidRDefault="00DD355D" w:rsidP="00DD355D">
      <w:pPr>
        <w:spacing w:before="100" w:beforeAutospacing="1" w:after="100" w:afterAutospacing="1"/>
      </w:pPr>
    </w:p>
    <w:p w14:paraId="73A53EB0" w14:textId="68477F0B" w:rsidR="00DD355D" w:rsidRPr="00DD355D" w:rsidRDefault="006E4C07" w:rsidP="00DD355D">
      <w:r>
        <w:rPr>
          <w:noProof/>
          <w14:ligatures w14:val="standardContextual"/>
        </w:rPr>
        <w:pict w14:anchorId="5287058A">
          <v:rect id="_x0000_i1031" style="width:468pt;height:.05pt" o:hralign="center" o:hrstd="t" o:hr="t" fillcolor="#a0a0a0" stroked="f"/>
        </w:pict>
      </w:r>
    </w:p>
    <w:p w14:paraId="2562D6DB"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6. Consider all of the qualitative factors for an ESG project. Which ones are most relevant and important for this particular project?</w:t>
      </w:r>
    </w:p>
    <w:p w14:paraId="3D265151" w14:textId="19510A4F" w:rsidR="00DD355D" w:rsidRPr="00DD355D" w:rsidRDefault="06DE5B9F" w:rsidP="00DD355D">
      <w:r w:rsidRPr="5732B2A9">
        <w:t xml:space="preserve">Some qualitative </w:t>
      </w:r>
      <w:r w:rsidR="7B01BD56" w:rsidRPr="5732B2A9">
        <w:t>factors to be considered for this ESG project are</w:t>
      </w:r>
      <w:r w:rsidR="3C9B927A" w:rsidRPr="5732B2A9">
        <w:t xml:space="preserve"> social trust and capital</w:t>
      </w:r>
      <w:r w:rsidR="095B1E02" w:rsidRPr="5732B2A9">
        <w:t>,</w:t>
      </w:r>
      <w:r w:rsidR="3C9B927A" w:rsidRPr="5732B2A9">
        <w:t xml:space="preserve"> which </w:t>
      </w:r>
      <w:r w:rsidR="06176B48" w:rsidRPr="5732B2A9">
        <w:t>would reduce the company's overall risk as well as reduce their cost of capital.</w:t>
      </w:r>
      <w:r w:rsidR="3C9B927A" w:rsidRPr="5732B2A9">
        <w:t xml:space="preserve"> </w:t>
      </w:r>
      <w:r w:rsidR="16089379" w:rsidRPr="5732B2A9">
        <w:t xml:space="preserve">Second, the project could improve corporate image and brand value. </w:t>
      </w:r>
      <w:r w:rsidR="7D303CE8" w:rsidRPr="5732B2A9">
        <w:t>It was estimated that strong ESG projects would produce greater shareholder value, and 60% of companies across the U.K</w:t>
      </w:r>
      <w:r w:rsidR="242B955B" w:rsidRPr="5732B2A9">
        <w:t>,</w:t>
      </w:r>
      <w:r w:rsidR="7D303CE8" w:rsidRPr="5732B2A9">
        <w:t xml:space="preserve"> U.S. and </w:t>
      </w:r>
      <w:r w:rsidR="65ED5EE3" w:rsidRPr="5732B2A9">
        <w:t xml:space="preserve">Canada reported that the greatest benefit of ESG was an improved image. </w:t>
      </w:r>
      <w:r w:rsidR="5EBFBDC1" w:rsidRPr="5732B2A9">
        <w:t xml:space="preserve">The project could also </w:t>
      </w:r>
      <w:r w:rsidR="7FF52C2A" w:rsidRPr="5732B2A9">
        <w:t xml:space="preserve">mitigate regulatory risk, </w:t>
      </w:r>
      <w:r w:rsidR="3DA0D166" w:rsidRPr="5732B2A9">
        <w:t xml:space="preserve">enhance employee productivity and </w:t>
      </w:r>
      <w:r w:rsidR="1DBD3F57" w:rsidRPr="5732B2A9">
        <w:t xml:space="preserve">help with the hiring and retention of employees. </w:t>
      </w:r>
      <w:r w:rsidRPr="5732B2A9">
        <w:t xml:space="preserve"> </w:t>
      </w:r>
      <w:r w:rsidR="006E4C07">
        <w:rPr>
          <w:noProof/>
          <w14:ligatures w14:val="standardContextual"/>
        </w:rPr>
        <w:pict w14:anchorId="0737AC99">
          <v:rect id="_x0000_i1032" style="width:468pt;height:.05pt" o:hralign="center" o:hrstd="t" o:hr="t" fillcolor="#a0a0a0" stroked="f"/>
        </w:pict>
      </w:r>
    </w:p>
    <w:p w14:paraId="020A5AD5" w14:textId="77777777" w:rsidR="00DD355D" w:rsidRPr="00DD355D" w:rsidRDefault="00DD355D" w:rsidP="00DD355D">
      <w:pPr>
        <w:spacing w:before="100" w:beforeAutospacing="1" w:after="100" w:afterAutospacing="1"/>
        <w:outlineLvl w:val="2"/>
        <w:rPr>
          <w:b/>
          <w:bCs/>
          <w:sz w:val="27"/>
          <w:szCs w:val="27"/>
        </w:rPr>
      </w:pPr>
      <w:r w:rsidRPr="00DD355D">
        <w:rPr>
          <w:b/>
          <w:bCs/>
          <w:sz w:val="27"/>
          <w:szCs w:val="27"/>
        </w:rPr>
        <w:t>7. What recommendation should Anthony bring to the chief executive officer and the board at their upcoming meeting? Summarize your analysis and make a decision.</w:t>
      </w:r>
    </w:p>
    <w:p w14:paraId="33275B2F" w14:textId="2E0F22FF" w:rsidR="3D783B04" w:rsidRDefault="3D783B04" w:rsidP="1E14D35F">
      <w:pPr>
        <w:spacing w:beforeAutospacing="1" w:afterAutospacing="1" w:line="259" w:lineRule="auto"/>
      </w:pPr>
      <w:r>
        <w:t xml:space="preserve">Our team has decided that </w:t>
      </w:r>
      <w:r w:rsidR="1F59F351">
        <w:t xml:space="preserve">it would be wise to accept this project to bolster ESG standing and stay competitive within the industry. </w:t>
      </w:r>
      <w:r w:rsidR="75A7B44F">
        <w:t>Although this is a risky investment, it is one that should be made</w:t>
      </w:r>
      <w:r w:rsidR="0C1AEA1F">
        <w:t xml:space="preserve"> to increase revenues after a drop in growth from 26%-</w:t>
      </w:r>
      <w:r w:rsidR="48809C5A">
        <w:t xml:space="preserve">17% in </w:t>
      </w:r>
      <w:r w:rsidR="0C1AEA1F">
        <w:t>2021-2022</w:t>
      </w:r>
      <w:r w:rsidR="553B7B5B">
        <w:t xml:space="preserve">. </w:t>
      </w:r>
      <w:r w:rsidR="7F780CE1">
        <w:t>This move would also position Liv Group as a leader in their industry with the new solid-state batteries being rolled out</w:t>
      </w:r>
      <w:r w:rsidR="388F68E7">
        <w:t>, reducing carbon footprints from EV’s by 39%</w:t>
      </w:r>
      <w:r w:rsidR="19D233FD">
        <w:t>.</w:t>
      </w:r>
      <w:r w:rsidR="388F68E7">
        <w:t xml:space="preserve"> </w:t>
      </w:r>
      <w:r w:rsidR="6E385E96">
        <w:t>Additionally, we’ve already received $3.5 Billion in financing for our 20 new EV models</w:t>
      </w:r>
      <w:r w:rsidR="2B743605">
        <w:t xml:space="preserve">, we’re heavily investing in </w:t>
      </w:r>
      <w:r w:rsidR="5ECFF31F">
        <w:t>our EV production platform in three different countries, and we’ve already announced that we’re going to be manufacturing these batteries</w:t>
      </w:r>
      <w:r w:rsidR="05553C88">
        <w:t xml:space="preserve"> ourselves. </w:t>
      </w:r>
      <w:r w:rsidR="0EAB8C61">
        <w:t xml:space="preserve">Out of the 11 scenarios (including base case), 5 of them have the project yielding a positive NPV, while the other 6 yield a negative NPV. Additionally, one of the negative scenarios has a 30% probability, </w:t>
      </w:r>
      <w:r w:rsidR="15D466F9">
        <w:t>which makes it even more likely that this project will end up in the negative.</w:t>
      </w:r>
      <w:r w:rsidR="05FD0411">
        <w:t xml:space="preserve"> After conducting a Monte Carlo Simulation, we found that our best probability of reaching a positive NPV was 38%.</w:t>
      </w:r>
      <w:r w:rsidR="15D466F9">
        <w:t xml:space="preserve"> However, in terms of ESG standing, and pleasing the shareholders, this project makes sense and still </w:t>
      </w:r>
      <w:r w:rsidR="5D4175D4">
        <w:t xml:space="preserve">offers a chance of a positive NPV.  </w:t>
      </w:r>
      <w:r w:rsidR="4BB4EF85">
        <w:t xml:space="preserve">To conclude, while this project is not one that has strong financials, the improvement to ESG standings, shareholder relations, and sustainability within the </w:t>
      </w:r>
      <w:r w:rsidR="7DC6D7B5">
        <w:t>industry</w:t>
      </w:r>
      <w:r w:rsidR="4BB4EF85">
        <w:t xml:space="preserve"> </w:t>
      </w:r>
      <w:r w:rsidR="472E4174">
        <w:t xml:space="preserve">makes it a worthwhile investment. </w:t>
      </w:r>
    </w:p>
    <w:p w14:paraId="0088FACB" w14:textId="052FE3DE" w:rsidR="00DD355D" w:rsidRPr="00DD355D" w:rsidRDefault="006E4C07" w:rsidP="00DD355D">
      <w:r>
        <w:rPr>
          <w:noProof/>
          <w14:ligatures w14:val="standardContextual"/>
        </w:rPr>
        <w:pict w14:anchorId="5A1B680F">
          <v:rect id="_x0000_i1033" style="width:468pt;height:.05pt" o:hralign="center" o:hrstd="t" o:hr="t" fillcolor="#a0a0a0" stroked="f"/>
        </w:pict>
      </w:r>
    </w:p>
    <w:p w14:paraId="2209FC2A" w14:textId="77777777" w:rsidR="00DD355D" w:rsidRPr="00DD355D" w:rsidRDefault="00DD355D" w:rsidP="00DD355D">
      <w:pPr>
        <w:spacing w:before="100" w:beforeAutospacing="1" w:after="100" w:afterAutospacing="1"/>
      </w:pPr>
      <w:r w:rsidRPr="00DD355D">
        <w:rPr>
          <w:b/>
          <w:bCs/>
        </w:rPr>
        <w:t>Conclusion</w:t>
      </w:r>
      <w:r w:rsidRPr="00DD355D">
        <w:br/>
        <w:t>In conclusion, based on the analysis of both qualitative and quantitative factors, we will provide a comprehensive recommendation that will assist in making a well-informed decision for the ESG project. Our findings will be summarized in the upcoming presentation and accompanying spreadsheet.</w:t>
      </w:r>
    </w:p>
    <w:p w14:paraId="2808528C" w14:textId="77777777" w:rsidR="004262B5" w:rsidRDefault="004262B5"/>
    <w:sectPr w:rsidR="0042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F"/>
    <w:rsid w:val="00005613"/>
    <w:rsid w:val="000104FA"/>
    <w:rsid w:val="0001269F"/>
    <w:rsid w:val="00013FA7"/>
    <w:rsid w:val="00016334"/>
    <w:rsid w:val="000237A4"/>
    <w:rsid w:val="000302F4"/>
    <w:rsid w:val="00056231"/>
    <w:rsid w:val="00075D3E"/>
    <w:rsid w:val="000929CF"/>
    <w:rsid w:val="000A47B9"/>
    <w:rsid w:val="000A7F13"/>
    <w:rsid w:val="000B0915"/>
    <w:rsid w:val="000B5AF2"/>
    <w:rsid w:val="000D070C"/>
    <w:rsid w:val="000D592C"/>
    <w:rsid w:val="000E3FDD"/>
    <w:rsid w:val="000E5A16"/>
    <w:rsid w:val="000F583D"/>
    <w:rsid w:val="000F6173"/>
    <w:rsid w:val="00100DB7"/>
    <w:rsid w:val="00112989"/>
    <w:rsid w:val="001263F4"/>
    <w:rsid w:val="001275D4"/>
    <w:rsid w:val="00131565"/>
    <w:rsid w:val="001341BA"/>
    <w:rsid w:val="0013458B"/>
    <w:rsid w:val="00136A6F"/>
    <w:rsid w:val="00143624"/>
    <w:rsid w:val="00143EB4"/>
    <w:rsid w:val="00145527"/>
    <w:rsid w:val="00150A3E"/>
    <w:rsid w:val="00160391"/>
    <w:rsid w:val="0017329B"/>
    <w:rsid w:val="00177481"/>
    <w:rsid w:val="001C244F"/>
    <w:rsid w:val="001C483C"/>
    <w:rsid w:val="001D187A"/>
    <w:rsid w:val="001D680E"/>
    <w:rsid w:val="001D6DF8"/>
    <w:rsid w:val="001E06C8"/>
    <w:rsid w:val="001E5B23"/>
    <w:rsid w:val="002056D0"/>
    <w:rsid w:val="00210BCF"/>
    <w:rsid w:val="00223431"/>
    <w:rsid w:val="00236385"/>
    <w:rsid w:val="00240EA5"/>
    <w:rsid w:val="00246E6E"/>
    <w:rsid w:val="00253E38"/>
    <w:rsid w:val="002578EE"/>
    <w:rsid w:val="002655AF"/>
    <w:rsid w:val="002663AB"/>
    <w:rsid w:val="00267570"/>
    <w:rsid w:val="002730A3"/>
    <w:rsid w:val="002922BB"/>
    <w:rsid w:val="00294451"/>
    <w:rsid w:val="00295D78"/>
    <w:rsid w:val="002A0BA3"/>
    <w:rsid w:val="002A2E86"/>
    <w:rsid w:val="002A53FE"/>
    <w:rsid w:val="002C3992"/>
    <w:rsid w:val="002C5758"/>
    <w:rsid w:val="002C579B"/>
    <w:rsid w:val="002D2369"/>
    <w:rsid w:val="002E08B1"/>
    <w:rsid w:val="002E3D81"/>
    <w:rsid w:val="002E4B7A"/>
    <w:rsid w:val="002F6EED"/>
    <w:rsid w:val="003177F1"/>
    <w:rsid w:val="00321BBD"/>
    <w:rsid w:val="003221BD"/>
    <w:rsid w:val="0033247E"/>
    <w:rsid w:val="00342579"/>
    <w:rsid w:val="003464CC"/>
    <w:rsid w:val="00350790"/>
    <w:rsid w:val="0035148E"/>
    <w:rsid w:val="00360093"/>
    <w:rsid w:val="00374658"/>
    <w:rsid w:val="00374897"/>
    <w:rsid w:val="003844A2"/>
    <w:rsid w:val="00394391"/>
    <w:rsid w:val="003E0A80"/>
    <w:rsid w:val="003E51F1"/>
    <w:rsid w:val="003F0CD9"/>
    <w:rsid w:val="003F13E2"/>
    <w:rsid w:val="003F30E1"/>
    <w:rsid w:val="003F3D70"/>
    <w:rsid w:val="004006BA"/>
    <w:rsid w:val="00406369"/>
    <w:rsid w:val="00407AE6"/>
    <w:rsid w:val="00420223"/>
    <w:rsid w:val="00422C39"/>
    <w:rsid w:val="004262B5"/>
    <w:rsid w:val="0043686E"/>
    <w:rsid w:val="00437E7C"/>
    <w:rsid w:val="004522ED"/>
    <w:rsid w:val="004543F9"/>
    <w:rsid w:val="00455B2D"/>
    <w:rsid w:val="004560DA"/>
    <w:rsid w:val="00457540"/>
    <w:rsid w:val="00461776"/>
    <w:rsid w:val="00475131"/>
    <w:rsid w:val="00477241"/>
    <w:rsid w:val="00486116"/>
    <w:rsid w:val="00490DBA"/>
    <w:rsid w:val="004A524B"/>
    <w:rsid w:val="004A52F2"/>
    <w:rsid w:val="004B249F"/>
    <w:rsid w:val="004B7F10"/>
    <w:rsid w:val="004C5220"/>
    <w:rsid w:val="004D4B26"/>
    <w:rsid w:val="004D5D96"/>
    <w:rsid w:val="004F41B3"/>
    <w:rsid w:val="004F4631"/>
    <w:rsid w:val="004F51DF"/>
    <w:rsid w:val="0053609A"/>
    <w:rsid w:val="005477FF"/>
    <w:rsid w:val="00557C82"/>
    <w:rsid w:val="00567530"/>
    <w:rsid w:val="00571BE4"/>
    <w:rsid w:val="00571CF6"/>
    <w:rsid w:val="00581456"/>
    <w:rsid w:val="005A1256"/>
    <w:rsid w:val="005A3C1A"/>
    <w:rsid w:val="005B2B93"/>
    <w:rsid w:val="005B2D30"/>
    <w:rsid w:val="005B5777"/>
    <w:rsid w:val="005B662E"/>
    <w:rsid w:val="005C154D"/>
    <w:rsid w:val="005C23B3"/>
    <w:rsid w:val="005C2CE9"/>
    <w:rsid w:val="005C58C2"/>
    <w:rsid w:val="005E01DF"/>
    <w:rsid w:val="005E339F"/>
    <w:rsid w:val="005F1C31"/>
    <w:rsid w:val="005F315D"/>
    <w:rsid w:val="006131BC"/>
    <w:rsid w:val="0061736A"/>
    <w:rsid w:val="0062644F"/>
    <w:rsid w:val="00632585"/>
    <w:rsid w:val="0064102F"/>
    <w:rsid w:val="00641570"/>
    <w:rsid w:val="0065119D"/>
    <w:rsid w:val="00652395"/>
    <w:rsid w:val="00657C13"/>
    <w:rsid w:val="00666048"/>
    <w:rsid w:val="00670E4B"/>
    <w:rsid w:val="0068183E"/>
    <w:rsid w:val="00684605"/>
    <w:rsid w:val="006A180A"/>
    <w:rsid w:val="006B0AB9"/>
    <w:rsid w:val="006B0AD2"/>
    <w:rsid w:val="006B1B80"/>
    <w:rsid w:val="006C0E52"/>
    <w:rsid w:val="006D157A"/>
    <w:rsid w:val="006D2617"/>
    <w:rsid w:val="006E4C07"/>
    <w:rsid w:val="006F1101"/>
    <w:rsid w:val="006F6E9E"/>
    <w:rsid w:val="00701E31"/>
    <w:rsid w:val="00705CC3"/>
    <w:rsid w:val="00711AD6"/>
    <w:rsid w:val="00711F57"/>
    <w:rsid w:val="00714EAE"/>
    <w:rsid w:val="0072257B"/>
    <w:rsid w:val="00724D70"/>
    <w:rsid w:val="007254C6"/>
    <w:rsid w:val="0073788E"/>
    <w:rsid w:val="007435C0"/>
    <w:rsid w:val="00763CD3"/>
    <w:rsid w:val="007700B3"/>
    <w:rsid w:val="00781CBB"/>
    <w:rsid w:val="00784ED0"/>
    <w:rsid w:val="00785511"/>
    <w:rsid w:val="00787B24"/>
    <w:rsid w:val="007A12D2"/>
    <w:rsid w:val="007B2E26"/>
    <w:rsid w:val="007D7744"/>
    <w:rsid w:val="007E39AB"/>
    <w:rsid w:val="007E48EC"/>
    <w:rsid w:val="007F3D00"/>
    <w:rsid w:val="00836A3F"/>
    <w:rsid w:val="00840335"/>
    <w:rsid w:val="00867604"/>
    <w:rsid w:val="00870C6E"/>
    <w:rsid w:val="00873669"/>
    <w:rsid w:val="00895A29"/>
    <w:rsid w:val="0089620D"/>
    <w:rsid w:val="008B52F4"/>
    <w:rsid w:val="008B71F9"/>
    <w:rsid w:val="008D4265"/>
    <w:rsid w:val="008E14E5"/>
    <w:rsid w:val="008E2471"/>
    <w:rsid w:val="008E42B8"/>
    <w:rsid w:val="008E7E91"/>
    <w:rsid w:val="008F2210"/>
    <w:rsid w:val="008F4D31"/>
    <w:rsid w:val="00904711"/>
    <w:rsid w:val="00911BC6"/>
    <w:rsid w:val="00926872"/>
    <w:rsid w:val="00930691"/>
    <w:rsid w:val="00934947"/>
    <w:rsid w:val="00942862"/>
    <w:rsid w:val="00957707"/>
    <w:rsid w:val="009632DE"/>
    <w:rsid w:val="00963AD1"/>
    <w:rsid w:val="00981CD3"/>
    <w:rsid w:val="00991766"/>
    <w:rsid w:val="00997708"/>
    <w:rsid w:val="00997D98"/>
    <w:rsid w:val="009A21E0"/>
    <w:rsid w:val="009B2970"/>
    <w:rsid w:val="009B6DD0"/>
    <w:rsid w:val="009B7757"/>
    <w:rsid w:val="009B79D5"/>
    <w:rsid w:val="009D4863"/>
    <w:rsid w:val="009D73D7"/>
    <w:rsid w:val="009E51CE"/>
    <w:rsid w:val="009F255C"/>
    <w:rsid w:val="009F28B3"/>
    <w:rsid w:val="009F3065"/>
    <w:rsid w:val="00A0786C"/>
    <w:rsid w:val="00A212C1"/>
    <w:rsid w:val="00A24FA8"/>
    <w:rsid w:val="00A42C05"/>
    <w:rsid w:val="00A54C86"/>
    <w:rsid w:val="00A571A1"/>
    <w:rsid w:val="00A644B1"/>
    <w:rsid w:val="00A64809"/>
    <w:rsid w:val="00A7081A"/>
    <w:rsid w:val="00A72C50"/>
    <w:rsid w:val="00A734DD"/>
    <w:rsid w:val="00A84660"/>
    <w:rsid w:val="00A865EF"/>
    <w:rsid w:val="00A90228"/>
    <w:rsid w:val="00A93B39"/>
    <w:rsid w:val="00AA0436"/>
    <w:rsid w:val="00AB2217"/>
    <w:rsid w:val="00AC020F"/>
    <w:rsid w:val="00AC3DA6"/>
    <w:rsid w:val="00AC455D"/>
    <w:rsid w:val="00AC514B"/>
    <w:rsid w:val="00AD2809"/>
    <w:rsid w:val="00AD508C"/>
    <w:rsid w:val="00AD7061"/>
    <w:rsid w:val="00AF0395"/>
    <w:rsid w:val="00AF3529"/>
    <w:rsid w:val="00AF3C10"/>
    <w:rsid w:val="00AF5B2F"/>
    <w:rsid w:val="00B00F56"/>
    <w:rsid w:val="00B11C98"/>
    <w:rsid w:val="00B22B5D"/>
    <w:rsid w:val="00B333F9"/>
    <w:rsid w:val="00B37AC1"/>
    <w:rsid w:val="00B42C94"/>
    <w:rsid w:val="00B5084D"/>
    <w:rsid w:val="00B518AB"/>
    <w:rsid w:val="00B5241D"/>
    <w:rsid w:val="00B52A4B"/>
    <w:rsid w:val="00B56CD9"/>
    <w:rsid w:val="00B62EBE"/>
    <w:rsid w:val="00B72318"/>
    <w:rsid w:val="00B749A5"/>
    <w:rsid w:val="00B74F71"/>
    <w:rsid w:val="00B753BE"/>
    <w:rsid w:val="00B76BC9"/>
    <w:rsid w:val="00B806E2"/>
    <w:rsid w:val="00B84E57"/>
    <w:rsid w:val="00B85AFB"/>
    <w:rsid w:val="00B968B1"/>
    <w:rsid w:val="00B969A6"/>
    <w:rsid w:val="00BB3E51"/>
    <w:rsid w:val="00BB525C"/>
    <w:rsid w:val="00BB675A"/>
    <w:rsid w:val="00BB713B"/>
    <w:rsid w:val="00BB7CDC"/>
    <w:rsid w:val="00BC32A6"/>
    <w:rsid w:val="00BC6AA3"/>
    <w:rsid w:val="00BC7459"/>
    <w:rsid w:val="00BD44DA"/>
    <w:rsid w:val="00BD49A7"/>
    <w:rsid w:val="00BE0769"/>
    <w:rsid w:val="00BF2D3B"/>
    <w:rsid w:val="00BF2FCE"/>
    <w:rsid w:val="00BF5C56"/>
    <w:rsid w:val="00C0160D"/>
    <w:rsid w:val="00C06428"/>
    <w:rsid w:val="00C10C65"/>
    <w:rsid w:val="00C1686F"/>
    <w:rsid w:val="00C32ED5"/>
    <w:rsid w:val="00C61497"/>
    <w:rsid w:val="00C66305"/>
    <w:rsid w:val="00C74C8A"/>
    <w:rsid w:val="00C77E51"/>
    <w:rsid w:val="00C80D0D"/>
    <w:rsid w:val="00C85601"/>
    <w:rsid w:val="00C94F5C"/>
    <w:rsid w:val="00CA0219"/>
    <w:rsid w:val="00CA4F34"/>
    <w:rsid w:val="00CB28AA"/>
    <w:rsid w:val="00CB2FCD"/>
    <w:rsid w:val="00CD1F51"/>
    <w:rsid w:val="00CD25EC"/>
    <w:rsid w:val="00CE5D0F"/>
    <w:rsid w:val="00CF0FFC"/>
    <w:rsid w:val="00D01C43"/>
    <w:rsid w:val="00D1075E"/>
    <w:rsid w:val="00D14C4B"/>
    <w:rsid w:val="00D175B8"/>
    <w:rsid w:val="00D1779D"/>
    <w:rsid w:val="00D24BE2"/>
    <w:rsid w:val="00D258C7"/>
    <w:rsid w:val="00D33ED3"/>
    <w:rsid w:val="00D368C9"/>
    <w:rsid w:val="00D46D7F"/>
    <w:rsid w:val="00D50ED4"/>
    <w:rsid w:val="00D53BD7"/>
    <w:rsid w:val="00D614EE"/>
    <w:rsid w:val="00D71981"/>
    <w:rsid w:val="00D73A87"/>
    <w:rsid w:val="00D751DA"/>
    <w:rsid w:val="00D801E1"/>
    <w:rsid w:val="00D80742"/>
    <w:rsid w:val="00D924C0"/>
    <w:rsid w:val="00D95B52"/>
    <w:rsid w:val="00D95F86"/>
    <w:rsid w:val="00D97912"/>
    <w:rsid w:val="00DA6C57"/>
    <w:rsid w:val="00DB1368"/>
    <w:rsid w:val="00DB3409"/>
    <w:rsid w:val="00DB5345"/>
    <w:rsid w:val="00DB61D0"/>
    <w:rsid w:val="00DD355D"/>
    <w:rsid w:val="00DD3B32"/>
    <w:rsid w:val="00DE10FA"/>
    <w:rsid w:val="00DE1B9C"/>
    <w:rsid w:val="00DE31DB"/>
    <w:rsid w:val="00E03EC7"/>
    <w:rsid w:val="00E05536"/>
    <w:rsid w:val="00E1068B"/>
    <w:rsid w:val="00E24728"/>
    <w:rsid w:val="00E4444D"/>
    <w:rsid w:val="00E50140"/>
    <w:rsid w:val="00E504AF"/>
    <w:rsid w:val="00E56F9A"/>
    <w:rsid w:val="00E76D75"/>
    <w:rsid w:val="00E8559A"/>
    <w:rsid w:val="00E8653C"/>
    <w:rsid w:val="00EA66C3"/>
    <w:rsid w:val="00EB3DD1"/>
    <w:rsid w:val="00EC7E6B"/>
    <w:rsid w:val="00ED041E"/>
    <w:rsid w:val="00ED664D"/>
    <w:rsid w:val="00EE4B13"/>
    <w:rsid w:val="00EF0EAF"/>
    <w:rsid w:val="00EF2FBD"/>
    <w:rsid w:val="00F03D88"/>
    <w:rsid w:val="00F14377"/>
    <w:rsid w:val="00F20384"/>
    <w:rsid w:val="00F328DB"/>
    <w:rsid w:val="00F3456F"/>
    <w:rsid w:val="00F354C9"/>
    <w:rsid w:val="00F62292"/>
    <w:rsid w:val="00F72273"/>
    <w:rsid w:val="00F75196"/>
    <w:rsid w:val="00F859F3"/>
    <w:rsid w:val="00F93AB8"/>
    <w:rsid w:val="00F972A2"/>
    <w:rsid w:val="00FA1E0C"/>
    <w:rsid w:val="00FB30EA"/>
    <w:rsid w:val="00FC36B5"/>
    <w:rsid w:val="00FD0601"/>
    <w:rsid w:val="00FD5AFF"/>
    <w:rsid w:val="00FF72EC"/>
    <w:rsid w:val="01EECEF4"/>
    <w:rsid w:val="023DA082"/>
    <w:rsid w:val="03E777E3"/>
    <w:rsid w:val="048A6647"/>
    <w:rsid w:val="04D690FD"/>
    <w:rsid w:val="05553C88"/>
    <w:rsid w:val="05FD0411"/>
    <w:rsid w:val="06176B48"/>
    <w:rsid w:val="06DE5B9F"/>
    <w:rsid w:val="073B5496"/>
    <w:rsid w:val="07D47E3A"/>
    <w:rsid w:val="08D4F0FA"/>
    <w:rsid w:val="095B1E02"/>
    <w:rsid w:val="095E28B3"/>
    <w:rsid w:val="0A4BEE29"/>
    <w:rsid w:val="0C1AEA1F"/>
    <w:rsid w:val="0EAB8C61"/>
    <w:rsid w:val="11F4FD5E"/>
    <w:rsid w:val="11FD9A92"/>
    <w:rsid w:val="124FE915"/>
    <w:rsid w:val="12B7F4EC"/>
    <w:rsid w:val="13B964B3"/>
    <w:rsid w:val="15D466F9"/>
    <w:rsid w:val="16089379"/>
    <w:rsid w:val="180CDF15"/>
    <w:rsid w:val="18751F2D"/>
    <w:rsid w:val="19D233FD"/>
    <w:rsid w:val="1A87ECED"/>
    <w:rsid w:val="1D6C992E"/>
    <w:rsid w:val="1DBD3F57"/>
    <w:rsid w:val="1E14D35F"/>
    <w:rsid w:val="1E84319D"/>
    <w:rsid w:val="1ED1B1CB"/>
    <w:rsid w:val="1F59F351"/>
    <w:rsid w:val="206CB5E4"/>
    <w:rsid w:val="20FC07BC"/>
    <w:rsid w:val="21AAD3C4"/>
    <w:rsid w:val="2285F33F"/>
    <w:rsid w:val="242B955B"/>
    <w:rsid w:val="252ECB6E"/>
    <w:rsid w:val="267271A3"/>
    <w:rsid w:val="2B743605"/>
    <w:rsid w:val="2CDE7151"/>
    <w:rsid w:val="2D84E30F"/>
    <w:rsid w:val="32C74634"/>
    <w:rsid w:val="32CD7B3A"/>
    <w:rsid w:val="33741406"/>
    <w:rsid w:val="338F7315"/>
    <w:rsid w:val="344FEA62"/>
    <w:rsid w:val="388F68E7"/>
    <w:rsid w:val="389E125C"/>
    <w:rsid w:val="3C7FFF59"/>
    <w:rsid w:val="3C9B927A"/>
    <w:rsid w:val="3D783B04"/>
    <w:rsid w:val="3DA0D166"/>
    <w:rsid w:val="3F69D743"/>
    <w:rsid w:val="3FDBFFC9"/>
    <w:rsid w:val="4159BC83"/>
    <w:rsid w:val="43223F9B"/>
    <w:rsid w:val="446F6449"/>
    <w:rsid w:val="451C4FE7"/>
    <w:rsid w:val="45B1E651"/>
    <w:rsid w:val="472E4174"/>
    <w:rsid w:val="48809C5A"/>
    <w:rsid w:val="4899D4B4"/>
    <w:rsid w:val="49224705"/>
    <w:rsid w:val="4B9E855B"/>
    <w:rsid w:val="4BB4EF85"/>
    <w:rsid w:val="4C5CE2FD"/>
    <w:rsid w:val="4C920D28"/>
    <w:rsid w:val="4DF57ADB"/>
    <w:rsid w:val="521D2A3A"/>
    <w:rsid w:val="553B7B5B"/>
    <w:rsid w:val="56C3306A"/>
    <w:rsid w:val="5732B2A9"/>
    <w:rsid w:val="5AD580E8"/>
    <w:rsid w:val="5B5B3549"/>
    <w:rsid w:val="5BC29130"/>
    <w:rsid w:val="5D4175D4"/>
    <w:rsid w:val="5D7C9847"/>
    <w:rsid w:val="5DD9C7AE"/>
    <w:rsid w:val="5EBFBDC1"/>
    <w:rsid w:val="5ECFF31F"/>
    <w:rsid w:val="5F74DD4B"/>
    <w:rsid w:val="5FA7E49E"/>
    <w:rsid w:val="613B3708"/>
    <w:rsid w:val="62B50053"/>
    <w:rsid w:val="63CFF29B"/>
    <w:rsid w:val="65ED5EE3"/>
    <w:rsid w:val="68DFBF0D"/>
    <w:rsid w:val="69C66DA6"/>
    <w:rsid w:val="6B075CC4"/>
    <w:rsid w:val="6E385E96"/>
    <w:rsid w:val="6E8C55D7"/>
    <w:rsid w:val="71C50BDA"/>
    <w:rsid w:val="71FB9497"/>
    <w:rsid w:val="75A7B44F"/>
    <w:rsid w:val="78CA8F4F"/>
    <w:rsid w:val="7B01BD56"/>
    <w:rsid w:val="7D303CE8"/>
    <w:rsid w:val="7D5D050E"/>
    <w:rsid w:val="7DC6D7B5"/>
    <w:rsid w:val="7EE072D2"/>
    <w:rsid w:val="7F55DE9E"/>
    <w:rsid w:val="7F780CE1"/>
    <w:rsid w:val="7FF52C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319A6DA"/>
  <w15:chartTrackingRefBased/>
  <w15:docId w15:val="{40400340-7960-4585-80D0-9356CC82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8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410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0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0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0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4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02F"/>
    <w:rPr>
      <w:rFonts w:eastAsiaTheme="majorEastAsia" w:cstheme="majorBidi"/>
      <w:color w:val="272727" w:themeColor="text1" w:themeTint="D8"/>
    </w:rPr>
  </w:style>
  <w:style w:type="paragraph" w:styleId="Title">
    <w:name w:val="Title"/>
    <w:basedOn w:val="Normal"/>
    <w:next w:val="Normal"/>
    <w:link w:val="TitleChar"/>
    <w:uiPriority w:val="10"/>
    <w:qFormat/>
    <w:rsid w:val="006410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0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0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102F"/>
    <w:rPr>
      <w:i/>
      <w:iCs/>
      <w:color w:val="404040" w:themeColor="text1" w:themeTint="BF"/>
    </w:rPr>
  </w:style>
  <w:style w:type="paragraph" w:styleId="ListParagraph">
    <w:name w:val="List Paragraph"/>
    <w:basedOn w:val="Normal"/>
    <w:uiPriority w:val="34"/>
    <w:qFormat/>
    <w:rsid w:val="0064102F"/>
    <w:pPr>
      <w:ind w:left="720"/>
      <w:contextualSpacing/>
    </w:pPr>
  </w:style>
  <w:style w:type="character" w:styleId="IntenseEmphasis">
    <w:name w:val="Intense Emphasis"/>
    <w:basedOn w:val="DefaultParagraphFont"/>
    <w:uiPriority w:val="21"/>
    <w:qFormat/>
    <w:rsid w:val="0064102F"/>
    <w:rPr>
      <w:i/>
      <w:iCs/>
      <w:color w:val="0F4761" w:themeColor="accent1" w:themeShade="BF"/>
    </w:rPr>
  </w:style>
  <w:style w:type="paragraph" w:styleId="IntenseQuote">
    <w:name w:val="Intense Quote"/>
    <w:basedOn w:val="Normal"/>
    <w:next w:val="Normal"/>
    <w:link w:val="IntenseQuoteChar"/>
    <w:uiPriority w:val="30"/>
    <w:qFormat/>
    <w:rsid w:val="0064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02F"/>
    <w:rPr>
      <w:i/>
      <w:iCs/>
      <w:color w:val="0F4761" w:themeColor="accent1" w:themeShade="BF"/>
    </w:rPr>
  </w:style>
  <w:style w:type="character" w:styleId="IntenseReference">
    <w:name w:val="Intense Reference"/>
    <w:basedOn w:val="DefaultParagraphFont"/>
    <w:uiPriority w:val="32"/>
    <w:qFormat/>
    <w:rsid w:val="0064102F"/>
    <w:rPr>
      <w:b/>
      <w:bCs/>
      <w:smallCaps/>
      <w:color w:val="0F4761" w:themeColor="accent1" w:themeShade="BF"/>
      <w:spacing w:val="5"/>
    </w:rPr>
  </w:style>
  <w:style w:type="paragraph" w:styleId="NormalWeb">
    <w:name w:val="Normal (Web)"/>
    <w:basedOn w:val="Normal"/>
    <w:uiPriority w:val="99"/>
    <w:semiHidden/>
    <w:unhideWhenUsed/>
    <w:rsid w:val="0064102F"/>
    <w:pPr>
      <w:spacing w:before="100" w:beforeAutospacing="1" w:after="100" w:afterAutospacing="1"/>
    </w:pPr>
  </w:style>
  <w:style w:type="character" w:customStyle="1" w:styleId="il">
    <w:name w:val="il"/>
    <w:basedOn w:val="DefaultParagraphFont"/>
    <w:rsid w:val="0064102F"/>
  </w:style>
  <w:style w:type="character" w:styleId="Strong">
    <w:name w:val="Strong"/>
    <w:basedOn w:val="DefaultParagraphFont"/>
    <w:uiPriority w:val="22"/>
    <w:qFormat/>
    <w:rsid w:val="00DD355D"/>
    <w:rPr>
      <w:b/>
      <w:bCs/>
    </w:rPr>
  </w:style>
  <w:style w:type="table" w:styleId="TableGrid">
    <w:name w:val="Table Grid"/>
    <w:basedOn w:val="TableNormal"/>
    <w:uiPriority w:val="39"/>
    <w:rsid w:val="00F75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77078">
      <w:bodyDiv w:val="1"/>
      <w:marLeft w:val="0"/>
      <w:marRight w:val="0"/>
      <w:marTop w:val="0"/>
      <w:marBottom w:val="0"/>
      <w:divBdr>
        <w:top w:val="none" w:sz="0" w:space="0" w:color="auto"/>
        <w:left w:val="none" w:sz="0" w:space="0" w:color="auto"/>
        <w:bottom w:val="none" w:sz="0" w:space="0" w:color="auto"/>
        <w:right w:val="none" w:sz="0" w:space="0" w:color="auto"/>
      </w:divBdr>
    </w:div>
    <w:div w:id="244655150">
      <w:bodyDiv w:val="1"/>
      <w:marLeft w:val="0"/>
      <w:marRight w:val="0"/>
      <w:marTop w:val="0"/>
      <w:marBottom w:val="0"/>
      <w:divBdr>
        <w:top w:val="none" w:sz="0" w:space="0" w:color="auto"/>
        <w:left w:val="none" w:sz="0" w:space="0" w:color="auto"/>
        <w:bottom w:val="none" w:sz="0" w:space="0" w:color="auto"/>
        <w:right w:val="none" w:sz="0" w:space="0" w:color="auto"/>
      </w:divBdr>
    </w:div>
    <w:div w:id="277101189">
      <w:bodyDiv w:val="1"/>
      <w:marLeft w:val="0"/>
      <w:marRight w:val="0"/>
      <w:marTop w:val="0"/>
      <w:marBottom w:val="0"/>
      <w:divBdr>
        <w:top w:val="none" w:sz="0" w:space="0" w:color="auto"/>
        <w:left w:val="none" w:sz="0" w:space="0" w:color="auto"/>
        <w:bottom w:val="none" w:sz="0" w:space="0" w:color="auto"/>
        <w:right w:val="none" w:sz="0" w:space="0" w:color="auto"/>
      </w:divBdr>
    </w:div>
    <w:div w:id="563489294">
      <w:bodyDiv w:val="1"/>
      <w:marLeft w:val="0"/>
      <w:marRight w:val="0"/>
      <w:marTop w:val="0"/>
      <w:marBottom w:val="0"/>
      <w:divBdr>
        <w:top w:val="none" w:sz="0" w:space="0" w:color="auto"/>
        <w:left w:val="none" w:sz="0" w:space="0" w:color="auto"/>
        <w:bottom w:val="none" w:sz="0" w:space="0" w:color="auto"/>
        <w:right w:val="none" w:sz="0" w:space="0" w:color="auto"/>
      </w:divBdr>
    </w:div>
    <w:div w:id="668022355">
      <w:bodyDiv w:val="1"/>
      <w:marLeft w:val="0"/>
      <w:marRight w:val="0"/>
      <w:marTop w:val="0"/>
      <w:marBottom w:val="0"/>
      <w:divBdr>
        <w:top w:val="none" w:sz="0" w:space="0" w:color="auto"/>
        <w:left w:val="none" w:sz="0" w:space="0" w:color="auto"/>
        <w:bottom w:val="none" w:sz="0" w:space="0" w:color="auto"/>
        <w:right w:val="none" w:sz="0" w:space="0" w:color="auto"/>
      </w:divBdr>
    </w:div>
    <w:div w:id="769667420">
      <w:bodyDiv w:val="1"/>
      <w:marLeft w:val="0"/>
      <w:marRight w:val="0"/>
      <w:marTop w:val="0"/>
      <w:marBottom w:val="0"/>
      <w:divBdr>
        <w:top w:val="none" w:sz="0" w:space="0" w:color="auto"/>
        <w:left w:val="none" w:sz="0" w:space="0" w:color="auto"/>
        <w:bottom w:val="none" w:sz="0" w:space="0" w:color="auto"/>
        <w:right w:val="none" w:sz="0" w:space="0" w:color="auto"/>
      </w:divBdr>
    </w:div>
    <w:div w:id="778766965">
      <w:bodyDiv w:val="1"/>
      <w:marLeft w:val="0"/>
      <w:marRight w:val="0"/>
      <w:marTop w:val="0"/>
      <w:marBottom w:val="0"/>
      <w:divBdr>
        <w:top w:val="none" w:sz="0" w:space="0" w:color="auto"/>
        <w:left w:val="none" w:sz="0" w:space="0" w:color="auto"/>
        <w:bottom w:val="none" w:sz="0" w:space="0" w:color="auto"/>
        <w:right w:val="none" w:sz="0" w:space="0" w:color="auto"/>
      </w:divBdr>
    </w:div>
    <w:div w:id="854611129">
      <w:bodyDiv w:val="1"/>
      <w:marLeft w:val="0"/>
      <w:marRight w:val="0"/>
      <w:marTop w:val="0"/>
      <w:marBottom w:val="0"/>
      <w:divBdr>
        <w:top w:val="none" w:sz="0" w:space="0" w:color="auto"/>
        <w:left w:val="none" w:sz="0" w:space="0" w:color="auto"/>
        <w:bottom w:val="none" w:sz="0" w:space="0" w:color="auto"/>
        <w:right w:val="none" w:sz="0" w:space="0" w:color="auto"/>
      </w:divBdr>
    </w:div>
    <w:div w:id="867840332">
      <w:bodyDiv w:val="1"/>
      <w:marLeft w:val="0"/>
      <w:marRight w:val="0"/>
      <w:marTop w:val="0"/>
      <w:marBottom w:val="0"/>
      <w:divBdr>
        <w:top w:val="none" w:sz="0" w:space="0" w:color="auto"/>
        <w:left w:val="none" w:sz="0" w:space="0" w:color="auto"/>
        <w:bottom w:val="none" w:sz="0" w:space="0" w:color="auto"/>
        <w:right w:val="none" w:sz="0" w:space="0" w:color="auto"/>
      </w:divBdr>
    </w:div>
    <w:div w:id="949119325">
      <w:bodyDiv w:val="1"/>
      <w:marLeft w:val="0"/>
      <w:marRight w:val="0"/>
      <w:marTop w:val="0"/>
      <w:marBottom w:val="0"/>
      <w:divBdr>
        <w:top w:val="none" w:sz="0" w:space="0" w:color="auto"/>
        <w:left w:val="none" w:sz="0" w:space="0" w:color="auto"/>
        <w:bottom w:val="none" w:sz="0" w:space="0" w:color="auto"/>
        <w:right w:val="none" w:sz="0" w:space="0" w:color="auto"/>
      </w:divBdr>
    </w:div>
    <w:div w:id="959067015">
      <w:bodyDiv w:val="1"/>
      <w:marLeft w:val="0"/>
      <w:marRight w:val="0"/>
      <w:marTop w:val="0"/>
      <w:marBottom w:val="0"/>
      <w:divBdr>
        <w:top w:val="none" w:sz="0" w:space="0" w:color="auto"/>
        <w:left w:val="none" w:sz="0" w:space="0" w:color="auto"/>
        <w:bottom w:val="none" w:sz="0" w:space="0" w:color="auto"/>
        <w:right w:val="none" w:sz="0" w:space="0" w:color="auto"/>
      </w:divBdr>
    </w:div>
    <w:div w:id="1113864664">
      <w:bodyDiv w:val="1"/>
      <w:marLeft w:val="0"/>
      <w:marRight w:val="0"/>
      <w:marTop w:val="0"/>
      <w:marBottom w:val="0"/>
      <w:divBdr>
        <w:top w:val="none" w:sz="0" w:space="0" w:color="auto"/>
        <w:left w:val="none" w:sz="0" w:space="0" w:color="auto"/>
        <w:bottom w:val="none" w:sz="0" w:space="0" w:color="auto"/>
        <w:right w:val="none" w:sz="0" w:space="0" w:color="auto"/>
      </w:divBdr>
    </w:div>
    <w:div w:id="1153913191">
      <w:bodyDiv w:val="1"/>
      <w:marLeft w:val="0"/>
      <w:marRight w:val="0"/>
      <w:marTop w:val="0"/>
      <w:marBottom w:val="0"/>
      <w:divBdr>
        <w:top w:val="none" w:sz="0" w:space="0" w:color="auto"/>
        <w:left w:val="none" w:sz="0" w:space="0" w:color="auto"/>
        <w:bottom w:val="none" w:sz="0" w:space="0" w:color="auto"/>
        <w:right w:val="none" w:sz="0" w:space="0" w:color="auto"/>
      </w:divBdr>
    </w:div>
    <w:div w:id="1377042901">
      <w:bodyDiv w:val="1"/>
      <w:marLeft w:val="0"/>
      <w:marRight w:val="0"/>
      <w:marTop w:val="0"/>
      <w:marBottom w:val="0"/>
      <w:divBdr>
        <w:top w:val="none" w:sz="0" w:space="0" w:color="auto"/>
        <w:left w:val="none" w:sz="0" w:space="0" w:color="auto"/>
        <w:bottom w:val="none" w:sz="0" w:space="0" w:color="auto"/>
        <w:right w:val="none" w:sz="0" w:space="0" w:color="auto"/>
      </w:divBdr>
    </w:div>
    <w:div w:id="1390961906">
      <w:bodyDiv w:val="1"/>
      <w:marLeft w:val="0"/>
      <w:marRight w:val="0"/>
      <w:marTop w:val="0"/>
      <w:marBottom w:val="0"/>
      <w:divBdr>
        <w:top w:val="none" w:sz="0" w:space="0" w:color="auto"/>
        <w:left w:val="none" w:sz="0" w:space="0" w:color="auto"/>
        <w:bottom w:val="none" w:sz="0" w:space="0" w:color="auto"/>
        <w:right w:val="none" w:sz="0" w:space="0" w:color="auto"/>
      </w:divBdr>
    </w:div>
    <w:div w:id="1556315160">
      <w:bodyDiv w:val="1"/>
      <w:marLeft w:val="0"/>
      <w:marRight w:val="0"/>
      <w:marTop w:val="0"/>
      <w:marBottom w:val="0"/>
      <w:divBdr>
        <w:top w:val="none" w:sz="0" w:space="0" w:color="auto"/>
        <w:left w:val="none" w:sz="0" w:space="0" w:color="auto"/>
        <w:bottom w:val="none" w:sz="0" w:space="0" w:color="auto"/>
        <w:right w:val="none" w:sz="0" w:space="0" w:color="auto"/>
      </w:divBdr>
    </w:div>
    <w:div w:id="1645545295">
      <w:bodyDiv w:val="1"/>
      <w:marLeft w:val="0"/>
      <w:marRight w:val="0"/>
      <w:marTop w:val="0"/>
      <w:marBottom w:val="0"/>
      <w:divBdr>
        <w:top w:val="none" w:sz="0" w:space="0" w:color="auto"/>
        <w:left w:val="none" w:sz="0" w:space="0" w:color="auto"/>
        <w:bottom w:val="none" w:sz="0" w:space="0" w:color="auto"/>
        <w:right w:val="none" w:sz="0" w:space="0" w:color="auto"/>
      </w:divBdr>
    </w:div>
    <w:div w:id="1677728997">
      <w:bodyDiv w:val="1"/>
      <w:marLeft w:val="0"/>
      <w:marRight w:val="0"/>
      <w:marTop w:val="0"/>
      <w:marBottom w:val="0"/>
      <w:divBdr>
        <w:top w:val="none" w:sz="0" w:space="0" w:color="auto"/>
        <w:left w:val="none" w:sz="0" w:space="0" w:color="auto"/>
        <w:bottom w:val="none" w:sz="0" w:space="0" w:color="auto"/>
        <w:right w:val="none" w:sz="0" w:space="0" w:color="auto"/>
      </w:divBdr>
    </w:div>
    <w:div w:id="1693992417">
      <w:bodyDiv w:val="1"/>
      <w:marLeft w:val="0"/>
      <w:marRight w:val="0"/>
      <w:marTop w:val="0"/>
      <w:marBottom w:val="0"/>
      <w:divBdr>
        <w:top w:val="none" w:sz="0" w:space="0" w:color="auto"/>
        <w:left w:val="none" w:sz="0" w:space="0" w:color="auto"/>
        <w:bottom w:val="none" w:sz="0" w:space="0" w:color="auto"/>
        <w:right w:val="none" w:sz="0" w:space="0" w:color="auto"/>
      </w:divBdr>
    </w:div>
    <w:div w:id="1755473784">
      <w:bodyDiv w:val="1"/>
      <w:marLeft w:val="0"/>
      <w:marRight w:val="0"/>
      <w:marTop w:val="0"/>
      <w:marBottom w:val="0"/>
      <w:divBdr>
        <w:top w:val="none" w:sz="0" w:space="0" w:color="auto"/>
        <w:left w:val="none" w:sz="0" w:space="0" w:color="auto"/>
        <w:bottom w:val="none" w:sz="0" w:space="0" w:color="auto"/>
        <w:right w:val="none" w:sz="0" w:space="0" w:color="auto"/>
      </w:divBdr>
      <w:divsChild>
        <w:div w:id="34962970">
          <w:marLeft w:val="0"/>
          <w:marRight w:val="0"/>
          <w:marTop w:val="0"/>
          <w:marBottom w:val="0"/>
          <w:divBdr>
            <w:top w:val="none" w:sz="0" w:space="0" w:color="auto"/>
            <w:left w:val="none" w:sz="0" w:space="0" w:color="auto"/>
            <w:bottom w:val="none" w:sz="0" w:space="0" w:color="auto"/>
            <w:right w:val="none" w:sz="0" w:space="0" w:color="auto"/>
          </w:divBdr>
          <w:divsChild>
            <w:div w:id="499925177">
              <w:marLeft w:val="0"/>
              <w:marRight w:val="0"/>
              <w:marTop w:val="0"/>
              <w:marBottom w:val="0"/>
              <w:divBdr>
                <w:top w:val="none" w:sz="0" w:space="0" w:color="auto"/>
                <w:left w:val="none" w:sz="0" w:space="0" w:color="auto"/>
                <w:bottom w:val="none" w:sz="0" w:space="0" w:color="auto"/>
                <w:right w:val="none" w:sz="0" w:space="0" w:color="auto"/>
              </w:divBdr>
              <w:divsChild>
                <w:div w:id="907763829">
                  <w:marLeft w:val="0"/>
                  <w:marRight w:val="0"/>
                  <w:marTop w:val="0"/>
                  <w:marBottom w:val="0"/>
                  <w:divBdr>
                    <w:top w:val="none" w:sz="0" w:space="0" w:color="auto"/>
                    <w:left w:val="none" w:sz="0" w:space="0" w:color="auto"/>
                    <w:bottom w:val="none" w:sz="0" w:space="0" w:color="auto"/>
                    <w:right w:val="none" w:sz="0" w:space="0" w:color="auto"/>
                  </w:divBdr>
                  <w:divsChild>
                    <w:div w:id="693002555">
                      <w:marLeft w:val="0"/>
                      <w:marRight w:val="0"/>
                      <w:marTop w:val="0"/>
                      <w:marBottom w:val="0"/>
                      <w:divBdr>
                        <w:top w:val="none" w:sz="0" w:space="0" w:color="auto"/>
                        <w:left w:val="none" w:sz="0" w:space="0" w:color="auto"/>
                        <w:bottom w:val="none" w:sz="0" w:space="0" w:color="auto"/>
                        <w:right w:val="none" w:sz="0" w:space="0" w:color="auto"/>
                      </w:divBdr>
                      <w:divsChild>
                        <w:div w:id="1343974335">
                          <w:marLeft w:val="0"/>
                          <w:marRight w:val="0"/>
                          <w:marTop w:val="0"/>
                          <w:marBottom w:val="0"/>
                          <w:divBdr>
                            <w:top w:val="none" w:sz="0" w:space="0" w:color="auto"/>
                            <w:left w:val="none" w:sz="0" w:space="0" w:color="auto"/>
                            <w:bottom w:val="none" w:sz="0" w:space="0" w:color="auto"/>
                            <w:right w:val="none" w:sz="0" w:space="0" w:color="auto"/>
                          </w:divBdr>
                          <w:divsChild>
                            <w:div w:id="1481385432">
                              <w:marLeft w:val="0"/>
                              <w:marRight w:val="0"/>
                              <w:marTop w:val="0"/>
                              <w:marBottom w:val="0"/>
                              <w:divBdr>
                                <w:top w:val="none" w:sz="0" w:space="0" w:color="auto"/>
                                <w:left w:val="none" w:sz="0" w:space="0" w:color="auto"/>
                                <w:bottom w:val="none" w:sz="0" w:space="0" w:color="auto"/>
                                <w:right w:val="none" w:sz="0" w:space="0" w:color="auto"/>
                              </w:divBdr>
                              <w:divsChild>
                                <w:div w:id="1947813645">
                                  <w:marLeft w:val="0"/>
                                  <w:marRight w:val="0"/>
                                  <w:marTop w:val="0"/>
                                  <w:marBottom w:val="0"/>
                                  <w:divBdr>
                                    <w:top w:val="none" w:sz="0" w:space="0" w:color="auto"/>
                                    <w:left w:val="none" w:sz="0" w:space="0" w:color="auto"/>
                                    <w:bottom w:val="none" w:sz="0" w:space="0" w:color="auto"/>
                                    <w:right w:val="none" w:sz="0" w:space="0" w:color="auto"/>
                                  </w:divBdr>
                                  <w:divsChild>
                                    <w:div w:id="637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36072">
          <w:marLeft w:val="0"/>
          <w:marRight w:val="0"/>
          <w:marTop w:val="0"/>
          <w:marBottom w:val="0"/>
          <w:divBdr>
            <w:top w:val="none" w:sz="0" w:space="0" w:color="auto"/>
            <w:left w:val="none" w:sz="0" w:space="0" w:color="auto"/>
            <w:bottom w:val="none" w:sz="0" w:space="0" w:color="auto"/>
            <w:right w:val="none" w:sz="0" w:space="0" w:color="auto"/>
          </w:divBdr>
          <w:divsChild>
            <w:div w:id="1633711321">
              <w:marLeft w:val="0"/>
              <w:marRight w:val="0"/>
              <w:marTop w:val="0"/>
              <w:marBottom w:val="0"/>
              <w:divBdr>
                <w:top w:val="none" w:sz="0" w:space="0" w:color="auto"/>
                <w:left w:val="none" w:sz="0" w:space="0" w:color="auto"/>
                <w:bottom w:val="none" w:sz="0" w:space="0" w:color="auto"/>
                <w:right w:val="none" w:sz="0" w:space="0" w:color="auto"/>
              </w:divBdr>
              <w:divsChild>
                <w:div w:id="948781917">
                  <w:marLeft w:val="0"/>
                  <w:marRight w:val="0"/>
                  <w:marTop w:val="0"/>
                  <w:marBottom w:val="0"/>
                  <w:divBdr>
                    <w:top w:val="none" w:sz="0" w:space="0" w:color="auto"/>
                    <w:left w:val="none" w:sz="0" w:space="0" w:color="auto"/>
                    <w:bottom w:val="none" w:sz="0" w:space="0" w:color="auto"/>
                    <w:right w:val="none" w:sz="0" w:space="0" w:color="auto"/>
                  </w:divBdr>
                  <w:divsChild>
                    <w:div w:id="1300647406">
                      <w:marLeft w:val="0"/>
                      <w:marRight w:val="0"/>
                      <w:marTop w:val="0"/>
                      <w:marBottom w:val="0"/>
                      <w:divBdr>
                        <w:top w:val="none" w:sz="0" w:space="0" w:color="auto"/>
                        <w:left w:val="none" w:sz="0" w:space="0" w:color="auto"/>
                        <w:bottom w:val="none" w:sz="0" w:space="0" w:color="auto"/>
                        <w:right w:val="none" w:sz="0" w:space="0" w:color="auto"/>
                      </w:divBdr>
                      <w:divsChild>
                        <w:div w:id="77024927">
                          <w:marLeft w:val="0"/>
                          <w:marRight w:val="0"/>
                          <w:marTop w:val="0"/>
                          <w:marBottom w:val="0"/>
                          <w:divBdr>
                            <w:top w:val="none" w:sz="0" w:space="0" w:color="auto"/>
                            <w:left w:val="none" w:sz="0" w:space="0" w:color="auto"/>
                            <w:bottom w:val="none" w:sz="0" w:space="0" w:color="auto"/>
                            <w:right w:val="none" w:sz="0" w:space="0" w:color="auto"/>
                          </w:divBdr>
                          <w:divsChild>
                            <w:div w:id="1613784338">
                              <w:marLeft w:val="0"/>
                              <w:marRight w:val="0"/>
                              <w:marTop w:val="0"/>
                              <w:marBottom w:val="0"/>
                              <w:divBdr>
                                <w:top w:val="none" w:sz="0" w:space="0" w:color="auto"/>
                                <w:left w:val="none" w:sz="0" w:space="0" w:color="auto"/>
                                <w:bottom w:val="none" w:sz="0" w:space="0" w:color="auto"/>
                                <w:right w:val="none" w:sz="0" w:space="0" w:color="auto"/>
                              </w:divBdr>
                              <w:divsChild>
                                <w:div w:id="205265394">
                                  <w:marLeft w:val="0"/>
                                  <w:marRight w:val="0"/>
                                  <w:marTop w:val="0"/>
                                  <w:marBottom w:val="0"/>
                                  <w:divBdr>
                                    <w:top w:val="none" w:sz="0" w:space="0" w:color="auto"/>
                                    <w:left w:val="none" w:sz="0" w:space="0" w:color="auto"/>
                                    <w:bottom w:val="none" w:sz="0" w:space="0" w:color="auto"/>
                                    <w:right w:val="none" w:sz="0" w:space="0" w:color="auto"/>
                                  </w:divBdr>
                                  <w:divsChild>
                                    <w:div w:id="13681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427251">
          <w:marLeft w:val="0"/>
          <w:marRight w:val="0"/>
          <w:marTop w:val="0"/>
          <w:marBottom w:val="0"/>
          <w:divBdr>
            <w:top w:val="none" w:sz="0" w:space="0" w:color="auto"/>
            <w:left w:val="none" w:sz="0" w:space="0" w:color="auto"/>
            <w:bottom w:val="none" w:sz="0" w:space="0" w:color="auto"/>
            <w:right w:val="none" w:sz="0" w:space="0" w:color="auto"/>
          </w:divBdr>
          <w:divsChild>
            <w:div w:id="992374444">
              <w:marLeft w:val="0"/>
              <w:marRight w:val="0"/>
              <w:marTop w:val="0"/>
              <w:marBottom w:val="0"/>
              <w:divBdr>
                <w:top w:val="none" w:sz="0" w:space="0" w:color="auto"/>
                <w:left w:val="none" w:sz="0" w:space="0" w:color="auto"/>
                <w:bottom w:val="none" w:sz="0" w:space="0" w:color="auto"/>
                <w:right w:val="none" w:sz="0" w:space="0" w:color="auto"/>
              </w:divBdr>
              <w:divsChild>
                <w:div w:id="1595674573">
                  <w:marLeft w:val="0"/>
                  <w:marRight w:val="0"/>
                  <w:marTop w:val="0"/>
                  <w:marBottom w:val="0"/>
                  <w:divBdr>
                    <w:top w:val="none" w:sz="0" w:space="0" w:color="auto"/>
                    <w:left w:val="none" w:sz="0" w:space="0" w:color="auto"/>
                    <w:bottom w:val="none" w:sz="0" w:space="0" w:color="auto"/>
                    <w:right w:val="none" w:sz="0" w:space="0" w:color="auto"/>
                  </w:divBdr>
                  <w:divsChild>
                    <w:div w:id="121655684">
                      <w:marLeft w:val="0"/>
                      <w:marRight w:val="0"/>
                      <w:marTop w:val="0"/>
                      <w:marBottom w:val="0"/>
                      <w:divBdr>
                        <w:top w:val="none" w:sz="0" w:space="0" w:color="auto"/>
                        <w:left w:val="none" w:sz="0" w:space="0" w:color="auto"/>
                        <w:bottom w:val="none" w:sz="0" w:space="0" w:color="auto"/>
                        <w:right w:val="none" w:sz="0" w:space="0" w:color="auto"/>
                      </w:divBdr>
                      <w:divsChild>
                        <w:div w:id="938677690">
                          <w:marLeft w:val="0"/>
                          <w:marRight w:val="0"/>
                          <w:marTop w:val="0"/>
                          <w:marBottom w:val="0"/>
                          <w:divBdr>
                            <w:top w:val="none" w:sz="0" w:space="0" w:color="auto"/>
                            <w:left w:val="none" w:sz="0" w:space="0" w:color="auto"/>
                            <w:bottom w:val="none" w:sz="0" w:space="0" w:color="auto"/>
                            <w:right w:val="none" w:sz="0" w:space="0" w:color="auto"/>
                          </w:divBdr>
                          <w:divsChild>
                            <w:div w:id="354617536">
                              <w:marLeft w:val="0"/>
                              <w:marRight w:val="0"/>
                              <w:marTop w:val="0"/>
                              <w:marBottom w:val="0"/>
                              <w:divBdr>
                                <w:top w:val="none" w:sz="0" w:space="0" w:color="auto"/>
                                <w:left w:val="none" w:sz="0" w:space="0" w:color="auto"/>
                                <w:bottom w:val="none" w:sz="0" w:space="0" w:color="auto"/>
                                <w:right w:val="none" w:sz="0" w:space="0" w:color="auto"/>
                              </w:divBdr>
                              <w:divsChild>
                                <w:div w:id="1330058889">
                                  <w:marLeft w:val="0"/>
                                  <w:marRight w:val="0"/>
                                  <w:marTop w:val="0"/>
                                  <w:marBottom w:val="0"/>
                                  <w:divBdr>
                                    <w:top w:val="none" w:sz="0" w:space="0" w:color="auto"/>
                                    <w:left w:val="none" w:sz="0" w:space="0" w:color="auto"/>
                                    <w:bottom w:val="none" w:sz="0" w:space="0" w:color="auto"/>
                                    <w:right w:val="none" w:sz="0" w:space="0" w:color="auto"/>
                                  </w:divBdr>
                                  <w:divsChild>
                                    <w:div w:id="1878617868">
                                      <w:marLeft w:val="0"/>
                                      <w:marRight w:val="0"/>
                                      <w:marTop w:val="0"/>
                                      <w:marBottom w:val="0"/>
                                      <w:divBdr>
                                        <w:top w:val="none" w:sz="0" w:space="0" w:color="auto"/>
                                        <w:left w:val="none" w:sz="0" w:space="0" w:color="auto"/>
                                        <w:bottom w:val="none" w:sz="0" w:space="0" w:color="auto"/>
                                        <w:right w:val="none" w:sz="0" w:space="0" w:color="auto"/>
                                      </w:divBdr>
                                      <w:divsChild>
                                        <w:div w:id="519320806">
                                          <w:marLeft w:val="0"/>
                                          <w:marRight w:val="0"/>
                                          <w:marTop w:val="0"/>
                                          <w:marBottom w:val="0"/>
                                          <w:divBdr>
                                            <w:top w:val="none" w:sz="0" w:space="0" w:color="auto"/>
                                            <w:left w:val="none" w:sz="0" w:space="0" w:color="auto"/>
                                            <w:bottom w:val="none" w:sz="0" w:space="0" w:color="auto"/>
                                            <w:right w:val="none" w:sz="0" w:space="0" w:color="auto"/>
                                          </w:divBdr>
                                          <w:divsChild>
                                            <w:div w:id="48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257506">
      <w:bodyDiv w:val="1"/>
      <w:marLeft w:val="0"/>
      <w:marRight w:val="0"/>
      <w:marTop w:val="0"/>
      <w:marBottom w:val="0"/>
      <w:divBdr>
        <w:top w:val="none" w:sz="0" w:space="0" w:color="auto"/>
        <w:left w:val="none" w:sz="0" w:space="0" w:color="auto"/>
        <w:bottom w:val="none" w:sz="0" w:space="0" w:color="auto"/>
        <w:right w:val="none" w:sz="0" w:space="0" w:color="auto"/>
      </w:divBdr>
    </w:div>
    <w:div w:id="1987122483">
      <w:bodyDiv w:val="1"/>
      <w:marLeft w:val="0"/>
      <w:marRight w:val="0"/>
      <w:marTop w:val="0"/>
      <w:marBottom w:val="0"/>
      <w:divBdr>
        <w:top w:val="none" w:sz="0" w:space="0" w:color="auto"/>
        <w:left w:val="none" w:sz="0" w:space="0" w:color="auto"/>
        <w:bottom w:val="none" w:sz="0" w:space="0" w:color="auto"/>
        <w:right w:val="none" w:sz="0" w:space="0" w:color="auto"/>
      </w:divBdr>
    </w:div>
    <w:div w:id="208675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FC60D-B15C-D342-BC4B-ED77DC160A48}">
  <ds:schemaRefs>
    <ds:schemaRef ds:uri="http://schemas.openxmlformats.org/officeDocument/2006/bibliography"/>
  </ds:schemaRefs>
</ds:datastoreItem>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932</Words>
  <Characters>5315</Characters>
  <Application>Microsoft Office Word</Application>
  <DocSecurity>4</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Tatlonghari, Owen</dc:creator>
  <cp:keywords/>
  <dc:description/>
  <cp:lastModifiedBy>Howard, Alan</cp:lastModifiedBy>
  <cp:revision>135</cp:revision>
  <dcterms:created xsi:type="dcterms:W3CDTF">2025-03-18T02:22:00Z</dcterms:created>
  <dcterms:modified xsi:type="dcterms:W3CDTF">2025-03-20T15:49:00Z</dcterms:modified>
</cp:coreProperties>
</file>