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方正小标宋简体" w:hAnsi="方正小标宋简体" w:eastAsia="方正小标宋简体" w:cs="方正小标宋简体"/>
          <w:kern w:val="2"/>
          <w:sz w:val="72"/>
          <w:szCs w:val="72"/>
          <w:lang w:val="en-US" w:eastAsia="zh-CN" w:bidi="ar"/>
        </w:rPr>
      </w:pPr>
      <w:r>
        <w:rPr>
          <w:rFonts w:hint="eastAsia" w:ascii="方正小标宋简体" w:hAnsi="方正小标宋简体" w:eastAsia="方正小标宋简体" w:cs="方正小标宋简体"/>
          <w:kern w:val="2"/>
          <w:sz w:val="72"/>
          <w:szCs w:val="72"/>
          <w:lang w:val="en-US" w:eastAsia="zh-CN" w:bidi="ar"/>
        </w:rPr>
        <w:t>新能源汽车产业</w:t>
      </w:r>
    </w:p>
    <w:p>
      <w:pPr>
        <w:keepNext w:val="0"/>
        <w:keepLines w:val="0"/>
        <w:widowControl w:val="0"/>
        <w:suppressLineNumbers w:val="0"/>
        <w:spacing w:before="0" w:beforeAutospacing="0" w:after="0" w:afterAutospacing="0"/>
        <w:ind w:left="0" w:right="0"/>
        <w:jc w:val="center"/>
        <w:rPr>
          <w:rFonts w:hint="default" w:ascii="Times New Roman" w:hAnsi="Times New Roman" w:eastAsia="方正小标宋简体" w:cs="方正小标宋简体"/>
          <w:kern w:val="2"/>
          <w:sz w:val="110"/>
          <w:szCs w:val="110"/>
          <w:lang w:val="en-US" w:eastAsia="zh-CN" w:bidi="ar"/>
        </w:rPr>
      </w:pPr>
      <w:r>
        <w:rPr>
          <w:rFonts w:hint="default" w:ascii="方正小标宋简体" w:hAnsi="方正小标宋简体" w:eastAsia="方正小标宋简体" w:cs="方正小标宋简体"/>
          <w:kern w:val="2"/>
          <w:sz w:val="72"/>
          <w:szCs w:val="72"/>
          <w:lang w:eastAsia="zh-CN" w:bidi="ar"/>
        </w:rPr>
        <w:t>4月重点</w:t>
      </w:r>
      <w:r>
        <w:rPr>
          <w:rFonts w:hint="eastAsia" w:ascii="方正小标宋简体" w:hAnsi="方正小标宋简体" w:eastAsia="方正小标宋简体" w:cs="方正小标宋简体"/>
          <w:kern w:val="2"/>
          <w:sz w:val="72"/>
          <w:szCs w:val="72"/>
          <w:lang w:val="en-US" w:eastAsia="zh-CN" w:bidi="ar"/>
        </w:rPr>
        <w:t>政策环境分析</w:t>
      </w:r>
    </w:p>
    <w:p>
      <w:pPr>
        <w:keepNext w:val="0"/>
        <w:keepLines w:val="0"/>
        <w:widowControl w:val="0"/>
        <w:suppressLineNumbers w:val="0"/>
        <w:snapToGrid w:val="0"/>
        <w:spacing w:before="0" w:beforeAutospacing="0" w:after="0" w:afterAutospacing="0" w:line="500" w:lineRule="atLeast"/>
        <w:ind w:left="0" w:right="0"/>
        <w:jc w:val="center"/>
        <w:rPr>
          <w:rFonts w:hint="default" w:ascii="Times New Roman" w:hAnsi="Times New Roman" w:eastAsia="楷体" w:cs="Times New Roman"/>
          <w:kern w:val="0"/>
          <w:sz w:val="21"/>
          <w:szCs w:val="21"/>
        </w:rPr>
      </w:pPr>
      <w:r>
        <w:rPr>
          <w:rFonts w:hint="default" w:ascii="Times New Roman" w:hAnsi="Times New Roman" w:eastAsia="楷体" w:cs="Times New Roman"/>
          <w:kern w:val="0"/>
          <w:sz w:val="21"/>
          <w:szCs w:val="21"/>
          <w:lang w:val="en-US" w:eastAsia="zh-CN" w:bidi="ar"/>
        </w:rPr>
        <w:t xml:space="preserve"> </w:t>
      </w:r>
    </w:p>
    <w:p>
      <w:pPr>
        <w:keepNext w:val="0"/>
        <w:keepLines w:val="0"/>
        <w:widowControl w:val="0"/>
        <w:suppressLineNumbers w:val="0"/>
        <w:snapToGrid w:val="0"/>
        <w:spacing w:before="0" w:beforeAutospacing="0" w:after="0" w:afterAutospacing="0" w:line="500" w:lineRule="atLeast"/>
        <w:ind w:left="0" w:right="0"/>
        <w:jc w:val="center"/>
        <w:rPr>
          <w:rFonts w:hint="default" w:ascii="Times New Roman" w:hAnsi="Times New Roman" w:eastAsia="黑体" w:cs="Times New Roman"/>
          <w:kern w:val="0"/>
          <w:sz w:val="36"/>
          <w:szCs w:val="36"/>
        </w:rPr>
      </w:pPr>
      <w:r>
        <w:rPr>
          <w:rFonts w:hint="default" w:ascii="Times New Roman" w:hAnsi="Times New Roman" w:eastAsia="黑体" w:cs="Times New Roman"/>
          <w:kern w:val="0"/>
          <w:sz w:val="36"/>
          <w:szCs w:val="36"/>
          <w:lang w:val="en-US" w:eastAsia="zh-CN" w:bidi="ar"/>
        </w:rPr>
        <w:t>202</w:t>
      </w:r>
      <w:r>
        <w:rPr>
          <w:rFonts w:hint="default" w:ascii="Times New Roman" w:hAnsi="Times New Roman" w:eastAsia="黑体" w:cs="Times New Roman"/>
          <w:kern w:val="0"/>
          <w:sz w:val="36"/>
          <w:szCs w:val="36"/>
          <w:lang w:eastAsia="zh-CN" w:bidi="ar"/>
        </w:rPr>
        <w:t>4</w:t>
      </w:r>
      <w:r>
        <w:rPr>
          <w:rFonts w:hint="default" w:ascii="黑体" w:hAnsi="宋体" w:eastAsia="黑体" w:cs="黑体"/>
          <w:kern w:val="0"/>
          <w:sz w:val="36"/>
          <w:szCs w:val="36"/>
          <w:lang w:val="en-US" w:eastAsia="zh-CN" w:bidi="ar"/>
        </w:rPr>
        <w:t>年</w:t>
      </w:r>
      <w:r>
        <w:rPr>
          <w:rFonts w:hint="default" w:ascii="Times New Roman" w:hAnsi="Times New Roman" w:eastAsia="黑体" w:cs="Times New Roman"/>
          <w:kern w:val="0"/>
          <w:sz w:val="36"/>
          <w:szCs w:val="36"/>
          <w:lang w:val="en-US" w:eastAsia="zh-CN" w:bidi="ar"/>
        </w:rPr>
        <w:t xml:space="preserve"> </w:t>
      </w:r>
      <w:r>
        <w:rPr>
          <w:rFonts w:hint="default" w:ascii="黑体" w:hAnsi="宋体" w:eastAsia="黑体" w:cs="黑体"/>
          <w:kern w:val="0"/>
          <w:sz w:val="36"/>
          <w:szCs w:val="36"/>
          <w:lang w:val="en-US" w:eastAsia="zh-CN" w:bidi="ar"/>
        </w:rPr>
        <w:t>第</w:t>
      </w:r>
      <w:r>
        <w:rPr>
          <w:rFonts w:hint="default" w:ascii="黑体" w:hAnsi="宋体" w:eastAsia="黑体" w:cs="黑体"/>
          <w:kern w:val="0"/>
          <w:sz w:val="36"/>
          <w:szCs w:val="36"/>
          <w:lang w:eastAsia="zh-CN" w:bidi="ar"/>
        </w:rPr>
        <w:t>4</w:t>
      </w:r>
      <w:r>
        <w:rPr>
          <w:rFonts w:hint="default" w:ascii="黑体" w:hAnsi="宋体" w:eastAsia="黑体" w:cs="黑体"/>
          <w:kern w:val="0"/>
          <w:sz w:val="36"/>
          <w:szCs w:val="36"/>
          <w:lang w:val="en-US" w:eastAsia="zh-CN" w:bidi="ar"/>
        </w:rPr>
        <w:t>期</w:t>
      </w:r>
    </w:p>
    <w:p>
      <w:pPr>
        <w:keepNext w:val="0"/>
        <w:keepLines w:val="0"/>
        <w:widowControl w:val="0"/>
        <w:suppressLineNumbers w:val="0"/>
        <w:spacing w:before="0" w:beforeAutospacing="0" w:after="0" w:afterAutospacing="0" w:line="640" w:lineRule="exact"/>
        <w:ind w:left="0" w:right="0"/>
        <w:jc w:val="both"/>
        <w:rPr>
          <w:rFonts w:hint="default" w:ascii="Times New Roman" w:hAnsi="Times New Roman" w:eastAsia="楷体" w:cs="Times New Roman"/>
          <w:kern w:val="0"/>
          <w:sz w:val="30"/>
          <w:szCs w:val="30"/>
        </w:rPr>
      </w:pPr>
      <w:r>
        <w:rPr>
          <w:rFonts w:hint="default" w:ascii="Times New Roman" w:hAnsi="Times New Roman" w:eastAsia="楷体" w:cs="Times New Roman"/>
          <w:kern w:val="0"/>
          <w:sz w:val="30"/>
          <w:szCs w:val="30"/>
          <w:lang w:val="en-US" w:eastAsia="zh-CN" w:bidi="ar"/>
        </w:rPr>
        <w:t xml:space="preserve"> </w:t>
      </w:r>
    </w:p>
    <w:p>
      <w:pPr>
        <w:keepNext w:val="0"/>
        <w:keepLines w:val="0"/>
        <w:widowControl w:val="0"/>
        <w:suppressLineNumbers w:val="0"/>
        <w:pBdr>
          <w:bottom w:val="single" w:color="000002" w:sz="4" w:space="0"/>
        </w:pBdr>
        <w:spacing w:before="0" w:beforeAutospacing="0" w:after="0" w:afterAutospacing="0" w:line="340" w:lineRule="atLeast"/>
        <w:ind w:left="0" w:right="0"/>
        <w:jc w:val="right"/>
        <w:rPr>
          <w:rFonts w:hint="default" w:ascii="Times New Roman" w:hAnsi="Times New Roman" w:eastAsia="宋体" w:cs="Times New Roman"/>
          <w:kern w:val="2"/>
          <w:sz w:val="21"/>
          <w:szCs w:val="21"/>
        </w:rPr>
      </w:pPr>
      <w:r>
        <w:rPr>
          <w:rFonts w:hint="default" w:ascii="Times New Roman" w:hAnsi="Times New Roman" w:eastAsia="楷体" w:cs="Times New Roman"/>
          <w:kern w:val="2"/>
          <w:sz w:val="30"/>
          <w:szCs w:val="30"/>
          <w:lang w:val="en-US" w:eastAsia="zh-CN" w:bidi="ar"/>
        </w:rPr>
        <w:t xml:space="preserve">                         202</w:t>
      </w:r>
      <w:r>
        <w:rPr>
          <w:rFonts w:hint="default" w:ascii="Times New Roman" w:hAnsi="Times New Roman" w:eastAsia="楷体" w:cs="Times New Roman"/>
          <w:kern w:val="2"/>
          <w:sz w:val="30"/>
          <w:szCs w:val="30"/>
          <w:lang w:eastAsia="zh-CN" w:bidi="ar"/>
        </w:rPr>
        <w:t>4</w:t>
      </w:r>
      <w:r>
        <w:rPr>
          <w:rFonts w:hint="default" w:ascii="楷体" w:hAnsi="楷体" w:eastAsia="楷体" w:cs="楷体"/>
          <w:kern w:val="2"/>
          <w:sz w:val="30"/>
          <w:szCs w:val="30"/>
          <w:lang w:val="en-US" w:eastAsia="zh-CN" w:bidi="ar"/>
        </w:rPr>
        <w:t>年</w:t>
      </w:r>
      <w:r>
        <w:rPr>
          <w:rFonts w:hint="default" w:ascii="楷体" w:hAnsi="楷体" w:eastAsia="楷体" w:cs="楷体"/>
          <w:kern w:val="2"/>
          <w:sz w:val="30"/>
          <w:szCs w:val="30"/>
          <w:lang w:eastAsia="zh-CN" w:bidi="ar"/>
        </w:rPr>
        <w:t>5</w:t>
      </w:r>
      <w:r>
        <w:rPr>
          <w:rFonts w:hint="default" w:ascii="楷体" w:hAnsi="楷体" w:eastAsia="楷体" w:cs="楷体"/>
          <w:kern w:val="2"/>
          <w:sz w:val="30"/>
          <w:szCs w:val="30"/>
          <w:lang w:val="en-US" w:eastAsia="zh-CN" w:bidi="ar"/>
        </w:rPr>
        <w:t>月</w:t>
      </w:r>
    </w:p>
    <w:p>
      <w:pPr>
        <w:numPr>
          <w:ilvl w:val="0"/>
          <w:numId w:val="0"/>
        </w:numPr>
        <w:rPr>
          <w:rFonts w:hint="eastAsia" w:ascii="宋体" w:hAnsi="宋体" w:eastAsia="宋体" w:cs="宋体"/>
          <w:i w:val="0"/>
          <w:iCs w:val="0"/>
          <w:caps w:val="0"/>
          <w:color w:val="060607"/>
          <w:spacing w:val="8"/>
          <w:sz w:val="21"/>
          <w:szCs w:val="21"/>
          <w:shd w:val="clear" w:fill="FFFFFF"/>
          <w:lang w:eastAsia="zh-CN"/>
        </w:rPr>
      </w:pPr>
    </w:p>
    <w:p>
      <w:pPr>
        <w:keepNext w:val="0"/>
        <w:keepLines w:val="0"/>
        <w:widowControl w:val="0"/>
        <w:numPr>
          <w:ilvl w:val="0"/>
          <w:numId w:val="0"/>
        </w:numPr>
        <w:suppressLineNumbers w:val="0"/>
        <w:spacing w:before="0" w:beforeAutospacing="0" w:after="0" w:afterAutospacing="0" w:line="560" w:lineRule="exact"/>
        <w:ind w:left="0" w:right="0"/>
        <w:jc w:val="both"/>
        <w:rPr>
          <w:rFonts w:hint="eastAsia" w:ascii="仿宋_GB2312" w:hAnsi="Times New Roman"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摘要：</w:t>
      </w:r>
      <w:r>
        <w:rPr>
          <w:rFonts w:hint="eastAsia" w:ascii="仿宋_GB2312" w:hAnsi="Times New Roman" w:eastAsia="仿宋_GB2312" w:cs="仿宋_GB2312"/>
          <w:kern w:val="2"/>
          <w:sz w:val="32"/>
          <w:szCs w:val="32"/>
          <w:lang w:val="en-US" w:eastAsia="zh-CN" w:bidi="ar"/>
        </w:rPr>
        <w:t>2024年</w:t>
      </w:r>
      <w:r>
        <w:rPr>
          <w:rFonts w:hint="default" w:ascii="仿宋_GB2312" w:hAnsi="Times New Roman" w:eastAsia="仿宋_GB2312" w:cs="仿宋_GB2312"/>
          <w:kern w:val="2"/>
          <w:sz w:val="32"/>
          <w:szCs w:val="32"/>
          <w:lang w:eastAsia="zh-CN" w:bidi="ar"/>
        </w:rPr>
        <w:t>4月</w:t>
      </w:r>
      <w:r>
        <w:rPr>
          <w:rFonts w:hint="eastAsia" w:ascii="仿宋_GB2312" w:hAnsi="Times New Roman" w:eastAsia="仿宋_GB2312" w:cs="仿宋_GB2312"/>
          <w:kern w:val="2"/>
          <w:sz w:val="32"/>
          <w:szCs w:val="32"/>
          <w:lang w:val="en-US" w:eastAsia="zh-CN" w:bidi="ar"/>
        </w:rPr>
        <w:t>，新能源汽车行业政策环境在国内外均呈现出积极的发展态势。中央和地方政府继续通过政策引导和支持，促进新能源汽车行业的高质量发展。国外政策环境也对国内产业产生了一定的影响，特别是在技术创新和市场准入方面。</w:t>
      </w:r>
    </w:p>
    <w:p>
      <w:pPr>
        <w:numPr>
          <w:ilvl w:val="0"/>
          <w:numId w:val="0"/>
        </w:numPr>
        <w:spacing w:line="560" w:lineRule="exact"/>
        <w:rPr>
          <w:rFonts w:hint="eastAsia" w:ascii="黑体" w:hAnsi="黑体" w:eastAsia="黑体" w:cs="黑体"/>
          <w:b w:val="0"/>
          <w:bCs w:val="0"/>
          <w:i w:val="0"/>
          <w:iCs w:val="0"/>
          <w:caps w:val="0"/>
          <w:color w:val="060607"/>
          <w:spacing w:val="8"/>
          <w:sz w:val="32"/>
          <w:szCs w:val="32"/>
          <w:shd w:val="clear" w:fill="FFFFFF"/>
          <w:lang w:eastAsia="zh-CN"/>
        </w:rPr>
      </w:pPr>
      <w:r>
        <w:rPr>
          <w:rFonts w:hint="eastAsia" w:ascii="黑体" w:hAnsi="黑体" w:eastAsia="黑体" w:cs="黑体"/>
          <w:b w:val="0"/>
          <w:bCs w:val="0"/>
          <w:i w:val="0"/>
          <w:iCs w:val="0"/>
          <w:caps w:val="0"/>
          <w:color w:val="060607"/>
          <w:spacing w:val="8"/>
          <w:sz w:val="32"/>
          <w:szCs w:val="32"/>
          <w:shd w:val="clear" w:fill="FFFFFF"/>
          <w:lang w:eastAsia="zh-CN"/>
        </w:rPr>
        <w:t>一、国内政策环境分析</w:t>
      </w:r>
    </w:p>
    <w:p>
      <w:pPr>
        <w:numPr>
          <w:ilvl w:val="0"/>
          <w:numId w:val="0"/>
        </w:numPr>
        <w:spacing w:line="560" w:lineRule="exact"/>
        <w:jc w:val="both"/>
        <w:rPr>
          <w:rFonts w:hint="eastAsia" w:ascii="黑体" w:hAnsi="黑体" w:eastAsia="黑体" w:cs="黑体"/>
          <w:b w:val="0"/>
          <w:bCs w:val="0"/>
          <w:i w:val="0"/>
          <w:iCs w:val="0"/>
          <w:caps w:val="0"/>
          <w:color w:val="060607"/>
          <w:spacing w:val="8"/>
          <w:sz w:val="32"/>
          <w:szCs w:val="32"/>
          <w:shd w:val="clear" w:fill="FFFFFF"/>
          <w:lang w:eastAsia="zh-CN"/>
        </w:rPr>
      </w:pPr>
      <w:r>
        <w:rPr>
          <w:rFonts w:hint="default" w:ascii="黑体" w:hAnsi="黑体" w:eastAsia="黑体" w:cs="黑体"/>
          <w:b w:val="0"/>
          <w:bCs w:val="0"/>
          <w:i w:val="0"/>
          <w:iCs w:val="0"/>
          <w:caps w:val="0"/>
          <w:color w:val="060607"/>
          <w:spacing w:val="8"/>
          <w:sz w:val="32"/>
          <w:szCs w:val="32"/>
          <w:shd w:val="clear" w:fill="FFFFFF"/>
          <w:lang w:eastAsia="zh-CN"/>
        </w:rPr>
        <w:t>（一）</w:t>
      </w:r>
      <w:r>
        <w:rPr>
          <w:rFonts w:hint="eastAsia" w:ascii="黑体" w:hAnsi="黑体" w:eastAsia="黑体" w:cs="黑体"/>
          <w:b w:val="0"/>
          <w:bCs w:val="0"/>
          <w:i w:val="0"/>
          <w:iCs w:val="0"/>
          <w:caps w:val="0"/>
          <w:color w:val="060607"/>
          <w:spacing w:val="8"/>
          <w:sz w:val="32"/>
          <w:szCs w:val="32"/>
          <w:shd w:val="clear" w:fill="FFFFFF"/>
          <w:lang w:eastAsia="zh-CN"/>
        </w:rPr>
        <w:t>中央政策持续发力</w:t>
      </w:r>
    </w:p>
    <w:p>
      <w:pPr>
        <w:numPr>
          <w:ilvl w:val="0"/>
          <w:numId w:val="0"/>
        </w:numPr>
        <w:spacing w:line="560" w:lineRule="exact"/>
        <w:jc w:val="both"/>
        <w:rPr>
          <w:rFonts w:hint="eastAsia" w:ascii="仿宋_GB2312" w:hAnsi="仿宋_GB2312" w:eastAsia="仿宋_GB2312" w:cs="仿宋_GB2312"/>
          <w:i w:val="0"/>
          <w:iCs w:val="0"/>
          <w:caps w:val="0"/>
          <w:color w:val="060607"/>
          <w:spacing w:val="8"/>
          <w:sz w:val="32"/>
          <w:szCs w:val="32"/>
          <w:shd w:val="clear" w:fill="FFFFFF"/>
        </w:rPr>
      </w:pPr>
      <w:r>
        <w:rPr>
          <w:rFonts w:hint="eastAsia" w:ascii="黑体" w:hAnsi="黑体" w:eastAsia="黑体" w:cs="黑体"/>
          <w:i w:val="0"/>
          <w:iCs w:val="0"/>
          <w:caps w:val="0"/>
          <w:color w:val="060607"/>
          <w:spacing w:val="8"/>
          <w:sz w:val="32"/>
          <w:szCs w:val="32"/>
          <w:shd w:val="clear" w:fill="FFFFFF"/>
        </w:rPr>
        <w:t>1.《关于延续和优化新能源汽车车辆购置税减免政策的公告》</w:t>
      </w:r>
      <w:r>
        <w:rPr>
          <w:rStyle w:val="20"/>
          <w:rFonts w:hint="eastAsia" w:ascii="仿宋_GB2312" w:hAnsi="仿宋_GB2312" w:eastAsia="仿宋_GB2312" w:cs="仿宋_GB2312"/>
          <w:i w:val="0"/>
          <w:iCs w:val="0"/>
          <w:caps w:val="0"/>
          <w:color w:val="060607"/>
          <w:spacing w:val="8"/>
          <w:sz w:val="32"/>
          <w:szCs w:val="32"/>
          <w:shd w:val="clear" w:fill="FFFFFF"/>
        </w:rPr>
        <w:footnoteReference w:id="0"/>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eastAsia" w:ascii="仿宋_GB2312" w:hAnsi="仿宋_GB2312" w:eastAsia="仿宋_GB2312" w:cs="仿宋_GB2312"/>
          <w:i w:val="0"/>
          <w:iCs w:val="0"/>
          <w:caps w:val="0"/>
          <w:color w:val="060607"/>
          <w:spacing w:val="8"/>
          <w:sz w:val="32"/>
          <w:szCs w:val="32"/>
        </w:rPr>
      </w:pPr>
      <w:r>
        <w:rPr>
          <w:rFonts w:hint="eastAsia" w:ascii="仿宋_GB2312" w:hAnsi="仿宋_GB2312" w:eastAsia="仿宋_GB2312" w:cs="仿宋_GB2312"/>
          <w:i w:val="0"/>
          <w:iCs w:val="0"/>
          <w:caps w:val="0"/>
          <w:color w:val="060607"/>
          <w:spacing w:val="8"/>
          <w:sz w:val="32"/>
          <w:szCs w:val="32"/>
          <w:shd w:val="clear" w:fill="FFFFFF"/>
        </w:rPr>
        <w:t xml:space="preserve">    由财政部、税务总局和工业和信息化部联合发布，旨在进一步支持新能源汽车产业的发展，促进汽车消费。该政策通过免征或减半征收车辆购置税的方式，对2024年至2027年期间购置的新能源汽车实施税收优惠，并对“换电模式”新能源汽车的税收政策进行了特别规定。随着新能源汽车产业的快速发展，市场对新能源汽车的接受度不断提高。为继续鼓励消费者购买新能源汽车，减少对传统燃油车的依赖，降低汽车尾气排放，促进环境保护和绿色发展，财政部等三部门决定延续并优化新能源汽车车辆购置税减免政策。</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eastAsia" w:ascii="仿宋_GB2312" w:hAnsi="仿宋_GB2312" w:eastAsia="仿宋_GB2312" w:cs="仿宋_GB2312"/>
          <w:sz w:val="32"/>
          <w:szCs w:val="32"/>
        </w:rPr>
      </w:pPr>
      <w:r>
        <w:rPr>
          <w:rFonts w:hint="eastAsia" w:ascii="仿宋_GB2312" w:hAnsi="仿宋_GB2312" w:eastAsia="仿宋_GB2312" w:cs="仿宋_GB2312"/>
          <w:i w:val="0"/>
          <w:iCs w:val="0"/>
          <w:caps w:val="0"/>
          <w:color w:val="060607"/>
          <w:spacing w:val="8"/>
          <w:sz w:val="32"/>
          <w:szCs w:val="32"/>
          <w:shd w:val="clear" w:fill="FFFFFF"/>
        </w:rPr>
        <w:t xml:space="preserve">    </w:t>
      </w:r>
      <w:r>
        <w:rPr>
          <w:rFonts w:hint="eastAsia" w:ascii="仿宋_GB2312" w:hAnsi="仿宋_GB2312" w:eastAsia="仿宋_GB2312" w:cs="仿宋_GB2312"/>
          <w:b w:val="0"/>
          <w:bCs w:val="0"/>
          <w:i w:val="0"/>
          <w:iCs w:val="0"/>
          <w:caps w:val="0"/>
          <w:color w:val="060607"/>
          <w:spacing w:val="8"/>
          <w:sz w:val="32"/>
          <w:szCs w:val="32"/>
          <w:shd w:val="clear" w:fill="FFFFFF"/>
        </w:rPr>
        <w:t>政策内容</w:t>
      </w:r>
      <w:r>
        <w:rPr>
          <w:rFonts w:hint="eastAsia" w:ascii="仿宋_GB2312" w:hAnsi="仿宋_GB2312" w:eastAsia="仿宋_GB2312" w:cs="仿宋_GB2312"/>
          <w:i w:val="0"/>
          <w:iCs w:val="0"/>
          <w:caps w:val="0"/>
          <w:color w:val="060607"/>
          <w:spacing w:val="8"/>
          <w:sz w:val="32"/>
          <w:szCs w:val="32"/>
          <w:shd w:val="clear" w:fill="FFFFFF"/>
        </w:rPr>
        <w:t>包括：</w:t>
      </w:r>
      <w:r>
        <w:rPr>
          <w:rFonts w:hint="eastAsia" w:ascii="黑体" w:hAnsi="黑体" w:eastAsia="黑体" w:cs="黑体"/>
          <w:i w:val="0"/>
          <w:iCs w:val="0"/>
          <w:caps w:val="0"/>
          <w:color w:val="060607"/>
          <w:spacing w:val="8"/>
          <w:sz w:val="32"/>
          <w:szCs w:val="32"/>
          <w:shd w:val="clear" w:fill="FFFFFF"/>
        </w:rPr>
        <w:t>一是免征车辆购置税</w:t>
      </w:r>
      <w:r>
        <w:rPr>
          <w:rFonts w:hint="eastAsia" w:ascii="仿宋_GB2312" w:hAnsi="仿宋_GB2312" w:eastAsia="仿宋_GB2312" w:cs="仿宋_GB2312"/>
          <w:i w:val="0"/>
          <w:iCs w:val="0"/>
          <w:caps w:val="0"/>
          <w:color w:val="060607"/>
          <w:spacing w:val="8"/>
          <w:sz w:val="32"/>
          <w:szCs w:val="32"/>
          <w:shd w:val="clear" w:fill="FFFFFF"/>
        </w:rPr>
        <w:t>：对购置日期在2024年1月1日至2025年12月31日期间的新能源汽车免征车辆购置税，每辆新能源乘用车免税额不超过3万元。</w:t>
      </w:r>
      <w:r>
        <w:rPr>
          <w:rFonts w:hint="eastAsia" w:ascii="黑体" w:hAnsi="黑体" w:eastAsia="黑体" w:cs="黑体"/>
          <w:b w:val="0"/>
          <w:bCs w:val="0"/>
          <w:i w:val="0"/>
          <w:iCs w:val="0"/>
          <w:caps w:val="0"/>
          <w:color w:val="060607"/>
          <w:spacing w:val="8"/>
          <w:sz w:val="32"/>
          <w:szCs w:val="32"/>
          <w:shd w:val="clear" w:fill="FFFFFF"/>
        </w:rPr>
        <w:t>二是减半征收车辆购置税</w:t>
      </w:r>
      <w:r>
        <w:rPr>
          <w:rFonts w:hint="eastAsia" w:ascii="仿宋_GB2312" w:hAnsi="仿宋_GB2312" w:eastAsia="仿宋_GB2312" w:cs="仿宋_GB2312"/>
          <w:i w:val="0"/>
          <w:iCs w:val="0"/>
          <w:caps w:val="0"/>
          <w:color w:val="060607"/>
          <w:spacing w:val="8"/>
          <w:sz w:val="32"/>
          <w:szCs w:val="32"/>
          <w:shd w:val="clear" w:fill="FFFFFF"/>
        </w:rPr>
        <w:t>：对购置日期在2026年1月1日至2027年12月31日期间的新能源汽车减半征收车辆购置税，每辆新能源乘用车减税额不超过1.5万元。</w:t>
      </w:r>
      <w:r>
        <w:rPr>
          <w:rFonts w:hint="eastAsia" w:ascii="黑体" w:hAnsi="黑体" w:eastAsia="黑体" w:cs="黑体"/>
          <w:i w:val="0"/>
          <w:iCs w:val="0"/>
          <w:caps w:val="0"/>
          <w:color w:val="060607"/>
          <w:spacing w:val="8"/>
          <w:sz w:val="32"/>
          <w:szCs w:val="32"/>
          <w:shd w:val="clear" w:fill="FFFFFF"/>
        </w:rPr>
        <w:t>三是换电模式特殊规定</w:t>
      </w:r>
      <w:r>
        <w:rPr>
          <w:rFonts w:hint="eastAsia" w:ascii="仿宋_GB2312" w:hAnsi="仿宋_GB2312" w:eastAsia="仿宋_GB2312" w:cs="仿宋_GB2312"/>
          <w:i w:val="0"/>
          <w:iCs w:val="0"/>
          <w:caps w:val="0"/>
          <w:color w:val="060607"/>
          <w:spacing w:val="8"/>
          <w:sz w:val="32"/>
          <w:szCs w:val="32"/>
          <w:shd w:val="clear" w:fill="FFFFFF"/>
        </w:rPr>
        <w:t>：对于“换电模式”新能源汽车，不含动力电池的车价将作为车辆购置税的计税价格。</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eastAsia" w:ascii="仿宋_GB2312" w:hAnsi="仿宋_GB2312" w:eastAsia="仿宋_GB2312" w:cs="仿宋_GB2312"/>
          <w:sz w:val="32"/>
          <w:szCs w:val="32"/>
        </w:rPr>
      </w:pPr>
      <w:r>
        <w:rPr>
          <w:rFonts w:hint="eastAsia" w:ascii="仿宋_GB2312" w:hAnsi="仿宋_GB2312" w:eastAsia="仿宋_GB2312" w:cs="仿宋_GB2312"/>
          <w:i w:val="0"/>
          <w:iCs w:val="0"/>
          <w:caps w:val="0"/>
          <w:color w:val="060607"/>
          <w:spacing w:val="8"/>
          <w:sz w:val="32"/>
          <w:szCs w:val="32"/>
          <w:shd w:val="clear" w:fill="FFFFFF"/>
        </w:rPr>
        <w:t xml:space="preserve">    该政策的实施将对新能源汽车市场产生积极</w:t>
      </w:r>
      <w:r>
        <w:rPr>
          <w:rFonts w:hint="eastAsia" w:ascii="仿宋_GB2312" w:hAnsi="仿宋_GB2312" w:eastAsia="仿宋_GB2312" w:cs="仿宋_GB2312"/>
          <w:b w:val="0"/>
          <w:bCs w:val="0"/>
          <w:i w:val="0"/>
          <w:iCs w:val="0"/>
          <w:caps w:val="0"/>
          <w:color w:val="060607"/>
          <w:spacing w:val="8"/>
          <w:sz w:val="32"/>
          <w:szCs w:val="32"/>
          <w:shd w:val="clear" w:fill="FFFFFF"/>
        </w:rPr>
        <w:t>影响</w:t>
      </w:r>
      <w:r>
        <w:rPr>
          <w:rFonts w:hint="eastAsia" w:ascii="仿宋_GB2312" w:hAnsi="仿宋_GB2312" w:eastAsia="仿宋_GB2312" w:cs="仿宋_GB2312"/>
          <w:i w:val="0"/>
          <w:iCs w:val="0"/>
          <w:caps w:val="0"/>
          <w:color w:val="060607"/>
          <w:spacing w:val="8"/>
          <w:sz w:val="32"/>
          <w:szCs w:val="32"/>
          <w:shd w:val="clear" w:fill="FFFFFF"/>
        </w:rPr>
        <w:t>，具体包括：</w:t>
      </w:r>
      <w:r>
        <w:rPr>
          <w:rFonts w:hint="eastAsia" w:ascii="黑体" w:hAnsi="黑体" w:eastAsia="黑体" w:cs="黑体"/>
          <w:b w:val="0"/>
          <w:bCs w:val="0"/>
          <w:i w:val="0"/>
          <w:iCs w:val="0"/>
          <w:caps w:val="0"/>
          <w:color w:val="060607"/>
          <w:spacing w:val="8"/>
          <w:sz w:val="32"/>
          <w:szCs w:val="32"/>
          <w:shd w:val="clear" w:fill="FFFFFF"/>
        </w:rPr>
        <w:t>一是刺激市场需求</w:t>
      </w:r>
      <w:r>
        <w:rPr>
          <w:rFonts w:hint="eastAsia" w:ascii="仿宋_GB2312" w:hAnsi="仿宋_GB2312" w:eastAsia="仿宋_GB2312" w:cs="仿宋_GB2312"/>
          <w:i w:val="0"/>
          <w:iCs w:val="0"/>
          <w:caps w:val="0"/>
          <w:color w:val="060607"/>
          <w:spacing w:val="8"/>
          <w:sz w:val="32"/>
          <w:szCs w:val="32"/>
          <w:shd w:val="clear" w:fill="FFFFFF"/>
        </w:rPr>
        <w:t>：通过税收优惠降低消费者购置新能源汽车的成本，预计将增加新能源汽车的市场销量。</w:t>
      </w:r>
      <w:r>
        <w:rPr>
          <w:rFonts w:hint="eastAsia" w:ascii="黑体" w:hAnsi="黑体" w:eastAsia="黑体" w:cs="黑体"/>
          <w:i w:val="0"/>
          <w:iCs w:val="0"/>
          <w:caps w:val="0"/>
          <w:color w:val="060607"/>
          <w:spacing w:val="8"/>
          <w:sz w:val="32"/>
          <w:szCs w:val="32"/>
          <w:shd w:val="clear" w:fill="FFFFFF"/>
        </w:rPr>
        <w:t>二是促进产业升级：</w:t>
      </w:r>
      <w:r>
        <w:rPr>
          <w:rFonts w:hint="eastAsia" w:ascii="仿宋_GB2312" w:hAnsi="仿宋_GB2312" w:eastAsia="仿宋_GB2312" w:cs="仿宋_GB2312"/>
          <w:i w:val="0"/>
          <w:iCs w:val="0"/>
          <w:caps w:val="0"/>
          <w:color w:val="060607"/>
          <w:spacing w:val="8"/>
          <w:sz w:val="32"/>
          <w:szCs w:val="32"/>
          <w:shd w:val="clear" w:fill="FFFFFF"/>
        </w:rPr>
        <w:t>政策鼓励新能源汽车技术创新，推动企业提升产品质量和性能，以满足不断变化的市场需求。</w:t>
      </w:r>
      <w:r>
        <w:rPr>
          <w:rFonts w:hint="eastAsia" w:ascii="黑体" w:hAnsi="黑体" w:eastAsia="黑体" w:cs="黑体"/>
          <w:i w:val="0"/>
          <w:iCs w:val="0"/>
          <w:caps w:val="0"/>
          <w:color w:val="060607"/>
          <w:spacing w:val="8"/>
          <w:sz w:val="32"/>
          <w:szCs w:val="32"/>
          <w:shd w:val="clear" w:fill="FFFFFF"/>
        </w:rPr>
        <w:t>三是支持“换电模式”发展：</w:t>
      </w:r>
      <w:r>
        <w:rPr>
          <w:rFonts w:hint="eastAsia" w:ascii="仿宋_GB2312" w:hAnsi="仿宋_GB2312" w:eastAsia="仿宋_GB2312" w:cs="仿宋_GB2312"/>
          <w:i w:val="0"/>
          <w:iCs w:val="0"/>
          <w:caps w:val="0"/>
          <w:color w:val="060607"/>
          <w:spacing w:val="8"/>
          <w:sz w:val="32"/>
          <w:szCs w:val="32"/>
          <w:shd w:val="clear" w:fill="FFFFFF"/>
        </w:rPr>
        <w:t>对“换电模式”新能源汽车的税收优惠政策，有助于推动该模式的商业化进程，促进新能源汽车补能方式的多样化。</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eastAsia" w:ascii="仿宋_GB2312" w:hAnsi="仿宋_GB2312" w:eastAsia="仿宋_GB2312" w:cs="仿宋_GB2312"/>
          <w:i w:val="0"/>
          <w:iCs w:val="0"/>
          <w:caps w:val="0"/>
          <w:color w:val="060607"/>
          <w:spacing w:val="8"/>
          <w:sz w:val="32"/>
          <w:szCs w:val="32"/>
        </w:rPr>
      </w:pPr>
      <w:r>
        <w:rPr>
          <w:rFonts w:hint="eastAsia" w:ascii="仿宋_GB2312" w:hAnsi="仿宋_GB2312" w:eastAsia="仿宋_GB2312" w:cs="仿宋_GB2312"/>
          <w:i w:val="0"/>
          <w:iCs w:val="0"/>
          <w:caps w:val="0"/>
          <w:color w:val="060607"/>
          <w:spacing w:val="8"/>
          <w:sz w:val="32"/>
          <w:szCs w:val="32"/>
          <w:shd w:val="clear" w:fill="FFFFFF"/>
        </w:rPr>
        <w:t xml:space="preserve">    为确保政策的顺利实施，工业和信息化部发布</w:t>
      </w:r>
      <w:r>
        <w:rPr>
          <w:rFonts w:hint="eastAsia" w:ascii="黑体" w:hAnsi="黑体" w:eastAsia="黑体" w:cs="黑体"/>
          <w:i w:val="0"/>
          <w:iCs w:val="0"/>
          <w:caps w:val="0"/>
          <w:color w:val="060607"/>
          <w:spacing w:val="8"/>
          <w:sz w:val="32"/>
          <w:szCs w:val="32"/>
          <w:shd w:val="clear" w:fill="FFFFFF"/>
        </w:rPr>
        <w:t>《减免车辆购置税的新能源汽车车型目录》</w:t>
      </w:r>
      <w:r>
        <w:rPr>
          <w:rFonts w:hint="eastAsia" w:ascii="仿宋_GB2312" w:hAnsi="仿宋_GB2312" w:eastAsia="仿宋_GB2312" w:cs="仿宋_GB2312"/>
          <w:i w:val="0"/>
          <w:iCs w:val="0"/>
          <w:caps w:val="0"/>
          <w:color w:val="060607"/>
          <w:spacing w:val="8"/>
          <w:sz w:val="32"/>
          <w:szCs w:val="32"/>
          <w:shd w:val="clear" w:fill="FFFFFF"/>
        </w:rPr>
        <w:t>，对列入目录的新能源汽车实施税收优惠管理。同时，汽车企业需保证车辆电子信息与产品一致，销售方需如实开具发票，以确保税收优惠政策的准确性和有效性。</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eastAsia" w:ascii="仿宋_GB2312" w:hAnsi="仿宋_GB2312" w:eastAsia="仿宋_GB2312" w:cs="仿宋_GB2312"/>
          <w:i w:val="0"/>
          <w:iCs w:val="0"/>
          <w:caps w:val="0"/>
          <w:color w:val="060607"/>
          <w:spacing w:val="8"/>
          <w:sz w:val="32"/>
          <w:szCs w:val="32"/>
          <w:shd w:val="clear" w:fill="FFFFFF"/>
        </w:rPr>
      </w:pPr>
      <w:r>
        <w:rPr>
          <w:rFonts w:hint="eastAsia" w:ascii="仿宋_GB2312" w:hAnsi="仿宋_GB2312" w:eastAsia="仿宋_GB2312" w:cs="仿宋_GB2312"/>
          <w:i w:val="0"/>
          <w:iCs w:val="0"/>
          <w:caps w:val="0"/>
          <w:color w:val="060607"/>
          <w:spacing w:val="8"/>
          <w:sz w:val="32"/>
          <w:szCs w:val="32"/>
          <w:shd w:val="clear" w:fill="FFFFFF"/>
        </w:rPr>
        <w:t xml:space="preserve">    《关于延续和优化新能源汽车车辆购置税减免政策的公告》是一项重要的财税政策，它不仅有助于推动新能源汽车产业的持续健康发展，而且通过税收优惠措施，能够促进消费者对新能源汽车的接受和使用，对实现绿色低碳出行具有重要意义。</w:t>
      </w:r>
    </w:p>
    <w:p>
      <w:pPr>
        <w:pStyle w:val="14"/>
        <w:keepNext w:val="0"/>
        <w:keepLines w:val="0"/>
        <w:widowControl/>
        <w:numPr>
          <w:ilvl w:val="0"/>
          <w:numId w:val="1"/>
        </w:numPr>
        <w:suppressLineNumbers w:val="0"/>
        <w:shd w:val="clear" w:fill="FFFFFF"/>
        <w:spacing w:before="0" w:beforeAutospacing="0" w:after="0" w:afterAutospacing="0" w:line="560" w:lineRule="exact"/>
        <w:ind w:left="0" w:leftChars="0" w:right="0" w:firstLine="0" w:firstLineChars="0"/>
        <w:jc w:val="both"/>
        <w:rPr>
          <w:rFonts w:hint="eastAsia" w:ascii="仿宋_GB2312" w:hAnsi="仿宋_GB2312" w:eastAsia="仿宋_GB2312" w:cs="仿宋_GB2312"/>
          <w:i w:val="0"/>
          <w:iCs w:val="0"/>
          <w:caps w:val="0"/>
          <w:color w:val="060607"/>
          <w:spacing w:val="8"/>
          <w:sz w:val="32"/>
          <w:szCs w:val="32"/>
        </w:rPr>
      </w:pPr>
      <w:r>
        <w:rPr>
          <w:rFonts w:hint="default" w:ascii="黑体" w:hAnsi="黑体" w:eastAsia="黑体" w:cs="黑体"/>
          <w:b w:val="0"/>
          <w:bCs w:val="0"/>
          <w:sz w:val="32"/>
          <w:szCs w:val="32"/>
          <w:highlight w:val="none"/>
          <w:lang w:eastAsia="zh-CN"/>
        </w:rPr>
        <w:t>《推动大规模设备更新和消费品以旧换新行动方案》</w:t>
      </w:r>
      <w:r>
        <w:rPr>
          <w:rStyle w:val="20"/>
          <w:rFonts w:hint="default" w:ascii="Times New Roman" w:hAnsi="Times New Roman" w:eastAsia="仿宋_GB2312" w:cs="Times New Roman"/>
          <w:b w:val="0"/>
          <w:bCs w:val="0"/>
          <w:sz w:val="32"/>
          <w:szCs w:val="32"/>
          <w:highlight w:val="none"/>
          <w:lang w:val="en-US" w:eastAsia="zh-CN"/>
        </w:rPr>
        <w:footnoteReference w:id="1"/>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default" w:ascii="仿宋_GB2312" w:hAnsi="仿宋_GB2312" w:eastAsia="仿宋_GB2312" w:cs="仿宋_GB2312"/>
          <w:i w:val="0"/>
          <w:iCs w:val="0"/>
          <w:caps w:val="0"/>
          <w:color w:val="060607"/>
          <w:spacing w:val="8"/>
          <w:sz w:val="32"/>
          <w:szCs w:val="32"/>
          <w:shd w:val="clear" w:fill="FFFFFF"/>
          <w:lang w:eastAsia="zh-CN"/>
        </w:rPr>
      </w:pPr>
      <w:r>
        <w:rPr>
          <w:rFonts w:hint="default" w:ascii="仿宋_GB2312" w:hAnsi="仿宋_GB2312" w:eastAsia="仿宋_GB2312" w:cs="仿宋_GB2312"/>
          <w:i w:val="0"/>
          <w:iCs w:val="0"/>
          <w:caps w:val="0"/>
          <w:color w:val="060607"/>
          <w:spacing w:val="8"/>
          <w:sz w:val="32"/>
          <w:szCs w:val="32"/>
          <w:shd w:val="clear" w:fill="FFFFFF"/>
          <w:lang w:eastAsia="zh-CN"/>
        </w:rPr>
        <w:t xml:space="preserve">    由国务院发布，是一项全面促进经济高质量发展的战略规划。</w:t>
      </w:r>
      <w:r>
        <w:rPr>
          <w:rFonts w:hint="eastAsia" w:ascii="黑体" w:hAnsi="黑体" w:eastAsia="黑体" w:cs="黑体"/>
          <w:i w:val="0"/>
          <w:iCs w:val="0"/>
          <w:caps w:val="0"/>
          <w:color w:val="060607"/>
          <w:spacing w:val="8"/>
          <w:sz w:val="32"/>
          <w:szCs w:val="32"/>
          <w:shd w:val="clear" w:fill="FFFFFF"/>
          <w:lang w:eastAsia="zh-CN"/>
        </w:rPr>
        <w:t>政策内容</w:t>
      </w:r>
      <w:r>
        <w:rPr>
          <w:rFonts w:hint="default" w:ascii="仿宋_GB2312" w:hAnsi="仿宋_GB2312" w:eastAsia="仿宋_GB2312" w:cs="仿宋_GB2312"/>
          <w:i w:val="0"/>
          <w:iCs w:val="0"/>
          <w:caps w:val="0"/>
          <w:color w:val="060607"/>
          <w:spacing w:val="8"/>
          <w:sz w:val="32"/>
          <w:szCs w:val="32"/>
          <w:shd w:val="clear" w:fill="FFFFFF"/>
          <w:lang w:eastAsia="zh-CN"/>
        </w:rPr>
        <w:t>涵盖了设备更新、消费品以旧换新、回收循环利用和标准提升四大行动，旨在通过市场主导与政府引导相结合，鼓励产业升级，淘汰落后产能，推动形成全国统一大市场，并提升产品与服务的国际标准。</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default" w:ascii="仿宋_GB2312" w:hAnsi="仿宋_GB2312" w:eastAsia="仿宋_GB2312" w:cs="仿宋_GB2312"/>
          <w:i w:val="0"/>
          <w:iCs w:val="0"/>
          <w:caps w:val="0"/>
          <w:color w:val="060607"/>
          <w:spacing w:val="8"/>
          <w:sz w:val="32"/>
          <w:szCs w:val="32"/>
          <w:shd w:val="clear" w:fill="FFFFFF"/>
          <w:lang w:eastAsia="zh-CN"/>
        </w:rPr>
      </w:pPr>
      <w:r>
        <w:rPr>
          <w:rFonts w:hint="default" w:ascii="仿宋_GB2312" w:hAnsi="仿宋_GB2312" w:eastAsia="仿宋_GB2312" w:cs="仿宋_GB2312"/>
          <w:i w:val="0"/>
          <w:iCs w:val="0"/>
          <w:caps w:val="0"/>
          <w:color w:val="060607"/>
          <w:spacing w:val="8"/>
          <w:sz w:val="32"/>
          <w:szCs w:val="32"/>
          <w:shd w:val="clear" w:fill="FFFFFF"/>
          <w:lang w:eastAsia="zh-CN"/>
        </w:rPr>
        <w:t xml:space="preserve">    具体而言，该方案聚焦于重点行业的设备更新改造，建筑和市政基础设施的现代化，交通运输设备的电动化，以及教育、文旅和医疗设备的数字化升级。同时，提出汽车和家电产品的以旧换新促销活动，推动家装消费品的现代化，并完善废旧产品设备的回收网络，支持二手商品的流通交易，以及再制造和梯次利用的规范化。</w:t>
      </w:r>
      <w:r>
        <w:rPr>
          <w:rFonts w:hint="eastAsia" w:ascii="黑体" w:hAnsi="黑体" w:eastAsia="黑体" w:cs="黑体"/>
          <w:i w:val="0"/>
          <w:iCs w:val="0"/>
          <w:caps w:val="0"/>
          <w:color w:val="060607"/>
          <w:spacing w:val="8"/>
          <w:sz w:val="32"/>
          <w:szCs w:val="32"/>
          <w:shd w:val="clear" w:fill="FFFFFF"/>
          <w:lang w:eastAsia="zh-CN"/>
        </w:rPr>
        <w:t>政策的影响</w:t>
      </w:r>
      <w:r>
        <w:rPr>
          <w:rFonts w:hint="default" w:ascii="仿宋_GB2312" w:hAnsi="仿宋_GB2312" w:eastAsia="仿宋_GB2312" w:cs="仿宋_GB2312"/>
          <w:i w:val="0"/>
          <w:iCs w:val="0"/>
          <w:caps w:val="0"/>
          <w:color w:val="060607"/>
          <w:spacing w:val="8"/>
          <w:sz w:val="32"/>
          <w:szCs w:val="32"/>
          <w:shd w:val="clear" w:fill="FFFFFF"/>
          <w:lang w:eastAsia="zh-CN"/>
        </w:rPr>
        <w:t>是多方面的，包括促进投资和消费，提高资源循环利用效率，加强环境保护和节能降碳，以及推动产业向高端化、智能化、绿色化发展。</w:t>
      </w:r>
    </w:p>
    <w:p>
      <w:pPr>
        <w:pStyle w:val="14"/>
        <w:keepNext w:val="0"/>
        <w:keepLines w:val="0"/>
        <w:widowControl/>
        <w:numPr>
          <w:ilvl w:val="0"/>
          <w:numId w:val="0"/>
        </w:numPr>
        <w:suppressLineNumbers w:val="0"/>
        <w:shd w:val="clear" w:fill="FFFFFF"/>
        <w:spacing w:before="0" w:beforeAutospacing="0" w:after="0" w:afterAutospacing="0" w:line="560" w:lineRule="exact"/>
        <w:ind w:leftChars="0" w:right="0" w:rightChars="0"/>
        <w:jc w:val="both"/>
        <w:rPr>
          <w:rFonts w:hint="default" w:ascii="黑体" w:hAnsi="黑体" w:eastAsia="黑体" w:cs="黑体"/>
          <w:b w:val="0"/>
          <w:bCs w:val="0"/>
          <w:sz w:val="32"/>
          <w:szCs w:val="32"/>
          <w:highlight w:val="none"/>
          <w:lang w:eastAsia="zh-CN"/>
        </w:rPr>
      </w:pPr>
    </w:p>
    <w:p>
      <w:pPr>
        <w:pStyle w:val="14"/>
        <w:keepNext w:val="0"/>
        <w:keepLines w:val="0"/>
        <w:widowControl/>
        <w:numPr>
          <w:ilvl w:val="0"/>
          <w:numId w:val="1"/>
        </w:numPr>
        <w:suppressLineNumbers w:val="0"/>
        <w:shd w:val="clear" w:fill="FFFFFF"/>
        <w:spacing w:before="0" w:beforeAutospacing="0" w:after="0" w:afterAutospacing="0" w:line="560" w:lineRule="exact"/>
        <w:ind w:left="0" w:leftChars="0" w:right="0" w:firstLine="0" w:firstLineChars="0"/>
        <w:jc w:val="both"/>
        <w:rPr>
          <w:rFonts w:hint="eastAsia" w:ascii="仿宋_GB2312" w:hAnsi="仿宋_GB2312" w:eastAsia="仿宋_GB2312" w:cs="仿宋_GB2312"/>
          <w:i w:val="0"/>
          <w:iCs w:val="0"/>
          <w:caps w:val="0"/>
          <w:color w:val="060607"/>
          <w:spacing w:val="8"/>
          <w:sz w:val="32"/>
          <w:szCs w:val="32"/>
        </w:rPr>
      </w:pPr>
      <w:r>
        <w:rPr>
          <w:rFonts w:hint="eastAsia" w:ascii="黑体" w:hAnsi="黑体" w:eastAsia="黑体" w:cs="黑体"/>
          <w:b w:val="0"/>
          <w:bCs w:val="0"/>
          <w:sz w:val="32"/>
          <w:szCs w:val="32"/>
          <w:highlight w:val="none"/>
          <w:lang w:val="en-US" w:eastAsia="zh-CN"/>
        </w:rPr>
        <w:t>《推动消费品以旧换新行动方案》</w:t>
      </w:r>
      <w:r>
        <w:rPr>
          <w:rStyle w:val="20"/>
          <w:rFonts w:hint="default" w:ascii="Times New Roman" w:hAnsi="Times New Roman" w:eastAsia="仿宋_GB2312" w:cs="Times New Roman"/>
          <w:b w:val="0"/>
          <w:bCs w:val="0"/>
          <w:sz w:val="32"/>
          <w:szCs w:val="32"/>
          <w:highlight w:val="none"/>
          <w:lang w:val="en-US" w:eastAsia="zh-CN"/>
        </w:rPr>
        <w:footnoteReference w:id="2"/>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default" w:ascii="仿宋_GB2312" w:hAnsi="仿宋_GB2312" w:eastAsia="仿宋_GB2312" w:cs="仿宋_GB2312"/>
          <w:i w:val="0"/>
          <w:iCs w:val="0"/>
          <w:caps w:val="0"/>
          <w:color w:val="060607"/>
          <w:spacing w:val="8"/>
          <w:sz w:val="32"/>
          <w:szCs w:val="32"/>
          <w:shd w:val="clear" w:fill="FFFFFF"/>
          <w:lang w:eastAsia="zh-CN"/>
        </w:rPr>
      </w:pPr>
      <w:r>
        <w:rPr>
          <w:rFonts w:hint="default" w:ascii="仿宋_GB2312" w:hAnsi="仿宋_GB2312" w:eastAsia="仿宋_GB2312" w:cs="仿宋_GB2312"/>
          <w:i w:val="0"/>
          <w:iCs w:val="0"/>
          <w:caps w:val="0"/>
          <w:color w:val="060607"/>
          <w:spacing w:val="8"/>
          <w:sz w:val="32"/>
          <w:szCs w:val="32"/>
          <w:shd w:val="clear" w:fill="FFFFFF"/>
          <w:lang w:eastAsia="zh-CN"/>
        </w:rPr>
        <w:t xml:space="preserve">    由商务部等14个部门联合发布，旨在促进消费升级和循环经济发展。</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default" w:ascii="仿宋_GB2312" w:hAnsi="仿宋_GB2312" w:eastAsia="仿宋_GB2312" w:cs="仿宋_GB2312"/>
          <w:i w:val="0"/>
          <w:iCs w:val="0"/>
          <w:caps w:val="0"/>
          <w:color w:val="060607"/>
          <w:spacing w:val="8"/>
          <w:sz w:val="32"/>
          <w:szCs w:val="32"/>
          <w:shd w:val="clear" w:fill="FFFFFF"/>
          <w:lang w:eastAsia="zh-CN"/>
        </w:rPr>
      </w:pPr>
      <w:r>
        <w:rPr>
          <w:rFonts w:hint="default" w:ascii="仿宋_GB2312" w:hAnsi="仿宋_GB2312" w:eastAsia="仿宋_GB2312" w:cs="仿宋_GB2312"/>
          <w:i w:val="0"/>
          <w:iCs w:val="0"/>
          <w:caps w:val="0"/>
          <w:color w:val="060607"/>
          <w:spacing w:val="8"/>
          <w:sz w:val="32"/>
          <w:szCs w:val="32"/>
          <w:shd w:val="clear" w:fill="FFFFFF"/>
          <w:lang w:eastAsia="zh-CN"/>
        </w:rPr>
        <w:t xml:space="preserve">    政策内容包括：</w:t>
      </w:r>
      <w:r>
        <w:rPr>
          <w:rFonts w:hint="eastAsia" w:ascii="黑体" w:hAnsi="黑体" w:eastAsia="黑体" w:cs="黑体"/>
          <w:i w:val="0"/>
          <w:iCs w:val="0"/>
          <w:caps w:val="0"/>
          <w:color w:val="060607"/>
          <w:spacing w:val="8"/>
          <w:sz w:val="32"/>
          <w:szCs w:val="32"/>
          <w:shd w:val="clear" w:fill="FFFFFF"/>
          <w:lang w:eastAsia="zh-CN"/>
        </w:rPr>
        <w:t>一是汽车以旧换新</w:t>
      </w:r>
      <w:r>
        <w:rPr>
          <w:rFonts w:hint="default" w:ascii="仿宋_GB2312" w:hAnsi="仿宋_GB2312" w:eastAsia="仿宋_GB2312" w:cs="仿宋_GB2312"/>
          <w:i w:val="0"/>
          <w:iCs w:val="0"/>
          <w:caps w:val="0"/>
          <w:color w:val="060607"/>
          <w:spacing w:val="8"/>
          <w:sz w:val="32"/>
          <w:szCs w:val="32"/>
          <w:shd w:val="clear" w:fill="FFFFFF"/>
          <w:lang w:eastAsia="zh-CN"/>
        </w:rPr>
        <w:t>：政策提出加大财政金融支持，完善报废车回收拆解体系，促进二手车交易便利化，培育壮大二手车市场，推动汽车流通消费创新。</w:t>
      </w:r>
      <w:r>
        <w:rPr>
          <w:rFonts w:hint="eastAsia" w:ascii="黑体" w:hAnsi="黑体" w:eastAsia="黑体" w:cs="黑体"/>
          <w:i w:val="0"/>
          <w:iCs w:val="0"/>
          <w:caps w:val="0"/>
          <w:color w:val="060607"/>
          <w:spacing w:val="8"/>
          <w:sz w:val="32"/>
          <w:szCs w:val="32"/>
          <w:shd w:val="clear" w:fill="FFFFFF"/>
          <w:lang w:eastAsia="zh-CN"/>
        </w:rPr>
        <w:t>二是家电以旧换新</w:t>
      </w:r>
      <w:r>
        <w:rPr>
          <w:rFonts w:hint="default" w:ascii="仿宋_GB2312" w:hAnsi="仿宋_GB2312" w:eastAsia="仿宋_GB2312" w:cs="仿宋_GB2312"/>
          <w:i w:val="0"/>
          <w:iCs w:val="0"/>
          <w:caps w:val="0"/>
          <w:color w:val="060607"/>
          <w:spacing w:val="8"/>
          <w:sz w:val="32"/>
          <w:szCs w:val="32"/>
          <w:shd w:val="clear" w:fill="FFFFFF"/>
          <w:lang w:eastAsia="zh-CN"/>
        </w:rPr>
        <w:t>：政策鼓励地方利用中央财政资金提升家电回收网络效率，出台惠民补贴，完善回收网络，加大多元化主体培育，强化家电标准引领，提升售后服务水平，发展二手商品流通。</w:t>
      </w:r>
      <w:r>
        <w:rPr>
          <w:rFonts w:hint="eastAsia" w:ascii="黑体" w:hAnsi="黑体" w:eastAsia="黑体" w:cs="黑体"/>
          <w:i w:val="0"/>
          <w:iCs w:val="0"/>
          <w:caps w:val="0"/>
          <w:color w:val="060607"/>
          <w:spacing w:val="8"/>
          <w:sz w:val="32"/>
          <w:szCs w:val="32"/>
          <w:shd w:val="clear" w:fill="FFFFFF"/>
          <w:lang w:eastAsia="zh-CN"/>
        </w:rPr>
        <w:t>三是家装厨卫“焕新”</w:t>
      </w:r>
      <w:r>
        <w:rPr>
          <w:rFonts w:hint="default" w:ascii="仿宋_GB2312" w:hAnsi="仿宋_GB2312" w:eastAsia="仿宋_GB2312" w:cs="仿宋_GB2312"/>
          <w:i w:val="0"/>
          <w:iCs w:val="0"/>
          <w:caps w:val="0"/>
          <w:color w:val="060607"/>
          <w:spacing w:val="8"/>
          <w:sz w:val="32"/>
          <w:szCs w:val="32"/>
          <w:shd w:val="clear" w:fill="FFFFFF"/>
          <w:lang w:eastAsia="zh-CN"/>
        </w:rPr>
        <w:t>：政策支持旧房装修改造，智能家居消费，便民服务水平提升，培育家居市场新增长点，优化家居市场环境。</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default" w:ascii="仿宋_GB2312" w:hAnsi="仿宋_GB2312" w:eastAsia="仿宋_GB2312" w:cs="仿宋_GB2312"/>
          <w:i w:val="0"/>
          <w:iCs w:val="0"/>
          <w:caps w:val="0"/>
          <w:color w:val="060607"/>
          <w:spacing w:val="8"/>
          <w:sz w:val="32"/>
          <w:szCs w:val="32"/>
          <w:shd w:val="clear" w:fill="FFFFFF"/>
          <w:lang w:eastAsia="zh-CN"/>
        </w:rPr>
      </w:pPr>
      <w:r>
        <w:rPr>
          <w:rFonts w:hint="default" w:ascii="仿宋_GB2312" w:hAnsi="仿宋_GB2312" w:eastAsia="仿宋_GB2312" w:cs="仿宋_GB2312"/>
          <w:i w:val="0"/>
          <w:iCs w:val="0"/>
          <w:caps w:val="0"/>
          <w:color w:val="060607"/>
          <w:spacing w:val="8"/>
          <w:sz w:val="32"/>
          <w:szCs w:val="32"/>
          <w:shd w:val="clear" w:fill="FFFFFF"/>
          <w:lang w:eastAsia="zh-CN"/>
        </w:rPr>
        <w:t xml:space="preserve">    政策预期影响包括：</w:t>
      </w:r>
      <w:r>
        <w:rPr>
          <w:rFonts w:hint="eastAsia" w:ascii="黑体" w:hAnsi="黑体" w:eastAsia="黑体" w:cs="黑体"/>
          <w:i w:val="0"/>
          <w:iCs w:val="0"/>
          <w:caps w:val="0"/>
          <w:color w:val="060607"/>
          <w:spacing w:val="8"/>
          <w:sz w:val="32"/>
          <w:szCs w:val="32"/>
          <w:shd w:val="clear" w:fill="FFFFFF"/>
          <w:lang w:eastAsia="zh-CN"/>
        </w:rPr>
        <w:t>一是促进消费升级</w:t>
      </w:r>
      <w:r>
        <w:rPr>
          <w:rFonts w:hint="default" w:ascii="仿宋_GB2312" w:hAnsi="仿宋_GB2312" w:eastAsia="仿宋_GB2312" w:cs="仿宋_GB2312"/>
          <w:i w:val="0"/>
          <w:iCs w:val="0"/>
          <w:caps w:val="0"/>
          <w:color w:val="060607"/>
          <w:spacing w:val="8"/>
          <w:sz w:val="32"/>
          <w:szCs w:val="32"/>
          <w:shd w:val="clear" w:fill="FFFFFF"/>
          <w:lang w:eastAsia="zh-CN"/>
        </w:rPr>
        <w:t>：通过以旧换新政策，加速老旧产品淘汰，推动消费者购买更高效、节能、环保的新产品。</w:t>
      </w:r>
      <w:r>
        <w:rPr>
          <w:rFonts w:hint="eastAsia" w:ascii="黑体" w:hAnsi="黑体" w:eastAsia="黑体" w:cs="黑体"/>
          <w:i w:val="0"/>
          <w:iCs w:val="0"/>
          <w:caps w:val="0"/>
          <w:color w:val="060607"/>
          <w:spacing w:val="8"/>
          <w:sz w:val="32"/>
          <w:szCs w:val="32"/>
          <w:shd w:val="clear" w:fill="FFFFFF"/>
          <w:lang w:eastAsia="zh-CN"/>
        </w:rPr>
        <w:t>二是激发市场活力</w:t>
      </w:r>
      <w:r>
        <w:rPr>
          <w:rFonts w:hint="default" w:ascii="仿宋_GB2312" w:hAnsi="仿宋_GB2312" w:eastAsia="仿宋_GB2312" w:cs="仿宋_GB2312"/>
          <w:i w:val="0"/>
          <w:iCs w:val="0"/>
          <w:caps w:val="0"/>
          <w:color w:val="060607"/>
          <w:spacing w:val="8"/>
          <w:sz w:val="32"/>
          <w:szCs w:val="32"/>
          <w:shd w:val="clear" w:fill="FFFFFF"/>
          <w:lang w:eastAsia="zh-CN"/>
        </w:rPr>
        <w:t>：联合促销活动和政策组合包预计将激发市场活力，带动相关产业链发展。</w:t>
      </w:r>
      <w:r>
        <w:rPr>
          <w:rFonts w:hint="eastAsia" w:ascii="黑体" w:hAnsi="黑体" w:eastAsia="黑体" w:cs="黑体"/>
          <w:i w:val="0"/>
          <w:iCs w:val="0"/>
          <w:caps w:val="0"/>
          <w:color w:val="060607"/>
          <w:spacing w:val="8"/>
          <w:sz w:val="32"/>
          <w:szCs w:val="32"/>
          <w:shd w:val="clear" w:fill="FFFFFF"/>
          <w:lang w:eastAsia="zh-CN"/>
        </w:rPr>
        <w:t>三是推动循环经济</w:t>
      </w:r>
      <w:r>
        <w:rPr>
          <w:rFonts w:hint="default" w:ascii="仿宋_GB2312" w:hAnsi="仿宋_GB2312" w:eastAsia="仿宋_GB2312" w:cs="仿宋_GB2312"/>
          <w:i w:val="0"/>
          <w:iCs w:val="0"/>
          <w:caps w:val="0"/>
          <w:color w:val="060607"/>
          <w:spacing w:val="8"/>
          <w:sz w:val="32"/>
          <w:szCs w:val="32"/>
          <w:shd w:val="clear" w:fill="FFFFFF"/>
          <w:lang w:eastAsia="zh-CN"/>
        </w:rPr>
        <w:t>：完善的回收体系和二手商品流通将促进资源的循环利用，减少浪费。</w:t>
      </w:r>
      <w:r>
        <w:rPr>
          <w:rFonts w:hint="eastAsia" w:ascii="黑体" w:hAnsi="黑体" w:eastAsia="黑体" w:cs="黑体"/>
          <w:i w:val="0"/>
          <w:iCs w:val="0"/>
          <w:caps w:val="0"/>
          <w:color w:val="060607"/>
          <w:spacing w:val="8"/>
          <w:sz w:val="32"/>
          <w:szCs w:val="32"/>
          <w:shd w:val="clear" w:fill="FFFFFF"/>
          <w:lang w:eastAsia="zh-CN"/>
        </w:rPr>
        <w:t>四是提升公共服务</w:t>
      </w:r>
      <w:r>
        <w:rPr>
          <w:rFonts w:hint="default" w:ascii="仿宋_GB2312" w:hAnsi="仿宋_GB2312" w:eastAsia="仿宋_GB2312" w:cs="仿宋_GB2312"/>
          <w:i w:val="0"/>
          <w:iCs w:val="0"/>
          <w:caps w:val="0"/>
          <w:color w:val="060607"/>
          <w:spacing w:val="8"/>
          <w:sz w:val="32"/>
          <w:szCs w:val="32"/>
          <w:shd w:val="clear" w:fill="FFFFFF"/>
          <w:lang w:eastAsia="zh-CN"/>
        </w:rPr>
        <w:t>：便民服务点和提升售后服务水平将增强消费者体验，提升公共服务效率。</w:t>
      </w:r>
      <w:r>
        <w:rPr>
          <w:rFonts w:hint="eastAsia" w:ascii="黑体" w:hAnsi="黑体" w:eastAsia="黑体" w:cs="黑体"/>
          <w:i w:val="0"/>
          <w:iCs w:val="0"/>
          <w:caps w:val="0"/>
          <w:color w:val="060607"/>
          <w:spacing w:val="8"/>
          <w:sz w:val="32"/>
          <w:szCs w:val="32"/>
          <w:shd w:val="clear" w:fill="FFFFFF"/>
          <w:lang w:eastAsia="zh-CN"/>
        </w:rPr>
        <w:t>五是规范市场秩序</w:t>
      </w:r>
      <w:r>
        <w:rPr>
          <w:rFonts w:hint="default" w:ascii="仿宋_GB2312" w:hAnsi="仿宋_GB2312" w:eastAsia="仿宋_GB2312" w:cs="仿宋_GB2312"/>
          <w:i w:val="0"/>
          <w:iCs w:val="0"/>
          <w:caps w:val="0"/>
          <w:color w:val="060607"/>
          <w:spacing w:val="8"/>
          <w:sz w:val="32"/>
          <w:szCs w:val="32"/>
          <w:shd w:val="clear" w:fill="FFFFFF"/>
          <w:lang w:eastAsia="zh-CN"/>
        </w:rPr>
        <w:t>：政策强调了合规引导和风险防范，预防市场乱象，保护消费者权益。</w:t>
      </w:r>
    </w:p>
    <w:p>
      <w:pPr>
        <w:pStyle w:val="14"/>
        <w:keepNext w:val="0"/>
        <w:keepLines w:val="0"/>
        <w:widowControl/>
        <w:suppressLineNumbers w:val="0"/>
        <w:shd w:val="clear" w:fill="FFFFFF"/>
        <w:spacing w:before="0" w:beforeAutospacing="0" w:after="0" w:afterAutospacing="0" w:line="560" w:lineRule="exact"/>
        <w:ind w:left="0" w:right="0" w:firstLine="0"/>
        <w:jc w:val="both"/>
        <w:rPr>
          <w:rFonts w:hint="default" w:ascii="仿宋_GB2312" w:hAnsi="仿宋_GB2312" w:eastAsia="仿宋_GB2312" w:cs="仿宋_GB2312"/>
          <w:i w:val="0"/>
          <w:iCs w:val="0"/>
          <w:caps w:val="0"/>
          <w:color w:val="060607"/>
          <w:spacing w:val="8"/>
          <w:sz w:val="32"/>
          <w:szCs w:val="32"/>
          <w:shd w:val="clear" w:fill="FFFFFF"/>
          <w:lang w:eastAsia="zh-CN"/>
        </w:rPr>
      </w:pPr>
      <w:r>
        <w:rPr>
          <w:rFonts w:hint="default" w:ascii="仿宋_GB2312" w:hAnsi="仿宋_GB2312" w:eastAsia="仿宋_GB2312" w:cs="仿宋_GB2312"/>
          <w:i w:val="0"/>
          <w:iCs w:val="0"/>
          <w:caps w:val="0"/>
          <w:color w:val="060607"/>
          <w:spacing w:val="8"/>
          <w:sz w:val="32"/>
          <w:szCs w:val="32"/>
          <w:shd w:val="clear" w:fill="FFFFFF"/>
          <w:lang w:eastAsia="zh-CN"/>
        </w:rPr>
        <w:t xml:space="preserve">    该行动方案通过具体措施，旨在推动消费模式的转变，促进经济的绿色发展，同时提高居民生活质量和消费体验。</w:t>
      </w:r>
    </w:p>
    <w:p>
      <w:pPr>
        <w:pStyle w:val="14"/>
        <w:keepNext w:val="0"/>
        <w:keepLines w:val="0"/>
        <w:widowControl/>
        <w:numPr>
          <w:ilvl w:val="0"/>
          <w:numId w:val="1"/>
        </w:numPr>
        <w:suppressLineNumbers w:val="0"/>
        <w:shd w:val="clear" w:fill="FFFFFF"/>
        <w:spacing w:before="0" w:beforeAutospacing="0" w:after="0" w:afterAutospacing="0" w:line="560" w:lineRule="exact"/>
        <w:ind w:left="0" w:leftChars="0" w:right="0" w:firstLine="0" w:firstLineChars="0"/>
        <w:jc w:val="both"/>
        <w:rPr>
          <w:rFonts w:hint="eastAsia" w:ascii="仿宋_GB2312" w:hAnsi="仿宋_GB2312" w:eastAsia="仿宋_GB2312" w:cs="仿宋_GB2312"/>
          <w:i w:val="0"/>
          <w:iCs w:val="0"/>
          <w:caps w:val="0"/>
          <w:color w:val="060607"/>
          <w:spacing w:val="8"/>
          <w:sz w:val="32"/>
          <w:szCs w:val="32"/>
        </w:rPr>
      </w:pPr>
      <w:r>
        <w:rPr>
          <w:rFonts w:hint="eastAsia" w:ascii="黑体" w:hAnsi="黑体" w:eastAsia="黑体" w:cs="黑体"/>
          <w:b w:val="0"/>
          <w:bCs w:val="0"/>
          <w:sz w:val="32"/>
          <w:szCs w:val="32"/>
          <w:highlight w:val="none"/>
          <w:lang w:val="en-US" w:eastAsia="zh-CN"/>
        </w:rPr>
        <w:t>《汽车以旧换新补贴实施细则》</w:t>
      </w:r>
      <w:r>
        <w:rPr>
          <w:rStyle w:val="20"/>
          <w:rFonts w:hint="default" w:ascii="Times New Roman" w:hAnsi="Times New Roman" w:eastAsia="仿宋_GB2312" w:cs="Times New Roman"/>
          <w:b w:val="0"/>
          <w:bCs w:val="0"/>
          <w:sz w:val="32"/>
          <w:szCs w:val="32"/>
          <w:highlight w:val="none"/>
          <w:lang w:val="en-US" w:eastAsia="zh-CN"/>
        </w:rPr>
        <w:footnoteReference w:id="3"/>
      </w:r>
    </w:p>
    <w:p>
      <w:pPr>
        <w:numPr>
          <w:ilvl w:val="0"/>
          <w:numId w:val="0"/>
        </w:numPr>
        <w:spacing w:line="560" w:lineRule="exact"/>
        <w:ind w:left="105" w:leftChars="0"/>
        <w:jc w:val="both"/>
        <w:rPr>
          <w:rFonts w:hint="default" w:ascii="仿宋_GB2312" w:hAnsi="仿宋_GB2312" w:eastAsia="仿宋_GB2312" w:cs="仿宋_GB2312"/>
          <w:sz w:val="32"/>
          <w:szCs w:val="32"/>
          <w:lang w:eastAsia="zh-CN"/>
        </w:rPr>
      </w:pPr>
      <w:r>
        <w:rPr>
          <w:rFonts w:hint="default" w:ascii="仿宋_GB2312" w:hAnsi="仿宋_GB2312" w:eastAsia="仿宋_GB2312" w:cs="仿宋_GB2312"/>
          <w:sz w:val="32"/>
          <w:szCs w:val="32"/>
          <w:lang w:eastAsia="zh-CN"/>
        </w:rPr>
        <w:t xml:space="preserve">    《汽车以旧换新补贴实施细则》是为贯彻落实国务院关于推动大规模设备更新和消费品以旧换新行动方案的精神，旨在促进汽车行业转型升级，减少环境污染，同时刺激消费，推动经济增长。</w:t>
      </w:r>
    </w:p>
    <w:p>
      <w:pPr>
        <w:numPr>
          <w:ilvl w:val="0"/>
          <w:numId w:val="0"/>
        </w:numPr>
        <w:spacing w:line="560" w:lineRule="exact"/>
        <w:ind w:left="0" w:leftChars="0" w:firstLine="0" w:firstLineChars="0"/>
        <w:jc w:val="both"/>
        <w:rPr>
          <w:rFonts w:hint="default" w:ascii="仿宋_GB2312" w:hAnsi="仿宋_GB2312" w:eastAsia="仿宋_GB2312" w:cs="仿宋_GB2312"/>
          <w:sz w:val="32"/>
          <w:szCs w:val="32"/>
          <w:lang w:eastAsia="zh-CN"/>
        </w:rPr>
      </w:pPr>
      <w:r>
        <w:rPr>
          <w:rFonts w:hint="default" w:ascii="仿宋_GB2312" w:hAnsi="仿宋_GB2312" w:eastAsia="仿宋_GB2312" w:cs="仿宋_GB2312"/>
          <w:sz w:val="32"/>
          <w:szCs w:val="32"/>
          <w:lang w:eastAsia="zh-CN"/>
        </w:rPr>
        <w:t xml:space="preserve">    政策内容包括：</w:t>
      </w:r>
      <w:r>
        <w:rPr>
          <w:rFonts w:hint="eastAsia" w:ascii="黑体" w:hAnsi="黑体" w:eastAsia="黑体" w:cs="黑体"/>
          <w:sz w:val="32"/>
          <w:szCs w:val="32"/>
          <w:lang w:eastAsia="zh-CN"/>
        </w:rPr>
        <w:t>一是补贴范围</w:t>
      </w:r>
      <w:r>
        <w:rPr>
          <w:rFonts w:hint="default" w:ascii="仿宋_GB2312" w:hAnsi="仿宋_GB2312" w:eastAsia="仿宋_GB2312" w:cs="仿宋_GB2312"/>
          <w:sz w:val="32"/>
          <w:szCs w:val="32"/>
          <w:lang w:eastAsia="zh-CN"/>
        </w:rPr>
        <w:t>：针对个人消费者报废国三及以下排放标准燃油乘用车或2018年4月30日前注册登记的新能源乘用车，并购买新能源乘用车或2.0升及以下排量燃油乘用车的，给予一次性定额补贴。</w:t>
      </w:r>
      <w:r>
        <w:rPr>
          <w:rFonts w:hint="eastAsia" w:ascii="黑体" w:hAnsi="黑体" w:eastAsia="黑体" w:cs="黑体"/>
          <w:sz w:val="32"/>
          <w:szCs w:val="32"/>
          <w:lang w:eastAsia="zh-CN"/>
        </w:rPr>
        <w:t>二是补贴标准</w:t>
      </w:r>
      <w:r>
        <w:rPr>
          <w:rFonts w:hint="default" w:ascii="仿宋_GB2312" w:hAnsi="仿宋_GB2312" w:eastAsia="仿宋_GB2312" w:cs="仿宋_GB2312"/>
          <w:sz w:val="32"/>
          <w:szCs w:val="32"/>
          <w:lang w:eastAsia="zh-CN"/>
        </w:rPr>
        <w:t>：报废旧车并购买新能源乘用车的补贴1万元；报废国三及以下排放标准燃油乘用车并购买2.0升及以下排量燃油乘用车的补贴7000元。</w:t>
      </w:r>
      <w:r>
        <w:rPr>
          <w:rFonts w:hint="eastAsia" w:ascii="黑体" w:hAnsi="黑体" w:eastAsia="黑体" w:cs="黑体"/>
          <w:sz w:val="32"/>
          <w:szCs w:val="32"/>
          <w:lang w:eastAsia="zh-CN"/>
        </w:rPr>
        <w:t>三是补贴申报与审核：</w:t>
      </w:r>
      <w:r>
        <w:rPr>
          <w:rFonts w:hint="default" w:ascii="仿宋_GB2312" w:hAnsi="仿宋_GB2312" w:eastAsia="仿宋_GB2312" w:cs="仿宋_GB2312"/>
          <w:sz w:val="32"/>
          <w:szCs w:val="32"/>
          <w:lang w:eastAsia="zh-CN"/>
        </w:rPr>
        <w:t>消费者需通过汽车以旧换新平台提交相关证明和信息，由地方商务主管部门联合相关部门审核。</w:t>
      </w:r>
      <w:r>
        <w:rPr>
          <w:rFonts w:hint="eastAsia" w:ascii="黑体" w:hAnsi="黑体" w:eastAsia="黑体" w:cs="黑体"/>
          <w:sz w:val="32"/>
          <w:szCs w:val="32"/>
          <w:lang w:eastAsia="zh-CN"/>
        </w:rPr>
        <w:t>四是资金管理</w:t>
      </w:r>
      <w:r>
        <w:rPr>
          <w:rFonts w:hint="default" w:ascii="仿宋_GB2312" w:hAnsi="仿宋_GB2312" w:eastAsia="仿宋_GB2312" w:cs="仿宋_GB2312"/>
          <w:sz w:val="32"/>
          <w:szCs w:val="32"/>
          <w:lang w:eastAsia="zh-CN"/>
        </w:rPr>
        <w:t>：补贴资金由中央财政和地方财政共同承担，具体分担比例根据地区不同而有所区别。</w:t>
      </w:r>
      <w:r>
        <w:rPr>
          <w:rFonts w:hint="eastAsia" w:ascii="黑体" w:hAnsi="黑体" w:eastAsia="黑体" w:cs="黑体"/>
          <w:sz w:val="32"/>
          <w:szCs w:val="32"/>
          <w:lang w:eastAsia="zh-CN"/>
        </w:rPr>
        <w:t>五是监督管理</w:t>
      </w:r>
      <w:r>
        <w:rPr>
          <w:rFonts w:hint="default" w:ascii="仿宋_GB2312" w:hAnsi="仿宋_GB2312" w:eastAsia="仿宋_GB2312" w:cs="仿宋_GB2312"/>
          <w:sz w:val="32"/>
          <w:szCs w:val="32"/>
          <w:lang w:eastAsia="zh-CN"/>
        </w:rPr>
        <w:t>：商务部、财政部等部门负责监督管理，确保补贴资金的安全和及时发放。</w:t>
      </w:r>
    </w:p>
    <w:p>
      <w:pPr>
        <w:numPr>
          <w:ilvl w:val="0"/>
          <w:numId w:val="0"/>
        </w:numPr>
        <w:spacing w:line="560" w:lineRule="exact"/>
        <w:ind w:left="0" w:leftChars="0" w:firstLine="0" w:firstLineChars="0"/>
        <w:jc w:val="both"/>
        <w:rPr>
          <w:rFonts w:hint="default" w:ascii="仿宋_GB2312" w:hAnsi="仿宋_GB2312" w:eastAsia="仿宋_GB2312" w:cs="仿宋_GB2312"/>
          <w:sz w:val="32"/>
          <w:szCs w:val="32"/>
          <w:lang w:eastAsia="zh-CN"/>
        </w:rPr>
      </w:pPr>
      <w:r>
        <w:rPr>
          <w:rFonts w:hint="default" w:ascii="仿宋_GB2312" w:hAnsi="仿宋_GB2312" w:eastAsia="仿宋_GB2312" w:cs="仿宋_GB2312"/>
          <w:i w:val="0"/>
          <w:iCs w:val="0"/>
          <w:caps w:val="0"/>
          <w:color w:val="060607"/>
          <w:spacing w:val="8"/>
          <w:sz w:val="32"/>
          <w:szCs w:val="32"/>
          <w:shd w:val="clear" w:fill="FFFFFF"/>
        </w:rPr>
        <w:t xml:space="preserve">    </w:t>
      </w:r>
      <w:r>
        <w:rPr>
          <w:rFonts w:hint="eastAsia" w:ascii="仿宋_GB2312" w:hAnsi="仿宋_GB2312" w:eastAsia="仿宋_GB2312" w:cs="仿宋_GB2312"/>
          <w:i w:val="0"/>
          <w:iCs w:val="0"/>
          <w:caps w:val="0"/>
          <w:color w:val="060607"/>
          <w:spacing w:val="8"/>
          <w:sz w:val="32"/>
          <w:szCs w:val="32"/>
          <w:shd w:val="clear" w:fill="FFFFFF"/>
        </w:rPr>
        <w:t>该政策的实施对新能源汽车</w:t>
      </w:r>
      <w:r>
        <w:rPr>
          <w:rFonts w:hint="default" w:ascii="仿宋_GB2312" w:hAnsi="仿宋_GB2312" w:eastAsia="仿宋_GB2312" w:cs="仿宋_GB2312"/>
          <w:i w:val="0"/>
          <w:iCs w:val="0"/>
          <w:caps w:val="0"/>
          <w:color w:val="060607"/>
          <w:spacing w:val="8"/>
          <w:sz w:val="32"/>
          <w:szCs w:val="32"/>
          <w:shd w:val="clear" w:fill="FFFFFF"/>
        </w:rPr>
        <w:t>产业产生如下影响。</w:t>
      </w:r>
      <w:r>
        <w:rPr>
          <w:rFonts w:hint="eastAsia" w:ascii="黑体" w:hAnsi="黑体" w:eastAsia="黑体" w:cs="黑体"/>
          <w:i w:val="0"/>
          <w:iCs w:val="0"/>
          <w:caps w:val="0"/>
          <w:color w:val="060607"/>
          <w:spacing w:val="8"/>
          <w:sz w:val="32"/>
          <w:szCs w:val="32"/>
          <w:shd w:val="clear" w:fill="FFFFFF"/>
        </w:rPr>
        <w:t>一是</w:t>
      </w:r>
      <w:r>
        <w:rPr>
          <w:rFonts w:hint="eastAsia" w:ascii="黑体" w:hAnsi="黑体" w:eastAsia="黑体" w:cs="黑体"/>
          <w:sz w:val="32"/>
          <w:szCs w:val="32"/>
          <w:lang w:eastAsia="zh-CN"/>
        </w:rPr>
        <w:t>市场影响：</w:t>
      </w:r>
      <w:r>
        <w:rPr>
          <w:rFonts w:hint="default" w:ascii="仿宋_GB2312" w:hAnsi="仿宋_GB2312" w:eastAsia="仿宋_GB2312" w:cs="仿宋_GB2312"/>
          <w:sz w:val="32"/>
          <w:szCs w:val="32"/>
          <w:lang w:eastAsia="zh-CN"/>
        </w:rPr>
        <w:t>政策将刺激消费者报废老旧车辆，购买新能源或低排量燃油乘用车，促进汽车市场的更新换代。二是环境影响：通过鼓励报废高排放车辆，减少环境污染，推动绿色低碳发展。三是技术影响：政策将推动新能源汽车技术的发展，加速新能源汽车的普及。四是经济影响：补贴政策有助于刺激消费，提振汽车产业，对经济增长产生积极作用。</w:t>
      </w:r>
    </w:p>
    <w:p>
      <w:pPr>
        <w:numPr>
          <w:ilvl w:val="0"/>
          <w:numId w:val="0"/>
        </w:numPr>
        <w:spacing w:line="560" w:lineRule="exact"/>
        <w:ind w:left="105" w:leftChars="0"/>
        <w:jc w:val="both"/>
        <w:rPr>
          <w:rFonts w:hint="default" w:ascii="仿宋_GB2312" w:hAnsi="仿宋_GB2312" w:eastAsia="仿宋_GB2312" w:cs="仿宋_GB2312"/>
          <w:sz w:val="32"/>
          <w:szCs w:val="32"/>
          <w:lang w:eastAsia="zh-CN"/>
        </w:rPr>
      </w:pPr>
      <w:r>
        <w:rPr>
          <w:rFonts w:hint="default" w:ascii="仿宋_GB2312" w:hAnsi="仿宋_GB2312" w:eastAsia="仿宋_GB2312" w:cs="仿宋_GB2312"/>
          <w:sz w:val="32"/>
          <w:szCs w:val="32"/>
          <w:lang w:eastAsia="zh-CN"/>
        </w:rPr>
        <w:t xml:space="preserve">    关于政策实施的建议有，一是加强宣传：通过多种渠道宣传政策内容，提高公众对政策的认知度。二是简化流程：优化申报审核流程，减少消费者和企业的负担，提高政策执行效率。三是监管到位：加强对补贴资金的监管，防止资金挪用和骗取，确保政策效果。四是持续评估：定期评估政策效果，根据市场变化和政策实施情况及时调整。</w:t>
      </w:r>
    </w:p>
    <w:p>
      <w:pPr>
        <w:numPr>
          <w:ilvl w:val="0"/>
          <w:numId w:val="0"/>
        </w:numPr>
        <w:spacing w:line="560" w:lineRule="exact"/>
        <w:ind w:left="0" w:leftChars="0" w:firstLine="0" w:firstLineChars="0"/>
        <w:jc w:val="both"/>
        <w:rPr>
          <w:rFonts w:hint="eastAsia" w:ascii="仿宋_GB2312" w:hAnsi="仿宋_GB2312" w:eastAsia="仿宋_GB2312" w:cs="仿宋_GB2312"/>
          <w:sz w:val="32"/>
          <w:szCs w:val="32"/>
          <w:lang w:eastAsia="zh-CN"/>
        </w:rPr>
      </w:pPr>
      <w:r>
        <w:rPr>
          <w:rFonts w:hint="default" w:ascii="仿宋_GB2312" w:hAnsi="仿宋_GB2312" w:eastAsia="仿宋_GB2312" w:cs="仿宋_GB2312"/>
          <w:sz w:val="32"/>
          <w:szCs w:val="32"/>
          <w:lang w:eastAsia="zh-CN"/>
        </w:rPr>
        <w:t xml:space="preserve">    《汽车以旧换新补贴实施细则》是一项综合性政策，旨在通过财政补贴手段，推动汽车行业转型升级，促进环保和经济发展。政策的成功实施需要多部门的协同合作，以及对市场反应的持续监测和评估。通过这些措施，可以确保政策目标的实现，为汽车行业的可持续发展提供支持。</w:t>
      </w:r>
    </w:p>
    <w:p>
      <w:pPr>
        <w:spacing w:line="560" w:lineRule="exact"/>
        <w:jc w:val="both"/>
        <w:rPr>
          <w:rFonts w:hint="eastAsia" w:ascii="黑体" w:hAnsi="黑体" w:eastAsia="黑体" w:cs="黑体"/>
          <w:b w:val="0"/>
          <w:bCs w:val="0"/>
          <w:i w:val="0"/>
          <w:iCs w:val="0"/>
          <w:caps w:val="0"/>
          <w:color w:val="060607"/>
          <w:spacing w:val="8"/>
          <w:kern w:val="0"/>
          <w:sz w:val="32"/>
          <w:szCs w:val="32"/>
          <w:shd w:val="clear" w:fill="FFFFFF"/>
          <w:lang w:eastAsia="zh-CN" w:bidi="ar"/>
        </w:rPr>
      </w:pPr>
      <w:r>
        <w:rPr>
          <w:rFonts w:hint="eastAsia" w:ascii="黑体" w:hAnsi="黑体" w:eastAsia="黑体" w:cs="黑体"/>
          <w:b w:val="0"/>
          <w:bCs w:val="0"/>
          <w:i w:val="0"/>
          <w:iCs w:val="0"/>
          <w:caps w:val="0"/>
          <w:color w:val="060607"/>
          <w:spacing w:val="8"/>
          <w:kern w:val="0"/>
          <w:sz w:val="32"/>
          <w:szCs w:val="32"/>
          <w:shd w:val="clear" w:fill="FFFFFF"/>
          <w:lang w:eastAsia="zh-CN" w:bidi="ar"/>
        </w:rPr>
        <w:t>（二）地方政策创新实施</w:t>
      </w:r>
    </w:p>
    <w:p>
      <w:pPr>
        <w:spacing w:line="560" w:lineRule="exact"/>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黑体" w:hAnsi="黑体" w:eastAsia="黑体" w:cs="黑体"/>
          <w:i w:val="0"/>
          <w:iCs w:val="0"/>
          <w:caps w:val="0"/>
          <w:color w:val="060607"/>
          <w:spacing w:val="8"/>
          <w:kern w:val="0"/>
          <w:sz w:val="32"/>
          <w:szCs w:val="32"/>
          <w:shd w:val="clear" w:fill="FFFFFF"/>
          <w:lang w:eastAsia="zh-CN" w:bidi="ar"/>
        </w:rPr>
        <w:t>地方补贴政策：</w:t>
      </w:r>
      <w:r>
        <w:rPr>
          <w:rFonts w:hint="eastAsia" w:ascii="仿宋_GB2312" w:hAnsi="仿宋_GB2312" w:eastAsia="仿宋_GB2312" w:cs="仿宋_GB2312"/>
          <w:i w:val="0"/>
          <w:iCs w:val="0"/>
          <w:caps w:val="0"/>
          <w:color w:val="060607"/>
          <w:spacing w:val="8"/>
          <w:kern w:val="0"/>
          <w:sz w:val="32"/>
          <w:szCs w:val="32"/>
          <w:shd w:val="clear" w:fill="FFFFFF"/>
          <w:lang w:eastAsia="zh-CN" w:bidi="ar"/>
        </w:rPr>
        <w:t>部分地方政府在中央政策的基础上，出台了地方性的新能源汽车补贴政策，以促进本地新能源汽车产业的发展。</w:t>
      </w:r>
    </w:p>
    <w:p>
      <w:pPr>
        <w:spacing w:line="560" w:lineRule="exact"/>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eastAsia"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黑体" w:hAnsi="黑体" w:eastAsia="黑体" w:cs="黑体"/>
          <w:i w:val="0"/>
          <w:iCs w:val="0"/>
          <w:caps w:val="0"/>
          <w:color w:val="060607"/>
          <w:spacing w:val="8"/>
          <w:kern w:val="0"/>
          <w:sz w:val="32"/>
          <w:szCs w:val="32"/>
          <w:shd w:val="clear" w:fill="FFFFFF"/>
          <w:lang w:eastAsia="zh-CN" w:bidi="ar"/>
        </w:rPr>
        <w:t>充电基础设施建设：</w:t>
      </w:r>
      <w:r>
        <w:rPr>
          <w:rFonts w:hint="eastAsia" w:ascii="仿宋_GB2312" w:hAnsi="仿宋_GB2312" w:eastAsia="仿宋_GB2312" w:cs="仿宋_GB2312"/>
          <w:i w:val="0"/>
          <w:iCs w:val="0"/>
          <w:caps w:val="0"/>
          <w:color w:val="060607"/>
          <w:spacing w:val="8"/>
          <w:kern w:val="0"/>
          <w:sz w:val="32"/>
          <w:szCs w:val="32"/>
          <w:shd w:val="clear" w:fill="FFFFFF"/>
          <w:lang w:eastAsia="zh-CN" w:bidi="ar"/>
        </w:rPr>
        <w:t>多地政府加大了充电基础设施的建设力度，通过提供土地、资金等支持，加快构建完善的充电网络。</w:t>
      </w:r>
    </w:p>
    <w:p>
      <w:pPr>
        <w:numPr>
          <w:ilvl w:val="0"/>
          <w:numId w:val="2"/>
        </w:numPr>
        <w:spacing w:line="560" w:lineRule="exact"/>
        <w:jc w:val="both"/>
        <w:rPr>
          <w:rFonts w:hint="default" w:ascii="黑体" w:hAnsi="黑体" w:eastAsia="黑体" w:cs="黑体"/>
          <w:i w:val="0"/>
          <w:iCs w:val="0"/>
          <w:caps w:val="0"/>
          <w:color w:val="060607"/>
          <w:spacing w:val="8"/>
          <w:kern w:val="0"/>
          <w:sz w:val="32"/>
          <w:szCs w:val="32"/>
          <w:shd w:val="clear" w:fill="FFFFFF"/>
          <w:lang w:eastAsia="zh-CN" w:bidi="ar"/>
        </w:rPr>
      </w:pPr>
      <w:r>
        <w:rPr>
          <w:rFonts w:hint="default" w:ascii="黑体" w:hAnsi="黑体" w:eastAsia="黑体" w:cs="黑体"/>
          <w:i w:val="0"/>
          <w:iCs w:val="0"/>
          <w:caps w:val="0"/>
          <w:color w:val="060607"/>
          <w:spacing w:val="8"/>
          <w:kern w:val="0"/>
          <w:sz w:val="32"/>
          <w:szCs w:val="32"/>
          <w:shd w:val="clear" w:fill="FFFFFF"/>
          <w:lang w:eastAsia="zh-CN" w:bidi="ar"/>
        </w:rPr>
        <w:t>《2024年北京市汽车以旧换新补贴实施细则》</w:t>
      </w:r>
      <w:r>
        <w:rPr>
          <w:rStyle w:val="20"/>
          <w:rFonts w:hint="eastAsia" w:ascii="仿宋_GB2312" w:hAnsi="仿宋_GB2312" w:eastAsia="仿宋_GB2312" w:cs="仿宋_GB2312"/>
          <w:i w:val="0"/>
          <w:iCs w:val="0"/>
          <w:caps w:val="0"/>
          <w:color w:val="060607"/>
          <w:spacing w:val="8"/>
          <w:kern w:val="0"/>
          <w:sz w:val="32"/>
          <w:szCs w:val="32"/>
          <w:shd w:val="clear" w:fill="FFFFFF"/>
          <w:lang w:eastAsia="zh-CN" w:bidi="ar"/>
        </w:rPr>
        <w:footnoteReference w:id="4"/>
      </w:r>
    </w:p>
    <w:p>
      <w:pPr>
        <w:numPr>
          <w:ilvl w:val="0"/>
          <w:numId w:val="0"/>
        </w:numPr>
        <w:spacing w:line="560" w:lineRule="exact"/>
        <w:jc w:val="both"/>
        <w:rPr>
          <w:rFonts w:hint="default" w:ascii="Times New Roman" w:hAnsi="Times New Roman" w:eastAsia="仿宋_GB2312" w:cs="Times New Roman"/>
          <w:i w:val="0"/>
          <w:iCs w:val="0"/>
          <w:caps w:val="0"/>
          <w:color w:val="060607"/>
          <w:spacing w:val="8"/>
          <w:kern w:val="0"/>
          <w:sz w:val="32"/>
          <w:szCs w:val="32"/>
          <w:shd w:val="clear" w:fill="FFFFFF"/>
          <w:lang w:eastAsia="zh-CN" w:bidi="ar"/>
        </w:rPr>
      </w:pPr>
      <w:r>
        <w:rPr>
          <w:rFonts w:hint="default" w:ascii="Times New Roman" w:hAnsi="Times New Roman" w:eastAsia="仿宋_GB2312" w:cs="Times New Roman"/>
          <w:i w:val="0"/>
          <w:iCs w:val="0"/>
          <w:caps w:val="0"/>
          <w:color w:val="060607"/>
          <w:spacing w:val="8"/>
          <w:kern w:val="0"/>
          <w:sz w:val="32"/>
          <w:szCs w:val="32"/>
          <w:shd w:val="clear" w:fill="FFFFFF"/>
          <w:lang w:eastAsia="zh-CN" w:bidi="ar"/>
        </w:rPr>
        <w:t xml:space="preserve">    北京市商务局等8部门联合发布了《2024年北京市汽车以旧换新补贴实施细则》，旨在促进汽车消费和老旧汽车更新。政策要点包括：针对符合条件的个人消费者报废旧车并购买新车提供财政补贴，补贴标准根据报废车辆类型和新车类型划分，最高可达10000元/车；补贴资金通过转账方式发放；申请补贴需在规定时间内提交相关证明和材料，并通过线上平台进行；相关部门负责审核、资金拨付和监督管理，确保政策的顺利实施。</w:t>
      </w:r>
    </w:p>
    <w:p>
      <w:pPr>
        <w:numPr>
          <w:ilvl w:val="0"/>
          <w:numId w:val="2"/>
        </w:numPr>
        <w:spacing w:line="560" w:lineRule="exact"/>
        <w:ind w:left="0" w:leftChars="0" w:firstLine="0" w:firstLineChars="0"/>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eastAsia" w:ascii="黑体" w:hAnsi="黑体" w:eastAsia="黑体" w:cs="黑体"/>
          <w:i w:val="0"/>
          <w:iCs w:val="0"/>
          <w:caps w:val="0"/>
          <w:color w:val="060607"/>
          <w:spacing w:val="8"/>
          <w:kern w:val="0"/>
          <w:sz w:val="32"/>
          <w:szCs w:val="32"/>
          <w:shd w:val="clear" w:fill="FFFFFF"/>
          <w:lang w:eastAsia="zh-CN" w:bidi="ar"/>
        </w:rPr>
        <w:t>《</w:t>
      </w:r>
      <w:r>
        <w:rPr>
          <w:rFonts w:hint="eastAsia" w:ascii="黑体" w:hAnsi="黑体" w:eastAsia="黑体" w:cs="黑体"/>
          <w:i w:val="0"/>
          <w:iCs w:val="0"/>
          <w:caps w:val="0"/>
          <w:color w:val="060607"/>
          <w:spacing w:val="8"/>
          <w:kern w:val="0"/>
          <w:sz w:val="32"/>
          <w:szCs w:val="32"/>
          <w:shd w:val="clear" w:fill="FFFFFF"/>
          <w:lang w:val="en-US" w:eastAsia="zh-CN" w:bidi="ar"/>
        </w:rPr>
        <w:t>上海市促进汽车消费补贴实施细则</w:t>
      </w:r>
      <w:r>
        <w:rPr>
          <w:rFonts w:hint="eastAsia" w:ascii="黑体" w:hAnsi="黑体" w:eastAsia="黑体" w:cs="黑体"/>
          <w:i w:val="0"/>
          <w:iCs w:val="0"/>
          <w:caps w:val="0"/>
          <w:color w:val="060607"/>
          <w:spacing w:val="8"/>
          <w:kern w:val="0"/>
          <w:sz w:val="32"/>
          <w:szCs w:val="32"/>
          <w:shd w:val="clear" w:fill="FFFFFF"/>
          <w:lang w:eastAsia="zh-CN" w:bidi="ar"/>
        </w:rPr>
        <w:t>》</w:t>
      </w:r>
      <w:r>
        <w:rPr>
          <w:rStyle w:val="20"/>
          <w:rFonts w:hint="eastAsia" w:ascii="仿宋_GB2312" w:hAnsi="仿宋_GB2312" w:eastAsia="仿宋_GB2312" w:cs="仿宋_GB2312"/>
          <w:i w:val="0"/>
          <w:iCs w:val="0"/>
          <w:caps w:val="0"/>
          <w:color w:val="060607"/>
          <w:spacing w:val="8"/>
          <w:kern w:val="0"/>
          <w:sz w:val="32"/>
          <w:szCs w:val="32"/>
          <w:shd w:val="clear" w:fill="FFFFFF"/>
          <w:lang w:eastAsia="zh-CN" w:bidi="ar"/>
        </w:rPr>
        <w:footnoteReference w:id="5"/>
      </w:r>
    </w:p>
    <w:p>
      <w:pPr>
        <w:numPr>
          <w:ilvl w:val="0"/>
          <w:numId w:val="0"/>
        </w:numPr>
        <w:spacing w:line="560" w:lineRule="exact"/>
        <w:jc w:val="both"/>
        <w:rPr>
          <w:rFonts w:hint="default" w:ascii="Times New Roman" w:hAnsi="Times New Roman" w:eastAsia="仿宋_GB2312" w:cs="Times New Roman"/>
          <w:i w:val="0"/>
          <w:iCs w:val="0"/>
          <w:caps w:val="0"/>
          <w:color w:val="060607"/>
          <w:spacing w:val="8"/>
          <w:kern w:val="0"/>
          <w:sz w:val="32"/>
          <w:szCs w:val="32"/>
          <w:shd w:val="clear" w:fill="FFFFFF"/>
          <w:lang w:eastAsia="zh-CN" w:bidi="ar"/>
        </w:rPr>
      </w:pPr>
      <w:r>
        <w:rPr>
          <w:rFonts w:hint="eastAsia"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default" w:ascii="Times New Roman" w:hAnsi="Times New Roman" w:eastAsia="仿宋_GB2312" w:cs="Times New Roman"/>
          <w:i w:val="0"/>
          <w:iCs w:val="0"/>
          <w:caps w:val="0"/>
          <w:color w:val="060607"/>
          <w:spacing w:val="8"/>
          <w:kern w:val="0"/>
          <w:sz w:val="32"/>
          <w:szCs w:val="32"/>
          <w:shd w:val="clear" w:fill="FFFFFF"/>
          <w:lang w:val="en-US" w:eastAsia="zh-CN" w:bidi="ar"/>
        </w:rPr>
        <w:t xml:space="preserve">上海市发展和改革委员会、市财政局联合发布《上海市促进汽车消费补贴实施细则》。新能源汽车置换补贴范围和标准方面，《细则》明确：1）自2024年1月1日至2024年12月31日（以下日期均含当日），个人用户购买纯电动小客车新车，注册使用性质为非营运，且在规定期限内报废或者转让（不含变更登记）本人名下在本市注册登记的非营业性小客车的，本市给予个人用户一次性10000元购车补贴。2）补贴资金申请截止日期为2025年2月28日，异议复核申请截止日期为2025年3月31日。 </w:t>
      </w:r>
    </w:p>
    <w:p>
      <w:pPr>
        <w:numPr>
          <w:ilvl w:val="0"/>
          <w:numId w:val="2"/>
        </w:numPr>
        <w:spacing w:line="560" w:lineRule="exact"/>
        <w:ind w:left="0" w:leftChars="0" w:firstLine="0" w:firstLineChars="0"/>
        <w:jc w:val="both"/>
        <w:rPr>
          <w:rFonts w:hint="eastAsia" w:ascii="黑体" w:hAnsi="黑体" w:eastAsia="黑体" w:cs="黑体"/>
          <w:i w:val="0"/>
          <w:iCs w:val="0"/>
          <w:caps w:val="0"/>
          <w:color w:val="060607"/>
          <w:spacing w:val="8"/>
          <w:kern w:val="0"/>
          <w:sz w:val="32"/>
          <w:szCs w:val="32"/>
          <w:shd w:val="clear" w:fill="FFFFFF"/>
          <w:lang w:eastAsia="zh-CN" w:bidi="ar"/>
        </w:rPr>
      </w:pPr>
      <w:r>
        <w:rPr>
          <w:rFonts w:hint="eastAsia" w:ascii="黑体" w:hAnsi="黑体" w:eastAsia="黑体" w:cs="黑体"/>
          <w:i w:val="0"/>
          <w:iCs w:val="0"/>
          <w:caps w:val="0"/>
          <w:color w:val="060607"/>
          <w:spacing w:val="8"/>
          <w:kern w:val="0"/>
          <w:sz w:val="32"/>
          <w:szCs w:val="32"/>
          <w:shd w:val="clear" w:fill="FFFFFF"/>
          <w:lang w:eastAsia="zh-CN" w:bidi="ar"/>
        </w:rPr>
        <w:t>《关于加快推进汽车客运站转型发展的实施意见》</w:t>
      </w:r>
      <w:r>
        <w:rPr>
          <w:rStyle w:val="20"/>
          <w:rFonts w:hint="eastAsia" w:ascii="仿宋_GB2312" w:hAnsi="仿宋_GB2312" w:eastAsia="仿宋_GB2312" w:cs="仿宋_GB2312"/>
          <w:i w:val="0"/>
          <w:iCs w:val="0"/>
          <w:caps w:val="0"/>
          <w:color w:val="060607"/>
          <w:spacing w:val="8"/>
          <w:kern w:val="0"/>
          <w:sz w:val="32"/>
          <w:szCs w:val="32"/>
          <w:shd w:val="clear" w:fill="FFFFFF"/>
          <w:lang w:eastAsia="zh-CN" w:bidi="ar"/>
        </w:rPr>
        <w:footnoteReference w:id="6"/>
      </w:r>
    </w:p>
    <w:p>
      <w:pPr>
        <w:numPr>
          <w:ilvl w:val="0"/>
          <w:numId w:val="0"/>
        </w:numPr>
        <w:spacing w:line="560" w:lineRule="exact"/>
        <w:jc w:val="both"/>
        <w:rPr>
          <w:rFonts w:hint="default"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广西壮族自治区人民政府办公厅发布《关于加快推进汽车客运站转型发展的实施意见》，充电基础设施方面，《实施意见》明确：鼓励客运站开展车辆充换电业务。支持客运站利用闲置场地建设充换电基础设施，优先保障城市公共交通车辆、出租汽车、道路客运车辆等充电需求，提供夜间时段充电托管服务。</w:t>
      </w:r>
    </w:p>
    <w:p>
      <w:pPr>
        <w:numPr>
          <w:ilvl w:val="0"/>
          <w:numId w:val="2"/>
        </w:numPr>
        <w:spacing w:line="560" w:lineRule="exact"/>
        <w:ind w:left="0" w:leftChars="0" w:firstLine="0" w:firstLineChars="0"/>
        <w:jc w:val="both"/>
        <w:rPr>
          <w:rFonts w:hint="eastAsia" w:ascii="黑体" w:hAnsi="黑体" w:eastAsia="黑体" w:cs="黑体"/>
          <w:i w:val="0"/>
          <w:iCs w:val="0"/>
          <w:caps w:val="0"/>
          <w:color w:val="060607"/>
          <w:spacing w:val="8"/>
          <w:kern w:val="0"/>
          <w:sz w:val="32"/>
          <w:szCs w:val="32"/>
          <w:shd w:val="clear" w:fill="FFFFFF"/>
          <w:lang w:eastAsia="zh-CN" w:bidi="ar"/>
        </w:rPr>
      </w:pPr>
      <w:r>
        <w:rPr>
          <w:rFonts w:hint="eastAsia" w:ascii="黑体" w:hAnsi="黑体" w:eastAsia="黑体" w:cs="黑体"/>
          <w:i w:val="0"/>
          <w:iCs w:val="0"/>
          <w:caps w:val="0"/>
          <w:color w:val="060607"/>
          <w:spacing w:val="8"/>
          <w:kern w:val="0"/>
          <w:sz w:val="32"/>
          <w:szCs w:val="32"/>
          <w:shd w:val="clear" w:fill="FFFFFF"/>
          <w:lang w:eastAsia="zh-CN" w:bidi="ar"/>
        </w:rPr>
        <w:t>《重庆市新能源汽车便捷超充行动计划（2024—2025年）》</w:t>
      </w:r>
      <w:r>
        <w:rPr>
          <w:rStyle w:val="20"/>
          <w:rFonts w:hint="eastAsia" w:ascii="仿宋_GB2312" w:hAnsi="仿宋_GB2312" w:eastAsia="仿宋_GB2312" w:cs="仿宋_GB2312"/>
          <w:i w:val="0"/>
          <w:iCs w:val="0"/>
          <w:caps w:val="0"/>
          <w:color w:val="060607"/>
          <w:spacing w:val="8"/>
          <w:kern w:val="0"/>
          <w:sz w:val="32"/>
          <w:szCs w:val="32"/>
          <w:shd w:val="clear" w:fill="FFFFFF"/>
          <w:lang w:eastAsia="zh-CN" w:bidi="ar"/>
        </w:rPr>
        <w:footnoteReference w:id="7"/>
      </w:r>
    </w:p>
    <w:p>
      <w:pPr>
        <w:numPr>
          <w:ilvl w:val="0"/>
          <w:numId w:val="0"/>
        </w:numPr>
        <w:spacing w:line="560" w:lineRule="exact"/>
        <w:jc w:val="both"/>
        <w:rPr>
          <w:rFonts w:hint="default"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重庆市政府办公厅印发《重庆市新能源汽车便捷超充行动计划（2024—2025年）》。《行动计划》指出，中心城区公共快充站新建站均应具备超充能力，现有充电站逐步改造成为超充站形成“1公里超充圈”。按照“智能便捷、适度超前”建设原则，到2025年底，全市建成超充站2040座，建成超充桩4000个。其中，中心城区实现超充基础设施密集布点，建成超充站1340座；主城新区及万州区实现超充基础设施合理布局和场景全覆盖，建成超充站430座；两群地区实现超充基础设施基本覆盖，建成超充站100座；高速公路服务区实现超充基础设施全覆盖，建成超充站170座。 </w:t>
      </w:r>
    </w:p>
    <w:p>
      <w:pPr>
        <w:numPr>
          <w:ilvl w:val="0"/>
          <w:numId w:val="2"/>
        </w:numPr>
        <w:tabs>
          <w:tab w:val="clear" w:pos="312"/>
        </w:tabs>
        <w:spacing w:line="560" w:lineRule="exact"/>
        <w:ind w:left="0" w:leftChars="0" w:firstLine="0" w:firstLineChars="0"/>
        <w:jc w:val="both"/>
        <w:rPr>
          <w:rFonts w:hint="eastAsia" w:ascii="黑体" w:hAnsi="黑体" w:eastAsia="黑体" w:cs="黑体"/>
          <w:i w:val="0"/>
          <w:iCs w:val="0"/>
          <w:caps w:val="0"/>
          <w:color w:val="060607"/>
          <w:spacing w:val="8"/>
          <w:kern w:val="0"/>
          <w:sz w:val="32"/>
          <w:szCs w:val="32"/>
          <w:shd w:val="clear" w:fill="FFFFFF"/>
          <w:lang w:eastAsia="zh-CN" w:bidi="ar"/>
        </w:rPr>
      </w:pPr>
      <w:r>
        <w:rPr>
          <w:rFonts w:hint="eastAsia" w:ascii="黑体" w:hAnsi="黑体" w:eastAsia="黑体" w:cs="黑体"/>
          <w:i w:val="0"/>
          <w:iCs w:val="0"/>
          <w:caps w:val="0"/>
          <w:color w:val="060607"/>
          <w:spacing w:val="8"/>
          <w:kern w:val="0"/>
          <w:sz w:val="32"/>
          <w:szCs w:val="32"/>
          <w:shd w:val="clear" w:fill="FFFFFF"/>
          <w:lang w:eastAsia="zh-CN" w:bidi="ar"/>
        </w:rPr>
        <w:t>《湖南省推动大规模设备更新和消费品以旧换新实施方案》</w:t>
      </w:r>
      <w:r>
        <w:rPr>
          <w:rStyle w:val="20"/>
          <w:rFonts w:hint="eastAsia" w:ascii="仿宋_GB2312" w:hAnsi="仿宋_GB2312" w:eastAsia="仿宋_GB2312" w:cs="仿宋_GB2312"/>
          <w:i w:val="0"/>
          <w:iCs w:val="0"/>
          <w:caps w:val="0"/>
          <w:color w:val="060607"/>
          <w:spacing w:val="8"/>
          <w:kern w:val="0"/>
          <w:sz w:val="32"/>
          <w:szCs w:val="32"/>
          <w:shd w:val="clear" w:fill="FFFFFF"/>
          <w:lang w:eastAsia="zh-CN" w:bidi="ar"/>
        </w:rPr>
        <w:footnoteReference w:id="8"/>
      </w:r>
    </w:p>
    <w:p>
      <w:pPr>
        <w:numPr>
          <w:ilvl w:val="0"/>
          <w:numId w:val="0"/>
        </w:numPr>
        <w:spacing w:line="560" w:lineRule="exact"/>
        <w:jc w:val="both"/>
        <w:rPr>
          <w:rFonts w:hint="default"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湖南省人民政府印发《湖南省推动大规模设备更新和消费品以旧换新实施方案》。《方案》指出，全链条促进汽车以旧换新。根据国家统一部署开展汽车以旧换新专项活动，按国家统一标准给予定额补贴。省市联动开展“惠购湘车”活动，办好各类汽车展销会，引导鼓励汽车生产企业、销售企业开展促销活动。加大政策支持力度，扩大节能与新能源汽车消费，加快居住区、停车场、加油站、高速公路服务区、客货运枢纽等充电基础设施建设。引导充电桩基础设施运营企业适当下调充电服务费。支持汽车改装、汽车租赁、汽车赛事、房车露营等行业规范发展，促进汽车从交通工具向生活空间转变。</w:t>
      </w:r>
    </w:p>
    <w:p>
      <w:pPr>
        <w:numPr>
          <w:ilvl w:val="0"/>
          <w:numId w:val="2"/>
        </w:numPr>
        <w:tabs>
          <w:tab w:val="clear" w:pos="312"/>
        </w:tabs>
        <w:spacing w:line="560" w:lineRule="exact"/>
        <w:ind w:left="0" w:leftChars="0" w:firstLine="0" w:firstLineChars="0"/>
        <w:jc w:val="both"/>
        <w:rPr>
          <w:rFonts w:hint="eastAsia" w:ascii="黑体" w:hAnsi="黑体" w:eastAsia="黑体" w:cs="黑体"/>
          <w:i w:val="0"/>
          <w:iCs w:val="0"/>
          <w:caps w:val="0"/>
          <w:color w:val="060607"/>
          <w:spacing w:val="8"/>
          <w:kern w:val="0"/>
          <w:sz w:val="32"/>
          <w:szCs w:val="32"/>
          <w:shd w:val="clear" w:fill="FFFFFF"/>
          <w:lang w:eastAsia="zh-CN" w:bidi="ar"/>
        </w:rPr>
      </w:pPr>
      <w:r>
        <w:rPr>
          <w:rFonts w:hint="eastAsia" w:ascii="黑体" w:hAnsi="黑体" w:eastAsia="黑体" w:cs="黑体"/>
          <w:i w:val="0"/>
          <w:iCs w:val="0"/>
          <w:caps w:val="0"/>
          <w:color w:val="060607"/>
          <w:spacing w:val="8"/>
          <w:kern w:val="0"/>
          <w:sz w:val="32"/>
          <w:szCs w:val="32"/>
          <w:shd w:val="clear" w:fill="FFFFFF"/>
          <w:lang w:eastAsia="zh-CN" w:bidi="ar"/>
        </w:rPr>
        <w:t>苏州推出汽车、家电“以旧换新”新政 总补贴1.2亿元</w:t>
      </w:r>
      <w:r>
        <w:rPr>
          <w:rStyle w:val="20"/>
          <w:rFonts w:hint="eastAsia" w:ascii="仿宋_GB2312" w:hAnsi="仿宋_GB2312" w:eastAsia="仿宋_GB2312" w:cs="仿宋_GB2312"/>
          <w:i w:val="0"/>
          <w:iCs w:val="0"/>
          <w:caps w:val="0"/>
          <w:color w:val="060607"/>
          <w:spacing w:val="8"/>
          <w:kern w:val="0"/>
          <w:sz w:val="32"/>
          <w:szCs w:val="32"/>
          <w:shd w:val="clear" w:fill="FFFFFF"/>
          <w:lang w:eastAsia="zh-CN" w:bidi="ar"/>
        </w:rPr>
        <w:footnoteReference w:id="9"/>
      </w:r>
    </w:p>
    <w:p>
      <w:pPr>
        <w:numPr>
          <w:ilvl w:val="0"/>
          <w:numId w:val="0"/>
        </w:numPr>
        <w:spacing w:line="560" w:lineRule="exact"/>
        <w:ind w:leftChars="0"/>
        <w:jc w:val="both"/>
        <w:rPr>
          <w:rFonts w:hint="default"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苏州市积极响应“以旧换新+消费券”联动，推出汽车、家电“以旧换新”政策，总补贴达1.2亿元。其中，4月20日启动的“家电以旧换新”消费季活动，补贴总额2000万元。同时，苏州市2024年汽车“以旧换新”及购车补贴政策也将于4月20日正式实施，本次购车补贴消费红包总额达1亿元，“以旧换新”和直接新购各5000万元。</w:t>
      </w:r>
    </w:p>
    <w:p>
      <w:pPr>
        <w:numPr>
          <w:ilvl w:val="0"/>
          <w:numId w:val="2"/>
        </w:numPr>
        <w:spacing w:line="560" w:lineRule="exact"/>
        <w:ind w:left="0" w:leftChars="0" w:firstLine="0" w:firstLineChars="0"/>
        <w:jc w:val="both"/>
        <w:rPr>
          <w:rFonts w:hint="eastAsia" w:ascii="黑体" w:hAnsi="黑体" w:eastAsia="黑体" w:cs="黑体"/>
          <w:i w:val="0"/>
          <w:iCs w:val="0"/>
          <w:caps w:val="0"/>
          <w:color w:val="060607"/>
          <w:spacing w:val="8"/>
          <w:kern w:val="0"/>
          <w:sz w:val="32"/>
          <w:szCs w:val="32"/>
          <w:shd w:val="clear" w:fill="FFFFFF"/>
          <w:lang w:eastAsia="zh-CN" w:bidi="ar"/>
        </w:rPr>
      </w:pPr>
      <w:r>
        <w:rPr>
          <w:rFonts w:hint="eastAsia" w:ascii="黑体" w:hAnsi="黑体" w:eastAsia="黑体" w:cs="黑体"/>
          <w:i w:val="0"/>
          <w:iCs w:val="0"/>
          <w:caps w:val="0"/>
          <w:color w:val="060607"/>
          <w:spacing w:val="8"/>
          <w:kern w:val="0"/>
          <w:sz w:val="32"/>
          <w:szCs w:val="32"/>
          <w:shd w:val="clear" w:fill="FFFFFF"/>
          <w:lang w:eastAsia="zh-CN" w:bidi="ar"/>
        </w:rPr>
        <w:t>《天津市推动大规模设备更新和消费品以旧换新实施方案》</w:t>
      </w:r>
      <w:r>
        <w:rPr>
          <w:rStyle w:val="20"/>
          <w:rFonts w:hint="eastAsia" w:ascii="仿宋_GB2312" w:hAnsi="仿宋_GB2312" w:eastAsia="仿宋_GB2312" w:cs="仿宋_GB2312"/>
          <w:i w:val="0"/>
          <w:iCs w:val="0"/>
          <w:caps w:val="0"/>
          <w:color w:val="060607"/>
          <w:spacing w:val="8"/>
          <w:kern w:val="0"/>
          <w:sz w:val="32"/>
          <w:szCs w:val="32"/>
          <w:shd w:val="clear" w:fill="FFFFFF"/>
          <w:lang w:eastAsia="zh-CN" w:bidi="ar"/>
        </w:rPr>
        <w:footnoteReference w:id="10"/>
      </w:r>
    </w:p>
    <w:p>
      <w:pPr>
        <w:numPr>
          <w:ilvl w:val="0"/>
          <w:numId w:val="0"/>
        </w:numPr>
        <w:spacing w:line="560" w:lineRule="exact"/>
        <w:ind w:leftChars="0"/>
        <w:jc w:val="both"/>
        <w:rPr>
          <w:rFonts w:hint="default"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天津市人民政府发布《天津市推动大规模设备更新和消费品以旧换新实施方案》，汽车与新能源汽车相关方面，《方案》明确：1）加快建筑领域设备更新：结合新型城镇化建设、城市更新、老旧小区改造等，加快小区及周边无障碍设施、汽车充电设施、安防、防灾避险等配套设施更新升级。2）开展汽车以旧换新：用好中央财政支持汽车以旧换新资金，组织汽车生产、销售企业开展以旧换新促销活动，促进汽车更新消费。争创汽车流通消费改革试点城市，优化汽车指标供给，促进汽车增量消费。3）根据天津市汽车与新能源汽车等重点终端消费产品和智能装备的标准需求，推进能耗排放、质量安全、循环利用等方面标准制修订工作。 </w:t>
      </w:r>
    </w:p>
    <w:p>
      <w:pPr>
        <w:numPr>
          <w:ilvl w:val="0"/>
          <w:numId w:val="3"/>
        </w:numPr>
        <w:spacing w:line="560" w:lineRule="exact"/>
        <w:jc w:val="both"/>
        <w:rPr>
          <w:rFonts w:hint="eastAsia" w:ascii="黑体" w:hAnsi="黑体" w:eastAsia="黑体" w:cs="黑体"/>
          <w:b w:val="0"/>
          <w:bCs w:val="0"/>
          <w:i w:val="0"/>
          <w:iCs w:val="0"/>
          <w:caps w:val="0"/>
          <w:color w:val="060607"/>
          <w:spacing w:val="8"/>
          <w:kern w:val="0"/>
          <w:sz w:val="32"/>
          <w:szCs w:val="32"/>
          <w:shd w:val="clear" w:fill="FFFFFF"/>
          <w:lang w:eastAsia="zh-CN" w:bidi="ar"/>
        </w:rPr>
      </w:pPr>
      <w:r>
        <w:rPr>
          <w:rFonts w:hint="eastAsia" w:ascii="黑体" w:hAnsi="黑体" w:eastAsia="黑体" w:cs="黑体"/>
          <w:b w:val="0"/>
          <w:bCs w:val="0"/>
          <w:i w:val="0"/>
          <w:iCs w:val="0"/>
          <w:caps w:val="0"/>
          <w:color w:val="060607"/>
          <w:spacing w:val="8"/>
          <w:kern w:val="0"/>
          <w:sz w:val="32"/>
          <w:szCs w:val="32"/>
          <w:shd w:val="clear" w:fill="FFFFFF"/>
          <w:lang w:eastAsia="zh-CN" w:bidi="ar"/>
        </w:rPr>
        <w:t>国外政策环境分析</w:t>
      </w:r>
    </w:p>
    <w:p>
      <w:pPr>
        <w:pStyle w:val="14"/>
        <w:keepNext w:val="0"/>
        <w:keepLines w:val="0"/>
        <w:widowControl/>
        <w:suppressLineNumbers w:val="0"/>
        <w:spacing w:before="0" w:beforeAutospacing="0" w:after="0" w:afterAutospacing="0" w:line="560" w:lineRule="exact"/>
        <w:ind w:left="0" w:leftChars="0" w:firstLine="0" w:firstLineChars="0"/>
        <w:jc w:val="both"/>
        <w:rPr>
          <w:rFonts w:hint="eastAsia" w:ascii="仿宋_GB2312" w:hAnsi="仿宋_GB2312" w:eastAsia="仿宋_GB2312" w:cs="仿宋_GB2312"/>
          <w:i w:val="0"/>
          <w:iCs w:val="0"/>
          <w:caps w:val="0"/>
          <w:color w:val="060607"/>
          <w:spacing w:val="8"/>
          <w:kern w:val="0"/>
          <w:sz w:val="32"/>
          <w:szCs w:val="32"/>
          <w:shd w:val="clear" w:fill="FFFFFF"/>
          <w:lang w:val="en-US"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黑体" w:hAnsi="黑体" w:eastAsia="黑体" w:cs="黑体"/>
          <w:i w:val="0"/>
          <w:iCs w:val="0"/>
          <w:caps w:val="0"/>
          <w:color w:val="060607"/>
          <w:spacing w:val="8"/>
          <w:kern w:val="0"/>
          <w:sz w:val="32"/>
          <w:szCs w:val="32"/>
          <w:shd w:val="clear" w:fill="FFFFFF"/>
          <w:lang w:val="en-US" w:eastAsia="zh-CN" w:bidi="ar"/>
        </w:rPr>
        <w:t>泰国</w:t>
      </w:r>
      <w:r>
        <w:rPr>
          <w:rStyle w:val="20"/>
          <w:rFonts w:hint="eastAsia" w:ascii="黑体" w:hAnsi="黑体" w:eastAsia="黑体" w:cs="黑体"/>
          <w:i w:val="0"/>
          <w:iCs w:val="0"/>
          <w:caps w:val="0"/>
          <w:color w:val="060607"/>
          <w:spacing w:val="8"/>
          <w:kern w:val="0"/>
          <w:sz w:val="32"/>
          <w:szCs w:val="32"/>
          <w:shd w:val="clear" w:fill="FFFFFF"/>
          <w:lang w:val="en-US" w:eastAsia="zh-CN" w:bidi="ar"/>
        </w:rPr>
        <w:footnoteReference w:id="11"/>
      </w:r>
      <w:r>
        <w:rPr>
          <w:rFonts w:hint="eastAsia" w:ascii="黑体" w:hAnsi="黑体" w:eastAsia="黑体" w:cs="黑体"/>
          <w:i w:val="0"/>
          <w:iCs w:val="0"/>
          <w:caps w:val="0"/>
          <w:color w:val="060607"/>
          <w:spacing w:val="8"/>
          <w:kern w:val="0"/>
          <w:sz w:val="32"/>
          <w:szCs w:val="32"/>
          <w:shd w:val="clear" w:fill="FFFFFF"/>
          <w:lang w:val="en-US"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val="en-US" w:eastAsia="zh-CN" w:bidi="ar"/>
        </w:rPr>
        <w:t>泰国政府为进口到该国的新能源车提供最高可享受进口税六折的优惠，同时，电池等新能源车关键部件进口可享受免收进口税的政策优惠。</w:t>
      </w:r>
      <w:r>
        <w:rPr>
          <w:rFonts w:hint="eastAsia" w:ascii="黑体" w:hAnsi="黑体" w:eastAsia="黑体" w:cs="黑体"/>
          <w:i w:val="0"/>
          <w:iCs w:val="0"/>
          <w:caps w:val="0"/>
          <w:color w:val="060607"/>
          <w:spacing w:val="8"/>
          <w:kern w:val="0"/>
          <w:sz w:val="32"/>
          <w:szCs w:val="32"/>
          <w:shd w:val="clear" w:fill="FFFFFF"/>
          <w:lang w:val="en-US" w:eastAsia="zh-CN" w:bidi="ar"/>
        </w:rPr>
        <w:t>印度尼西亚</w:t>
      </w:r>
      <w:r>
        <w:rPr>
          <w:rStyle w:val="20"/>
          <w:rFonts w:hint="eastAsia" w:ascii="黑体" w:hAnsi="黑体" w:eastAsia="黑体" w:cs="黑体"/>
          <w:i w:val="0"/>
          <w:iCs w:val="0"/>
          <w:caps w:val="0"/>
          <w:color w:val="060607"/>
          <w:spacing w:val="8"/>
          <w:kern w:val="0"/>
          <w:sz w:val="32"/>
          <w:szCs w:val="32"/>
          <w:shd w:val="clear" w:fill="FFFFFF"/>
          <w:lang w:val="en-US" w:eastAsia="zh-CN" w:bidi="ar"/>
        </w:rPr>
        <w:footnoteReference w:id="12"/>
      </w:r>
      <w:r>
        <w:rPr>
          <w:rFonts w:hint="eastAsia" w:ascii="黑体" w:hAnsi="黑体" w:eastAsia="黑体" w:cs="黑体"/>
          <w:i w:val="0"/>
          <w:iCs w:val="0"/>
          <w:caps w:val="0"/>
          <w:color w:val="060607"/>
          <w:spacing w:val="8"/>
          <w:kern w:val="0"/>
          <w:sz w:val="32"/>
          <w:szCs w:val="32"/>
          <w:shd w:val="clear" w:fill="FFFFFF"/>
          <w:lang w:val="en-US"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val="en-US" w:eastAsia="zh-CN" w:bidi="ar"/>
        </w:rPr>
        <w:t>印尼工业部长Agus Gumiwang表示，政府计划为每辆电动汽车提供最高8000万印尼卢比（约5130美元）的补贴。</w:t>
      </w:r>
    </w:p>
    <w:p>
      <w:pPr>
        <w:pStyle w:val="14"/>
        <w:keepNext w:val="0"/>
        <w:keepLines w:val="0"/>
        <w:widowControl/>
        <w:suppressLineNumbers w:val="0"/>
        <w:spacing w:before="0" w:beforeAutospacing="0" w:after="0" w:afterAutospacing="0" w:line="560" w:lineRule="exact"/>
        <w:ind w:left="0" w:leftChars="0" w:firstLine="0" w:firstLineChars="0"/>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黑体" w:hAnsi="黑体" w:eastAsia="黑体" w:cs="黑体"/>
          <w:i w:val="0"/>
          <w:iCs w:val="0"/>
          <w:caps w:val="0"/>
          <w:color w:val="060607"/>
          <w:spacing w:val="8"/>
          <w:kern w:val="0"/>
          <w:sz w:val="32"/>
          <w:szCs w:val="32"/>
          <w:shd w:val="clear" w:fill="FFFFFF"/>
          <w:lang w:val="en-US" w:eastAsia="zh-CN" w:bidi="ar"/>
        </w:rPr>
        <w:t>美国</w:t>
      </w:r>
      <w:r>
        <w:rPr>
          <w:rStyle w:val="20"/>
          <w:rFonts w:hint="eastAsia" w:ascii="黑体" w:hAnsi="黑体" w:eastAsia="黑体" w:cs="黑体"/>
          <w:i w:val="0"/>
          <w:iCs w:val="0"/>
          <w:caps w:val="0"/>
          <w:color w:val="060607"/>
          <w:spacing w:val="8"/>
          <w:kern w:val="0"/>
          <w:sz w:val="32"/>
          <w:szCs w:val="32"/>
          <w:shd w:val="clear" w:fill="FFFFFF"/>
          <w:lang w:val="en-US" w:eastAsia="zh-CN" w:bidi="ar"/>
        </w:rPr>
        <w:footnoteReference w:id="13"/>
      </w:r>
      <w:r>
        <w:rPr>
          <w:rFonts w:hint="eastAsia" w:ascii="仿宋_GB2312" w:hAnsi="仿宋_GB2312" w:eastAsia="仿宋_GB2312" w:cs="仿宋_GB2312"/>
          <w:i w:val="0"/>
          <w:iCs w:val="0"/>
          <w:caps w:val="0"/>
          <w:color w:val="060607"/>
          <w:spacing w:val="8"/>
          <w:kern w:val="0"/>
          <w:sz w:val="32"/>
          <w:szCs w:val="32"/>
          <w:shd w:val="clear" w:fill="FFFFFF"/>
          <w:lang w:val="en-US" w:eastAsia="zh-CN" w:bidi="ar"/>
        </w:rPr>
        <w:t>：美国联邦层面主要调整政策是扩大对车企的税收减免，并发布了更严格的排放标准SAFE取代施行多年的CAFE。加州作为美国支持新能源汽车发展政策力度最大的州，政策覆盖范围广泛，主要包括ZEV积分政策等。2024年美国新能源汽车政策的分析显示，美国政府在推动电动汽车发展的同时，也在通过贸易限制政策来减少对外国制造的电池组件和关键矿物的依赖。这一系列措施旨在促进国内市场，同时限制来自特定国家的竞争，以保护和促进美国的新能源汽车产业。</w:t>
      </w:r>
    </w:p>
    <w:p>
      <w:pPr>
        <w:pStyle w:val="14"/>
        <w:keepNext w:val="0"/>
        <w:keepLines w:val="0"/>
        <w:widowControl/>
        <w:suppressLineNumbers w:val="0"/>
        <w:spacing w:before="0" w:beforeAutospacing="0" w:after="0" w:afterAutospacing="0" w:line="560" w:lineRule="exact"/>
        <w:ind w:left="0" w:leftChars="0" w:firstLine="0" w:firstLineChars="0"/>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黑体" w:hAnsi="黑体" w:eastAsia="黑体" w:cs="黑体"/>
          <w:i w:val="0"/>
          <w:iCs w:val="0"/>
          <w:caps w:val="0"/>
          <w:color w:val="060607"/>
          <w:spacing w:val="8"/>
          <w:kern w:val="0"/>
          <w:sz w:val="32"/>
          <w:szCs w:val="32"/>
          <w:shd w:val="clear" w:fill="FFFFFF"/>
          <w:lang w:val="en-US" w:eastAsia="zh-CN" w:bidi="ar"/>
        </w:rPr>
        <w:t>欧</w:t>
      </w:r>
      <w:r>
        <w:rPr>
          <w:rFonts w:hint="eastAsia" w:ascii="黑体" w:hAnsi="黑体" w:eastAsia="黑体" w:cs="黑体"/>
          <w:i w:val="0"/>
          <w:iCs w:val="0"/>
          <w:caps w:val="0"/>
          <w:color w:val="060607"/>
          <w:spacing w:val="8"/>
          <w:kern w:val="0"/>
          <w:sz w:val="32"/>
          <w:szCs w:val="32"/>
          <w:shd w:val="clear" w:fill="FFFFFF"/>
          <w:lang w:eastAsia="zh-CN" w:bidi="ar"/>
        </w:rPr>
        <w:t>盟</w:t>
      </w:r>
      <w:r>
        <w:rPr>
          <w:rStyle w:val="20"/>
          <w:rFonts w:hint="eastAsia" w:ascii="黑体" w:hAnsi="黑体" w:eastAsia="黑体" w:cs="黑体"/>
          <w:i w:val="0"/>
          <w:iCs w:val="0"/>
          <w:caps w:val="0"/>
          <w:color w:val="060607"/>
          <w:spacing w:val="8"/>
          <w:kern w:val="0"/>
          <w:sz w:val="32"/>
          <w:szCs w:val="32"/>
          <w:shd w:val="clear" w:fill="FFFFFF"/>
          <w:lang w:eastAsia="zh-CN" w:bidi="ar"/>
        </w:rPr>
        <w:footnoteReference w:id="14"/>
      </w:r>
      <w:r>
        <w:rPr>
          <w:rFonts w:hint="eastAsia" w:ascii="黑体" w:hAnsi="黑体" w:eastAsia="黑体" w:cs="黑体"/>
          <w:i w:val="0"/>
          <w:iCs w:val="0"/>
          <w:caps w:val="0"/>
          <w:color w:val="060607"/>
          <w:spacing w:val="8"/>
          <w:kern w:val="0"/>
          <w:sz w:val="32"/>
          <w:szCs w:val="32"/>
          <w:shd w:val="clear" w:fill="FFFFFF"/>
          <w:lang w:val="en-US"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val="en-US" w:eastAsia="zh-CN" w:bidi="ar"/>
        </w:rPr>
        <w:t>从2023年1月1日起，只有新的和二手的纯电动汽车和燃料电池汽车才能获得购买补贴，由政府（三分之二）和企业（三分之一）共同提供资金进行补贴。具体补贴金额根据车辆售价不同而有所差异。德国已经完全取消了对to B端补贴，并计划提前结束对to C端的补贴，这意味着从2023年8月底开始，对售价低于4.5万欧元的纯电车型将不再提供补贴。此外，德国宣布原计划实施到2024年底的电动汽车补贴计划于12月31日提前结束，但之前获批的补贴仍将继续发放</w:t>
      </w:r>
      <w:r>
        <w:rPr>
          <w:rFonts w:hint="eastAsia" w:ascii="仿宋_GB2312" w:hAnsi="仿宋_GB2312" w:eastAsia="仿宋_GB2312" w:cs="仿宋_GB2312"/>
          <w:i w:val="0"/>
          <w:iCs w:val="0"/>
          <w:caps w:val="0"/>
          <w:color w:val="060607"/>
          <w:spacing w:val="8"/>
          <w:kern w:val="0"/>
          <w:sz w:val="32"/>
          <w:szCs w:val="32"/>
          <w:shd w:val="clear" w:fill="FFFFFF"/>
          <w:lang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val="en-US" w:eastAsia="zh-CN" w:bidi="ar"/>
        </w:rPr>
        <w:t>同时，欧盟《新电池法规》自2023年8月17日正式生效，要求动力电池以及工业电池必须申报产品碳足迹等信息。</w:t>
      </w:r>
    </w:p>
    <w:p>
      <w:pPr>
        <w:spacing w:line="560" w:lineRule="exact"/>
        <w:jc w:val="both"/>
        <w:rPr>
          <w:rFonts w:hint="eastAsia" w:ascii="黑体" w:hAnsi="黑体" w:eastAsia="黑体" w:cs="黑体"/>
          <w:b w:val="0"/>
          <w:bCs w:val="0"/>
          <w:i w:val="0"/>
          <w:iCs w:val="0"/>
          <w:caps w:val="0"/>
          <w:color w:val="060607"/>
          <w:spacing w:val="8"/>
          <w:kern w:val="0"/>
          <w:sz w:val="32"/>
          <w:szCs w:val="32"/>
          <w:shd w:val="clear" w:fill="FFFFFF"/>
          <w:lang w:eastAsia="zh-CN" w:bidi="ar"/>
        </w:rPr>
      </w:pPr>
      <w:r>
        <w:rPr>
          <w:rFonts w:hint="eastAsia" w:ascii="黑体" w:hAnsi="黑体" w:eastAsia="黑体" w:cs="黑体"/>
          <w:b w:val="0"/>
          <w:bCs w:val="0"/>
          <w:i w:val="0"/>
          <w:iCs w:val="0"/>
          <w:caps w:val="0"/>
          <w:color w:val="060607"/>
          <w:spacing w:val="8"/>
          <w:kern w:val="0"/>
          <w:sz w:val="32"/>
          <w:szCs w:val="32"/>
          <w:shd w:val="clear" w:fill="FFFFFF"/>
          <w:lang w:eastAsia="zh-CN" w:bidi="ar"/>
        </w:rPr>
        <w:t>三、政策环境深度分析</w:t>
      </w:r>
    </w:p>
    <w:p>
      <w:pPr>
        <w:spacing w:line="560" w:lineRule="exact"/>
        <w:jc w:val="both"/>
        <w:rPr>
          <w:rFonts w:hint="eastAsia" w:ascii="黑体" w:hAnsi="黑体" w:eastAsia="黑体" w:cs="黑体"/>
          <w:b w:val="0"/>
          <w:bCs w:val="0"/>
          <w:i w:val="0"/>
          <w:iCs w:val="0"/>
          <w:caps w:val="0"/>
          <w:color w:val="060607"/>
          <w:spacing w:val="8"/>
          <w:kern w:val="0"/>
          <w:sz w:val="32"/>
          <w:szCs w:val="32"/>
          <w:shd w:val="clear" w:fill="FFFFFF"/>
          <w:lang w:eastAsia="zh-CN" w:bidi="ar"/>
        </w:rPr>
      </w:pPr>
      <w:r>
        <w:rPr>
          <w:rFonts w:hint="eastAsia" w:ascii="黑体" w:hAnsi="黑体" w:eastAsia="黑体" w:cs="黑体"/>
          <w:b w:val="0"/>
          <w:bCs w:val="0"/>
          <w:i w:val="0"/>
          <w:iCs w:val="0"/>
          <w:caps w:val="0"/>
          <w:color w:val="060607"/>
          <w:spacing w:val="8"/>
          <w:kern w:val="0"/>
          <w:sz w:val="32"/>
          <w:szCs w:val="32"/>
          <w:shd w:val="clear" w:fill="FFFFFF"/>
          <w:lang w:eastAsia="zh-CN" w:bidi="ar"/>
        </w:rPr>
        <w:t>（一）</w:t>
      </w:r>
      <w:r>
        <w:rPr>
          <w:rFonts w:hint="default" w:ascii="黑体" w:hAnsi="黑体" w:eastAsia="黑体" w:cs="黑体"/>
          <w:b w:val="0"/>
          <w:bCs w:val="0"/>
          <w:i w:val="0"/>
          <w:iCs w:val="0"/>
          <w:caps w:val="0"/>
          <w:color w:val="060607"/>
          <w:spacing w:val="8"/>
          <w:kern w:val="0"/>
          <w:sz w:val="32"/>
          <w:szCs w:val="32"/>
          <w:shd w:val="clear" w:fill="FFFFFF"/>
          <w:lang w:eastAsia="zh-CN" w:bidi="ar"/>
        </w:rPr>
        <w:t>中央、地方、国外政策异同分析</w:t>
      </w:r>
    </w:p>
    <w:p>
      <w:pPr>
        <w:spacing w:line="560" w:lineRule="exact"/>
        <w:jc w:val="both"/>
        <w:rPr>
          <w:rFonts w:hint="eastAsia" w:ascii="黑体" w:hAnsi="黑体" w:eastAsia="黑体" w:cs="黑体"/>
          <w:b w:val="0"/>
          <w:bCs w:val="0"/>
          <w:i w:val="0"/>
          <w:iCs w:val="0"/>
          <w:caps w:val="0"/>
          <w:color w:val="060607"/>
          <w:spacing w:val="8"/>
          <w:kern w:val="0"/>
          <w:sz w:val="32"/>
          <w:szCs w:val="32"/>
          <w:shd w:val="clear" w:fill="FFFFFF"/>
          <w:lang w:eastAsia="zh-CN" w:bidi="ar"/>
        </w:rPr>
      </w:pPr>
      <w:r>
        <w:rPr>
          <w:rFonts w:hint="eastAsia"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无论是中央、地方政策还是国外政策，都显示出对新能源汽车产业发展的支持，通过税收优惠、补贴、基础设施建设等手段促进产业成长</w:t>
      </w:r>
      <w:r>
        <w:rPr>
          <w:rFonts w:hint="eastAsia" w:ascii="仿宋_GB2312" w:hAnsi="仿宋_GB2312" w:eastAsia="仿宋_GB2312" w:cs="仿宋_GB2312"/>
          <w:i w:val="0"/>
          <w:iCs w:val="0"/>
          <w:caps w:val="0"/>
          <w:color w:val="060607"/>
          <w:spacing w:val="8"/>
          <w:kern w:val="0"/>
          <w:sz w:val="32"/>
          <w:szCs w:val="32"/>
          <w:shd w:val="clear" w:fill="FFFFFF"/>
          <w:lang w:eastAsia="zh-CN" w:bidi="ar"/>
        </w:rPr>
        <w:t>。</w:t>
      </w:r>
      <w:r>
        <w:rPr>
          <w:rFonts w:hint="default" w:ascii="仿宋_GB2312" w:hAnsi="仿宋_GB2312" w:eastAsia="仿宋_GB2312" w:cs="仿宋_GB2312"/>
          <w:i w:val="0"/>
          <w:iCs w:val="0"/>
          <w:caps w:val="0"/>
          <w:color w:val="060607"/>
          <w:spacing w:val="8"/>
          <w:kern w:val="0"/>
          <w:sz w:val="32"/>
          <w:szCs w:val="32"/>
          <w:shd w:val="clear" w:fill="FFFFFF"/>
          <w:lang w:eastAsia="zh-CN" w:bidi="ar"/>
        </w:rPr>
        <w:t>同时政策也强调了对新能源汽车技术创新的支持，如换电模式和电动化先行区试点等。</w:t>
      </w:r>
    </w:p>
    <w:p>
      <w:pPr>
        <w:spacing w:line="560" w:lineRule="exact"/>
        <w:jc w:val="both"/>
        <w:rPr>
          <w:rFonts w:hint="default" w:ascii="黑体" w:hAnsi="黑体" w:eastAsia="黑体" w:cs="黑体"/>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黑体" w:hAnsi="黑体" w:eastAsia="黑体" w:cs="黑体"/>
          <w:i w:val="0"/>
          <w:iCs w:val="0"/>
          <w:caps w:val="0"/>
          <w:color w:val="060607"/>
          <w:spacing w:val="8"/>
          <w:kern w:val="0"/>
          <w:sz w:val="32"/>
          <w:szCs w:val="32"/>
          <w:shd w:val="clear" w:fill="FFFFFF"/>
          <w:lang w:eastAsia="zh-CN" w:bidi="ar"/>
        </w:rPr>
        <w:t>地方政策对比</w:t>
      </w:r>
      <w:r>
        <w:rPr>
          <w:rFonts w:hint="default" w:ascii="黑体" w:hAnsi="黑体" w:eastAsia="黑体" w:cs="黑体"/>
          <w:i w:val="0"/>
          <w:iCs w:val="0"/>
          <w:caps w:val="0"/>
          <w:color w:val="060607"/>
          <w:spacing w:val="8"/>
          <w:kern w:val="0"/>
          <w:sz w:val="32"/>
          <w:szCs w:val="32"/>
          <w:shd w:val="clear" w:fill="FFFFFF"/>
          <w:lang w:eastAsia="zh-CN" w:bidi="ar"/>
        </w:rPr>
        <w:t>如下表所示：</w:t>
      </w:r>
    </w:p>
    <w:p>
      <w:pPr>
        <w:spacing w:line="560" w:lineRule="exact"/>
        <w:jc w:val="both"/>
        <w:rPr>
          <w:rFonts w:hint="default" w:ascii="黑体" w:hAnsi="黑体" w:eastAsia="黑体" w:cs="黑体"/>
          <w:i w:val="0"/>
          <w:iCs w:val="0"/>
          <w:caps w:val="0"/>
          <w:color w:val="060607"/>
          <w:spacing w:val="8"/>
          <w:kern w:val="0"/>
          <w:sz w:val="32"/>
          <w:szCs w:val="32"/>
          <w:shd w:val="clear" w:fill="FFFFFF"/>
          <w:lang w:eastAsia="zh-CN" w:bidi="ar"/>
        </w:rPr>
      </w:pPr>
    </w:p>
    <w:tbl>
      <w:tblPr>
        <w:tblW w:w="4998" w:type="pct"/>
        <w:tblInd w:w="0" w:type="dxa"/>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937"/>
        <w:gridCol w:w="2626"/>
        <w:gridCol w:w="1885"/>
        <w:gridCol w:w="1687"/>
        <w:gridCol w:w="1539"/>
      </w:tblGrid>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eastAsia"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省市</w:t>
            </w:r>
          </w:p>
        </w:tc>
        <w:tc>
          <w:tcPr>
            <w:tcW w:w="1513"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eastAsia"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补贴政策</w:t>
            </w:r>
          </w:p>
        </w:tc>
        <w:tc>
          <w:tcPr>
            <w:tcW w:w="1086"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eastAsia"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充电基础设施建设</w:t>
            </w:r>
          </w:p>
        </w:tc>
        <w:tc>
          <w:tcPr>
            <w:tcW w:w="972"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eastAsia"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汽车更新与促销活动</w:t>
            </w:r>
          </w:p>
        </w:tc>
        <w:tc>
          <w:tcPr>
            <w:tcW w:w="887"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eastAsia"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行业规范与发</w:t>
            </w:r>
            <w:bookmarkStart w:id="0" w:name="_GoBack"/>
            <w:bookmarkEnd w:id="0"/>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展</w:t>
            </w:r>
          </w:p>
        </w:tc>
      </w:tr>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北京市</w:t>
            </w:r>
          </w:p>
        </w:tc>
        <w:tc>
          <w:tcPr>
            <w:tcW w:w="1513"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报废旧车购买新能源车补贴1万元；国三及以下排放标准燃油车购买2.0升及以下排量车补贴7000元</w:t>
            </w:r>
          </w:p>
        </w:tc>
        <w:tc>
          <w:tcPr>
            <w:tcW w:w="1086"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972"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887"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woUserID w:val="1"/>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r>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湖南省</w:t>
            </w:r>
          </w:p>
        </w:tc>
        <w:tc>
          <w:tcPr>
            <w:tcW w:w="1513"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报废旧车购买新能源车补贴1万元；国三及以下排放标准燃油车购买2.0升及以下排量车补贴7000元</w:t>
            </w:r>
          </w:p>
        </w:tc>
        <w:tc>
          <w:tcPr>
            <w:tcW w:w="1086"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加快居住区、停车场充电设施建设；引导充电桩运营企业下调服务费</w:t>
            </w:r>
          </w:p>
        </w:tc>
        <w:tc>
          <w:tcPr>
            <w:tcW w:w="972"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开展汽车以旧换新专项活动；省市联动促销</w:t>
            </w:r>
          </w:p>
        </w:tc>
        <w:tc>
          <w:tcPr>
            <w:tcW w:w="887"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支持汽车改装、租赁、赛事等行业发展</w:t>
            </w:r>
          </w:p>
        </w:tc>
      </w:tr>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上海市</w:t>
            </w:r>
          </w:p>
        </w:tc>
        <w:tc>
          <w:tcPr>
            <w:tcW w:w="1513"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购买纯电动小客车新车一次性补贴10000元</w:t>
            </w:r>
          </w:p>
        </w:tc>
        <w:tc>
          <w:tcPr>
            <w:tcW w:w="1086"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972"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887"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r>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苏州市</w:t>
            </w:r>
          </w:p>
        </w:tc>
        <w:tc>
          <w:tcPr>
            <w:tcW w:w="1513"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总额达1亿元，包括以旧换新和直接新购各5000万元</w:t>
            </w:r>
          </w:p>
        </w:tc>
        <w:tc>
          <w:tcPr>
            <w:tcW w:w="1086"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972"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887"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r>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广西壮族自治区</w:t>
            </w:r>
          </w:p>
        </w:tc>
        <w:tc>
          <w:tcPr>
            <w:tcW w:w="1513"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1086"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鼓励客运站开展充换电业务；支持建设充换电基础设施；提供夜间充电服务</w:t>
            </w:r>
          </w:p>
        </w:tc>
        <w:tc>
          <w:tcPr>
            <w:tcW w:w="972"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887"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r>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重庆市</w:t>
            </w:r>
          </w:p>
        </w:tc>
        <w:tc>
          <w:tcPr>
            <w:tcW w:w="1513"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1086"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计划到2025年底建成超充站2040座，超充桩4000个，形成“1公里超充圈”</w:t>
            </w:r>
          </w:p>
        </w:tc>
        <w:tc>
          <w:tcPr>
            <w:tcW w:w="972"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887"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r>
      <w:tr>
        <w:tblPrEx>
          <w:tblBorders>
            <w:top w:val="none" w:color="auto" w:sz="6" w:space="0"/>
            <w:left w:val="none" w:color="auto" w:sz="6" w:space="0"/>
            <w:bottom w:val="single" w:color="DDDDDD" w:sz="4" w:space="0"/>
            <w:right w:val="none" w:color="auto" w:sz="6" w:space="0"/>
            <w:insideH w:val="outset" w:color="auto" w:sz="6" w:space="0"/>
            <w:insideV w:val="outset" w:color="auto" w:sz="6" w:space="0"/>
          </w:tblBorders>
          <w:shd w:val="clear"/>
          <w:tblCellMar>
            <w:top w:w="15" w:type="dxa"/>
            <w:left w:w="15" w:type="dxa"/>
            <w:bottom w:w="15" w:type="dxa"/>
            <w:right w:w="15" w:type="dxa"/>
          </w:tblCellMar>
        </w:tblPrEx>
        <w:tc>
          <w:tcPr>
            <w:tcW w:w="540" w:type="pct"/>
            <w:tcBorders>
              <w:top w:val="single" w:color="5FB4FF" w:sz="8" w:space="0"/>
              <w:left w:val="single" w:color="5FB4FF" w:sz="8" w:space="0"/>
              <w:bottom w:val="single" w:color="5FB4FF" w:sz="8" w:space="0"/>
              <w:right w:val="single" w:color="5FB4FF" w:sz="8" w:space="0"/>
            </w:tcBorders>
            <w:shd w:val="clear" w:color="FFFFFF" w:fill="AFD7FA"/>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b/>
                <w:bCs/>
                <w:i w:val="0"/>
                <w:iCs w:val="0"/>
                <w:caps w:val="0"/>
                <w:color w:val="060607"/>
                <w:spacing w:val="8"/>
                <w:kern w:val="0"/>
                <w:sz w:val="24"/>
                <w:szCs w:val="24"/>
                <w:shd w:val="clear" w:fill="FFFFFF"/>
                <w:lang w:eastAsia="zh-CN" w:bidi="ar"/>
              </w:rPr>
            </w:pPr>
            <w:r>
              <w:rPr>
                <w:rFonts w:hint="eastAsia" w:ascii="仿宋_GB2312" w:hAnsi="仿宋_GB2312" w:eastAsia="仿宋_GB2312" w:cs="仿宋_GB2312"/>
                <w:b/>
                <w:bCs/>
                <w:i w:val="0"/>
                <w:iCs w:val="0"/>
                <w:caps w:val="0"/>
                <w:color w:val="060607"/>
                <w:spacing w:val="8"/>
                <w:kern w:val="0"/>
                <w:sz w:val="24"/>
                <w:szCs w:val="24"/>
                <w:shd w:val="clear" w:fill="FFFFFF"/>
                <w:lang w:val="en-US" w:eastAsia="zh-CN" w:bidi="ar"/>
              </w:rPr>
              <w:t>天津市</w:t>
            </w:r>
          </w:p>
        </w:tc>
        <w:tc>
          <w:tcPr>
            <w:tcW w:w="1513"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w:t>
            </w:r>
          </w:p>
        </w:tc>
        <w:tc>
          <w:tcPr>
            <w:tcW w:w="1086"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鼓励加快小区及周边汽车充电设施更新升级</w:t>
            </w:r>
          </w:p>
        </w:tc>
        <w:tc>
          <w:tcPr>
            <w:tcW w:w="972"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组织汽车以旧换新促销活动；优化汽车指标供给</w:t>
            </w:r>
          </w:p>
        </w:tc>
        <w:tc>
          <w:tcPr>
            <w:tcW w:w="887" w:type="pct"/>
            <w:tcBorders>
              <w:top w:val="single" w:color="5FB4FF" w:sz="8" w:space="0"/>
              <w:left w:val="single" w:color="5FB4FF" w:sz="8" w:space="0"/>
              <w:bottom w:val="single" w:color="5FB4FF" w:sz="8" w:space="0"/>
              <w:right w:val="single" w:color="5FB4FF" w:sz="8" w:space="0"/>
            </w:tcBorders>
            <w:shd w:val="clear" w:color="FFFFFF" w:fill="FFFFFF"/>
            <w:tcMar>
              <w:top w:w="48" w:type="dxa"/>
              <w:left w:w="72" w:type="dxa"/>
              <w:bottom w:w="48" w:type="dxa"/>
              <w:right w:w="72" w:type="dxa"/>
            </w:tcMar>
            <w:vAlign w:val="center"/>
          </w:tcPr>
          <w:p>
            <w:pPr>
              <w:spacing w:line="240" w:lineRule="auto"/>
              <w:jc w:val="both"/>
              <w:rPr>
                <w:rFonts w:hint="default" w:ascii="仿宋_GB2312" w:hAnsi="仿宋_GB2312" w:eastAsia="仿宋_GB2312" w:cs="仿宋_GB2312"/>
                <w:i w:val="0"/>
                <w:iCs w:val="0"/>
                <w:caps w:val="0"/>
                <w:color w:val="060607"/>
                <w:spacing w:val="8"/>
                <w:kern w:val="0"/>
                <w:sz w:val="24"/>
                <w:szCs w:val="24"/>
                <w:shd w:val="clear" w:fill="FFFFFF"/>
                <w:lang w:eastAsia="zh-CN" w:bidi="ar"/>
              </w:rPr>
            </w:pPr>
            <w:r>
              <w:rPr>
                <w:rFonts w:hint="eastAsia" w:ascii="仿宋_GB2312" w:hAnsi="仿宋_GB2312" w:eastAsia="仿宋_GB2312" w:cs="仿宋_GB2312"/>
                <w:i w:val="0"/>
                <w:iCs w:val="0"/>
                <w:caps w:val="0"/>
                <w:color w:val="060607"/>
                <w:spacing w:val="8"/>
                <w:kern w:val="0"/>
                <w:sz w:val="24"/>
                <w:szCs w:val="24"/>
                <w:shd w:val="clear" w:fill="FFFFFF"/>
                <w:lang w:val="en-US" w:eastAsia="zh-CN" w:bidi="ar"/>
              </w:rPr>
              <w:t>推进能耗排放、质量安全、循环利用等方面标准制修订工作</w:t>
            </w:r>
          </w:p>
        </w:tc>
      </w:tr>
    </w:tbl>
    <w:p>
      <w:pPr>
        <w:spacing w:line="560" w:lineRule="exact"/>
        <w:jc w:val="both"/>
        <w:rPr>
          <w:rFonts w:hint="default"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p>
    <w:p>
      <w:pPr>
        <w:spacing w:line="560" w:lineRule="exact"/>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仿宋_GB2312" w:hAnsi="仿宋_GB2312" w:eastAsia="仿宋_GB2312" w:cs="仿宋_GB2312"/>
          <w:i w:val="0"/>
          <w:iCs w:val="0"/>
          <w:caps w:val="0"/>
          <w:color w:val="060607"/>
          <w:spacing w:val="8"/>
          <w:kern w:val="0"/>
          <w:sz w:val="32"/>
          <w:szCs w:val="32"/>
          <w:shd w:val="clear" w:fill="FFFFFF"/>
          <w:lang w:eastAsia="zh-CN" w:bidi="ar"/>
        </w:rPr>
        <w:t>各省市的新能源汽车政策虽有共同点，如都关注充电基础设施建设和以旧换新补贴，但在具体的实施细节、补贴金额、行业发展方向等方面存在差异。上海市和湖南省的补贴政策较为明确，重庆市的充电基础设施建设目标具体，广西壮族自治区利用现有资源进行充电设施建设，苏州市提供较大的补贴总额，天津市则更注重行业规范和设备更新。这些政策反映了各省市根据自身特点和需求，制定的差异化新能源汽车产业发展策略</w:t>
      </w:r>
      <w:r>
        <w:rPr>
          <w:rFonts w:hint="default" w:ascii="仿宋_GB2312" w:hAnsi="仿宋_GB2312" w:eastAsia="仿宋_GB2312" w:cs="仿宋_GB2312"/>
          <w:i w:val="0"/>
          <w:iCs w:val="0"/>
          <w:caps w:val="0"/>
          <w:color w:val="060607"/>
          <w:spacing w:val="8"/>
          <w:kern w:val="0"/>
          <w:sz w:val="32"/>
          <w:szCs w:val="32"/>
          <w:shd w:val="clear" w:fill="FFFFFF"/>
          <w:lang w:eastAsia="zh-CN" w:bidi="ar"/>
        </w:rPr>
        <w:t>，响应中央对新能源汽车产业的支持政策</w:t>
      </w:r>
      <w:r>
        <w:rPr>
          <w:rFonts w:hint="eastAsia" w:ascii="仿宋_GB2312" w:hAnsi="仿宋_GB2312" w:eastAsia="仿宋_GB2312" w:cs="仿宋_GB2312"/>
          <w:i w:val="0"/>
          <w:iCs w:val="0"/>
          <w:caps w:val="0"/>
          <w:color w:val="060607"/>
          <w:spacing w:val="8"/>
          <w:kern w:val="0"/>
          <w:sz w:val="32"/>
          <w:szCs w:val="32"/>
          <w:shd w:val="clear" w:fill="FFFFFF"/>
          <w:lang w:eastAsia="zh-CN" w:bidi="ar"/>
        </w:rPr>
        <w:t>。</w:t>
      </w:r>
    </w:p>
    <w:p>
      <w:pPr>
        <w:spacing w:line="560" w:lineRule="exact"/>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eastAsia" w:ascii="黑体" w:hAnsi="黑体" w:eastAsia="黑体" w:cs="黑体"/>
          <w:i w:val="0"/>
          <w:iCs w:val="0"/>
          <w:caps w:val="0"/>
          <w:color w:val="060607"/>
          <w:spacing w:val="8"/>
          <w:kern w:val="0"/>
          <w:sz w:val="32"/>
          <w:szCs w:val="32"/>
          <w:shd w:val="clear" w:fill="FFFFFF"/>
          <w:lang w:eastAsia="zh-CN" w:bidi="ar"/>
        </w:rPr>
        <w:t xml:space="preserve">    国内外政策对比：</w:t>
      </w:r>
      <w:r>
        <w:rPr>
          <w:rFonts w:hint="eastAsia" w:ascii="仿宋_GB2312" w:hAnsi="仿宋_GB2312" w:eastAsia="仿宋_GB2312" w:cs="仿宋_GB2312"/>
          <w:i w:val="0"/>
          <w:iCs w:val="0"/>
          <w:caps w:val="0"/>
          <w:color w:val="060607"/>
          <w:spacing w:val="8"/>
          <w:kern w:val="0"/>
          <w:sz w:val="32"/>
          <w:szCs w:val="32"/>
          <w:shd w:val="clear" w:fill="FFFFFF"/>
          <w:lang w:eastAsia="zh-CN" w:bidi="ar"/>
        </w:rPr>
        <w:t>各国都在通过财政补贴、税收优惠等措施来促进新能源汽车的发展。</w:t>
      </w:r>
      <w:r>
        <w:rPr>
          <w:rFonts w:hint="default" w:ascii="仿宋_GB2312" w:hAnsi="仿宋_GB2312" w:eastAsia="仿宋_GB2312" w:cs="仿宋_GB2312"/>
          <w:i w:val="0"/>
          <w:iCs w:val="0"/>
          <w:caps w:val="0"/>
          <w:color w:val="060607"/>
          <w:spacing w:val="8"/>
          <w:kern w:val="0"/>
          <w:sz w:val="32"/>
          <w:szCs w:val="32"/>
          <w:shd w:val="clear" w:fill="FFFFFF"/>
          <w:lang w:eastAsia="zh-CN" w:bidi="ar"/>
        </w:rPr>
        <w:t>但在以下方面有所不同。</w:t>
      </w:r>
      <w:r>
        <w:rPr>
          <w:rFonts w:hint="eastAsia" w:ascii="黑体" w:hAnsi="黑体" w:eastAsia="黑体" w:cs="黑体"/>
          <w:i w:val="0"/>
          <w:iCs w:val="0"/>
          <w:caps w:val="0"/>
          <w:color w:val="060607"/>
          <w:spacing w:val="8"/>
          <w:kern w:val="0"/>
          <w:sz w:val="32"/>
          <w:szCs w:val="32"/>
          <w:shd w:val="clear" w:fill="FFFFFF"/>
          <w:lang w:eastAsia="zh-CN" w:bidi="ar"/>
        </w:rPr>
        <w:t>一是补贴力度</w:t>
      </w:r>
      <w:r>
        <w:rPr>
          <w:rFonts w:hint="default" w:ascii="仿宋_GB2312" w:hAnsi="仿宋_GB2312" w:eastAsia="仿宋_GB2312" w:cs="仿宋_GB2312"/>
          <w:i w:val="0"/>
          <w:iCs w:val="0"/>
          <w:caps w:val="0"/>
          <w:color w:val="060607"/>
          <w:spacing w:val="8"/>
          <w:kern w:val="0"/>
          <w:sz w:val="32"/>
          <w:szCs w:val="32"/>
          <w:shd w:val="clear" w:fill="FFFFFF"/>
          <w:lang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eastAsia="zh-CN" w:bidi="ar"/>
        </w:rPr>
        <w:t>不同国家补贴的力度和范围有所不同，如德国计划提前结束补贴，而印尼提供高额补贴。</w:t>
      </w:r>
      <w:r>
        <w:rPr>
          <w:rFonts w:hint="eastAsia" w:ascii="黑体" w:hAnsi="黑体" w:eastAsia="黑体" w:cs="黑体"/>
          <w:i w:val="0"/>
          <w:iCs w:val="0"/>
          <w:caps w:val="0"/>
          <w:color w:val="060607"/>
          <w:spacing w:val="8"/>
          <w:kern w:val="0"/>
          <w:sz w:val="32"/>
          <w:szCs w:val="32"/>
          <w:shd w:val="clear" w:fill="FFFFFF"/>
          <w:lang w:eastAsia="zh-CN" w:bidi="ar"/>
        </w:rPr>
        <w:t>二是技术路线</w:t>
      </w:r>
      <w:r>
        <w:rPr>
          <w:rFonts w:hint="default" w:ascii="仿宋_GB2312" w:hAnsi="仿宋_GB2312" w:eastAsia="仿宋_GB2312" w:cs="仿宋_GB2312"/>
          <w:i w:val="0"/>
          <w:iCs w:val="0"/>
          <w:caps w:val="0"/>
          <w:color w:val="060607"/>
          <w:spacing w:val="8"/>
          <w:kern w:val="0"/>
          <w:sz w:val="32"/>
          <w:szCs w:val="32"/>
          <w:shd w:val="clear" w:fill="FFFFFF"/>
          <w:lang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eastAsia="zh-CN" w:bidi="ar"/>
        </w:rPr>
        <w:t>我国鼓励多元化技术路线，而一些国家可能更侧重于纯电动汽车。</w:t>
      </w:r>
      <w:r>
        <w:rPr>
          <w:rFonts w:hint="eastAsia" w:ascii="黑体" w:hAnsi="黑体" w:eastAsia="黑体" w:cs="黑体"/>
          <w:i w:val="0"/>
          <w:iCs w:val="0"/>
          <w:caps w:val="0"/>
          <w:color w:val="060607"/>
          <w:spacing w:val="8"/>
          <w:kern w:val="0"/>
          <w:sz w:val="32"/>
          <w:szCs w:val="32"/>
          <w:shd w:val="clear" w:fill="FFFFFF"/>
          <w:lang w:eastAsia="zh-CN" w:bidi="ar"/>
        </w:rPr>
        <w:t>三是市场准入</w:t>
      </w:r>
      <w:r>
        <w:rPr>
          <w:rFonts w:hint="default" w:ascii="仿宋_GB2312" w:hAnsi="仿宋_GB2312" w:eastAsia="仿宋_GB2312" w:cs="仿宋_GB2312"/>
          <w:i w:val="0"/>
          <w:iCs w:val="0"/>
          <w:caps w:val="0"/>
          <w:color w:val="060607"/>
          <w:spacing w:val="8"/>
          <w:kern w:val="0"/>
          <w:sz w:val="32"/>
          <w:szCs w:val="32"/>
          <w:shd w:val="clear" w:fill="FFFFFF"/>
          <w:lang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eastAsia="zh-CN" w:bidi="ar"/>
        </w:rPr>
        <w:t>我国在市场准入方面更为开放，鼓励国际合作。</w:t>
      </w:r>
      <w:r>
        <w:rPr>
          <w:rFonts w:hint="default" w:ascii="仿宋_GB2312" w:hAnsi="仿宋_GB2312" w:eastAsia="仿宋_GB2312" w:cs="仿宋_GB2312"/>
          <w:i w:val="0"/>
          <w:iCs w:val="0"/>
          <w:caps w:val="0"/>
          <w:color w:val="060607"/>
          <w:spacing w:val="8"/>
          <w:kern w:val="0"/>
          <w:sz w:val="32"/>
          <w:szCs w:val="32"/>
          <w:shd w:val="clear" w:fill="FFFFFF"/>
          <w:lang w:eastAsia="zh-CN" w:bidi="ar"/>
        </w:rPr>
        <w:t>而美国</w:t>
      </w:r>
      <w:r>
        <w:rPr>
          <w:rFonts w:hint="eastAsia" w:ascii="仿宋_GB2312" w:hAnsi="仿宋_GB2312" w:eastAsia="仿宋_GB2312" w:cs="仿宋_GB2312"/>
          <w:i w:val="0"/>
          <w:iCs w:val="0"/>
          <w:caps w:val="0"/>
          <w:color w:val="060607"/>
          <w:spacing w:val="8"/>
          <w:kern w:val="0"/>
          <w:sz w:val="32"/>
          <w:szCs w:val="32"/>
          <w:shd w:val="clear" w:fill="FFFFFF"/>
          <w:lang w:eastAsia="zh-CN" w:bidi="ar"/>
        </w:rPr>
        <w:t>显示出贸易保护主义的倾向</w:t>
      </w:r>
      <w:r>
        <w:rPr>
          <w:rFonts w:hint="default" w:ascii="仿宋_GB2312" w:hAnsi="仿宋_GB2312" w:eastAsia="仿宋_GB2312" w:cs="仿宋_GB2312"/>
          <w:i w:val="0"/>
          <w:iCs w:val="0"/>
          <w:caps w:val="0"/>
          <w:color w:val="060607"/>
          <w:spacing w:val="8"/>
          <w:kern w:val="0"/>
          <w:sz w:val="32"/>
          <w:szCs w:val="32"/>
          <w:shd w:val="clear" w:fill="FFFFFF"/>
          <w:lang w:eastAsia="zh-CN" w:bidi="ar"/>
        </w:rPr>
        <w:t>。</w:t>
      </w:r>
      <w:r>
        <w:rPr>
          <w:rFonts w:hint="eastAsia" w:ascii="黑体" w:hAnsi="黑体" w:eastAsia="黑体" w:cs="黑体"/>
          <w:i w:val="0"/>
          <w:iCs w:val="0"/>
          <w:caps w:val="0"/>
          <w:color w:val="060607"/>
          <w:spacing w:val="8"/>
          <w:kern w:val="0"/>
          <w:sz w:val="32"/>
          <w:szCs w:val="32"/>
          <w:shd w:val="clear" w:fill="FFFFFF"/>
          <w:lang w:eastAsia="zh-CN" w:bidi="ar"/>
        </w:rPr>
        <w:t>四是环保标准</w:t>
      </w:r>
      <w:r>
        <w:rPr>
          <w:rFonts w:hint="default" w:ascii="仿宋_GB2312" w:hAnsi="仿宋_GB2312" w:eastAsia="仿宋_GB2312" w:cs="仿宋_GB2312"/>
          <w:i w:val="0"/>
          <w:iCs w:val="0"/>
          <w:caps w:val="0"/>
          <w:color w:val="060607"/>
          <w:spacing w:val="8"/>
          <w:kern w:val="0"/>
          <w:sz w:val="32"/>
          <w:szCs w:val="32"/>
          <w:shd w:val="clear" w:fill="FFFFFF"/>
          <w:lang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eastAsia="zh-CN" w:bidi="ar"/>
        </w:rPr>
        <w:t>欧盟特别是德国在环保和安全标准上更为严格。</w:t>
      </w:r>
    </w:p>
    <w:p>
      <w:pPr>
        <w:spacing w:line="560" w:lineRule="exact"/>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仿宋_GB2312" w:hAnsi="仿宋_GB2312" w:eastAsia="仿宋_GB2312" w:cs="仿宋_GB2312"/>
          <w:i w:val="0"/>
          <w:iCs w:val="0"/>
          <w:caps w:val="0"/>
          <w:color w:val="060607"/>
          <w:spacing w:val="8"/>
          <w:kern w:val="0"/>
          <w:sz w:val="32"/>
          <w:szCs w:val="32"/>
          <w:shd w:val="clear" w:fill="FFFFFF"/>
          <w:lang w:eastAsia="zh-CN" w:bidi="ar"/>
        </w:rPr>
        <w:t>综上</w:t>
      </w:r>
      <w:r>
        <w:rPr>
          <w:rFonts w:hint="default" w:ascii="仿宋_GB2312" w:hAnsi="仿宋_GB2312" w:eastAsia="仿宋_GB2312" w:cs="仿宋_GB2312"/>
          <w:i w:val="0"/>
          <w:iCs w:val="0"/>
          <w:caps w:val="0"/>
          <w:color w:val="060607"/>
          <w:spacing w:val="8"/>
          <w:kern w:val="0"/>
          <w:sz w:val="32"/>
          <w:szCs w:val="32"/>
          <w:shd w:val="clear" w:fill="FFFFFF"/>
          <w:lang w:eastAsia="zh-CN" w:bidi="ar"/>
        </w:rPr>
        <w:t>，</w:t>
      </w:r>
      <w:r>
        <w:rPr>
          <w:rFonts w:hint="eastAsia" w:ascii="仿宋_GB2312" w:hAnsi="仿宋_GB2312" w:eastAsia="仿宋_GB2312" w:cs="仿宋_GB2312"/>
          <w:i w:val="0"/>
          <w:iCs w:val="0"/>
          <w:caps w:val="0"/>
          <w:color w:val="060607"/>
          <w:spacing w:val="8"/>
          <w:kern w:val="0"/>
          <w:sz w:val="32"/>
          <w:szCs w:val="32"/>
          <w:shd w:val="clear" w:fill="FFFFFF"/>
          <w:lang w:eastAsia="zh-CN" w:bidi="ar"/>
        </w:rPr>
        <w:t>各国新能源汽车政策虽有共同之处，但也存在明显差异，反映了各自的产业特点和政策取向。我国在制定相关政策时，充分考虑国内外市场变化，平衡短期激励与长期发展，同时加强国际合作，推动产业健康可持续发展。</w:t>
      </w:r>
    </w:p>
    <w:p>
      <w:pPr>
        <w:spacing w:line="560" w:lineRule="exact"/>
        <w:jc w:val="both"/>
        <w:rPr>
          <w:rFonts w:hint="default" w:ascii="黑体" w:hAnsi="黑体" w:eastAsia="黑体" w:cs="黑体"/>
          <w:b w:val="0"/>
          <w:bCs w:val="0"/>
          <w:i w:val="0"/>
          <w:iCs w:val="0"/>
          <w:caps w:val="0"/>
          <w:color w:val="060607"/>
          <w:spacing w:val="8"/>
          <w:kern w:val="0"/>
          <w:sz w:val="32"/>
          <w:szCs w:val="32"/>
          <w:shd w:val="clear" w:fill="FFFFFF"/>
          <w:lang w:eastAsia="zh-CN" w:bidi="ar"/>
        </w:rPr>
      </w:pPr>
      <w:r>
        <w:rPr>
          <w:rFonts w:hint="eastAsia" w:ascii="黑体" w:hAnsi="黑体" w:eastAsia="黑体" w:cs="黑体"/>
          <w:b w:val="0"/>
          <w:bCs w:val="0"/>
          <w:i w:val="0"/>
          <w:iCs w:val="0"/>
          <w:caps w:val="0"/>
          <w:color w:val="060607"/>
          <w:spacing w:val="8"/>
          <w:kern w:val="0"/>
          <w:sz w:val="32"/>
          <w:szCs w:val="32"/>
          <w:shd w:val="clear" w:fill="FFFFFF"/>
          <w:lang w:eastAsia="zh-CN" w:bidi="ar"/>
        </w:rPr>
        <w:t>（</w:t>
      </w:r>
      <w:r>
        <w:rPr>
          <w:rFonts w:hint="default" w:ascii="黑体" w:hAnsi="黑体" w:eastAsia="黑体" w:cs="黑体"/>
          <w:b w:val="0"/>
          <w:bCs w:val="0"/>
          <w:i w:val="0"/>
          <w:iCs w:val="0"/>
          <w:caps w:val="0"/>
          <w:color w:val="060607"/>
          <w:spacing w:val="8"/>
          <w:kern w:val="0"/>
          <w:sz w:val="32"/>
          <w:szCs w:val="32"/>
          <w:shd w:val="clear" w:fill="FFFFFF"/>
          <w:lang w:eastAsia="zh-CN" w:bidi="ar"/>
        </w:rPr>
        <w:t>二</w:t>
      </w:r>
      <w:r>
        <w:rPr>
          <w:rFonts w:hint="eastAsia" w:ascii="黑体" w:hAnsi="黑体" w:eastAsia="黑体" w:cs="黑体"/>
          <w:b w:val="0"/>
          <w:bCs w:val="0"/>
          <w:i w:val="0"/>
          <w:iCs w:val="0"/>
          <w:caps w:val="0"/>
          <w:color w:val="060607"/>
          <w:spacing w:val="8"/>
          <w:kern w:val="0"/>
          <w:sz w:val="32"/>
          <w:szCs w:val="32"/>
          <w:shd w:val="clear" w:fill="FFFFFF"/>
          <w:lang w:eastAsia="zh-CN" w:bidi="ar"/>
        </w:rPr>
        <w:t>）</w:t>
      </w:r>
      <w:r>
        <w:rPr>
          <w:rFonts w:hint="default" w:ascii="黑体" w:hAnsi="黑体" w:eastAsia="黑体" w:cs="黑体"/>
          <w:b w:val="0"/>
          <w:bCs w:val="0"/>
          <w:i w:val="0"/>
          <w:iCs w:val="0"/>
          <w:caps w:val="0"/>
          <w:color w:val="060607"/>
          <w:spacing w:val="8"/>
          <w:kern w:val="0"/>
          <w:sz w:val="32"/>
          <w:szCs w:val="32"/>
          <w:shd w:val="clear" w:fill="FFFFFF"/>
          <w:lang w:eastAsia="zh-CN" w:bidi="ar"/>
        </w:rPr>
        <w:t>政策发布对新能源汽车市场销量的影响</w:t>
      </w:r>
      <w:r>
        <w:rPr>
          <w:rStyle w:val="20"/>
          <w:rFonts w:hint="default" w:ascii="黑体" w:hAnsi="黑体" w:eastAsia="黑体" w:cs="黑体"/>
          <w:b w:val="0"/>
          <w:bCs w:val="0"/>
          <w:i w:val="0"/>
          <w:iCs w:val="0"/>
          <w:caps w:val="0"/>
          <w:color w:val="060607"/>
          <w:spacing w:val="8"/>
          <w:kern w:val="0"/>
          <w:sz w:val="32"/>
          <w:szCs w:val="32"/>
          <w:shd w:val="clear" w:fill="FFFFFF"/>
          <w:lang w:eastAsia="zh-CN" w:bidi="ar"/>
        </w:rPr>
        <w:footnoteReference w:id="15"/>
      </w: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2023年4月至2024年4月，整车央企</w:t>
      </w:r>
      <w:r>
        <w:rPr>
          <w:rStyle w:val="20"/>
          <w:rFonts w:hint="default" w:ascii="Times New Roman" w:hAnsi="Times New Roman" w:eastAsia="仿宋_GB2312" w:cs="Times New Roman"/>
          <w:color w:val="auto"/>
          <w:sz w:val="32"/>
          <w:szCs w:val="32"/>
          <w:highlight w:val="none"/>
          <w:lang w:val="en-US" w:eastAsia="zh-CN"/>
        </w:rPr>
        <w:footnoteReference w:id="16"/>
      </w:r>
      <w:r>
        <w:rPr>
          <w:rFonts w:hint="default" w:ascii="Times New Roman" w:hAnsi="Times New Roman" w:eastAsia="仿宋_GB2312" w:cs="Times New Roman"/>
          <w:color w:val="auto"/>
          <w:sz w:val="32"/>
          <w:szCs w:val="32"/>
          <w:highlight w:val="none"/>
          <w:lang w:val="en-US" w:eastAsia="zh-CN"/>
        </w:rPr>
        <w:t>、全国新能源汽车市场渗透率如下图</w:t>
      </w:r>
      <w:r>
        <w:rPr>
          <w:rFonts w:hint="default" w:ascii="Times New Roman" w:hAnsi="Times New Roman" w:eastAsia="仿宋_GB2312" w:cs="Times New Roman"/>
          <w:color w:val="auto"/>
          <w:sz w:val="32"/>
          <w:szCs w:val="32"/>
          <w:highlight w:val="none"/>
          <w:lang w:eastAsia="zh-CN"/>
        </w:rPr>
        <w:t>1</w:t>
      </w:r>
      <w:r>
        <w:rPr>
          <w:rFonts w:hint="default" w:ascii="Times New Roman" w:hAnsi="Times New Roman" w:eastAsia="仿宋_GB2312" w:cs="Times New Roman"/>
          <w:color w:val="auto"/>
          <w:sz w:val="32"/>
          <w:szCs w:val="32"/>
          <w:highlight w:val="none"/>
          <w:lang w:val="en-US" w:eastAsia="zh-CN"/>
        </w:rPr>
        <w:t>所示</w:t>
      </w:r>
      <w:r>
        <w:rPr>
          <w:rFonts w:hint="default" w:ascii="Times New Roman" w:hAnsi="Times New Roman" w:eastAsia="仿宋_GB2312" w:cs="Times New Roman"/>
          <w:color w:val="auto"/>
          <w:sz w:val="32"/>
          <w:szCs w:val="32"/>
          <w:highlight w:val="none"/>
          <w:lang w:eastAsia="zh-CN"/>
        </w:rPr>
        <w:t>。</w:t>
      </w:r>
      <w:r>
        <w:rPr>
          <w:rFonts w:hint="default" w:ascii="Times New Roman" w:hAnsi="Times New Roman" w:eastAsia="仿宋_GB2312" w:cs="Times New Roman"/>
          <w:color w:val="auto"/>
          <w:sz w:val="32"/>
          <w:szCs w:val="32"/>
          <w:highlight w:val="none"/>
          <w:lang w:val="en-US" w:eastAsia="zh-CN"/>
        </w:rPr>
        <w:t>全国新能源汽车市场渗透率在2024年4月接近一年来历史最高值，央企整体新能源汽车市场渗透率在2024年4月超过一年来历史最高值。</w:t>
      </w: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5289550" cy="332422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89550" cy="3324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eastAsia="zh-CN"/>
        </w:rPr>
      </w:pPr>
      <w:r>
        <w:rPr>
          <w:rFonts w:hint="default" w:ascii="楷体_GB2312" w:hAnsi="楷体_GB2312" w:eastAsia="楷体_GB2312" w:cs="楷体_GB2312"/>
          <w:sz w:val="28"/>
          <w:szCs w:val="28"/>
          <w:highlight w:val="none"/>
          <w:lang w:val="en-US" w:eastAsia="zh-CN"/>
        </w:rPr>
        <w:t>图</w:t>
      </w:r>
      <w:r>
        <w:rPr>
          <w:rFonts w:hint="default" w:ascii="楷体_GB2312" w:hAnsi="楷体_GB2312" w:eastAsia="楷体_GB2312" w:cs="楷体_GB2312"/>
          <w:sz w:val="28"/>
          <w:szCs w:val="28"/>
          <w:highlight w:val="none"/>
          <w:lang w:eastAsia="zh-CN"/>
        </w:rPr>
        <w:t>1</w:t>
      </w:r>
      <w:r>
        <w:rPr>
          <w:rFonts w:hint="default" w:ascii="楷体_GB2312" w:hAnsi="楷体_GB2312" w:eastAsia="楷体_GB2312" w:cs="楷体_GB2312"/>
          <w:sz w:val="28"/>
          <w:szCs w:val="28"/>
          <w:highlight w:val="none"/>
          <w:lang w:val="en-US" w:eastAsia="zh-CN"/>
        </w:rPr>
        <w:t>：新能源汽车市场渗透率</w:t>
      </w:r>
      <w:r>
        <w:rPr>
          <w:rFonts w:hint="default" w:ascii="楷体_GB2312" w:hAnsi="楷体_GB2312" w:eastAsia="楷体_GB2312" w:cs="楷体_GB2312"/>
          <w:sz w:val="28"/>
          <w:szCs w:val="28"/>
          <w:highlight w:val="none"/>
          <w:lang w:eastAsia="zh-CN"/>
        </w:rPr>
        <w:t>_1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eastAsia="zh-CN"/>
        </w:rPr>
      </w:pP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2023年4月至2024年4月，整车新能源汽车整体、新能源乘用车、新能源客车、新能源货车的市场渗透率如下图</w:t>
      </w:r>
      <w:r>
        <w:rPr>
          <w:rFonts w:hint="default" w:ascii="Times New Roman" w:hAnsi="Times New Roman" w:eastAsia="仿宋_GB2312" w:cs="Times New Roman"/>
          <w:color w:val="auto"/>
          <w:sz w:val="32"/>
          <w:szCs w:val="32"/>
          <w:highlight w:val="none"/>
          <w:lang w:eastAsia="zh-CN"/>
        </w:rPr>
        <w:t>2</w:t>
      </w:r>
      <w:r>
        <w:rPr>
          <w:rFonts w:hint="default" w:ascii="Times New Roman" w:hAnsi="Times New Roman" w:eastAsia="仿宋_GB2312" w:cs="Times New Roman"/>
          <w:color w:val="auto"/>
          <w:sz w:val="32"/>
          <w:szCs w:val="32"/>
          <w:highlight w:val="none"/>
          <w:lang w:val="en-US" w:eastAsia="zh-CN"/>
        </w:rPr>
        <w:t>所示，新能源乘、客、货的市场渗透率均在202</w:t>
      </w:r>
      <w:r>
        <w:rPr>
          <w:rFonts w:hint="default" w:ascii="Times New Roman" w:hAnsi="Times New Roman" w:eastAsia="仿宋_GB2312" w:cs="Times New Roman"/>
          <w:color w:val="auto"/>
          <w:sz w:val="32"/>
          <w:szCs w:val="32"/>
          <w:highlight w:val="none"/>
          <w:lang w:eastAsia="zh-CN"/>
        </w:rPr>
        <w:t>4</w:t>
      </w:r>
      <w:r>
        <w:rPr>
          <w:rFonts w:hint="default" w:ascii="Times New Roman" w:hAnsi="Times New Roman" w:eastAsia="仿宋_GB2312" w:cs="Times New Roman"/>
          <w:color w:val="auto"/>
          <w:sz w:val="32"/>
          <w:szCs w:val="32"/>
          <w:highlight w:val="none"/>
          <w:lang w:val="en-US" w:eastAsia="zh-CN"/>
        </w:rPr>
        <w:t>年</w:t>
      </w:r>
      <w:r>
        <w:rPr>
          <w:rFonts w:hint="default" w:ascii="Times New Roman" w:hAnsi="Times New Roman" w:eastAsia="仿宋_GB2312" w:cs="Times New Roman"/>
          <w:color w:val="auto"/>
          <w:sz w:val="32"/>
          <w:szCs w:val="32"/>
          <w:highlight w:val="none"/>
          <w:lang w:eastAsia="zh-CN"/>
        </w:rPr>
        <w:t>2月至4</w:t>
      </w:r>
      <w:r>
        <w:rPr>
          <w:rFonts w:hint="default" w:ascii="Times New Roman" w:hAnsi="Times New Roman" w:eastAsia="仿宋_GB2312" w:cs="Times New Roman"/>
          <w:color w:val="auto"/>
          <w:sz w:val="32"/>
          <w:szCs w:val="32"/>
          <w:highlight w:val="none"/>
          <w:lang w:val="en-US" w:eastAsia="zh-CN"/>
        </w:rPr>
        <w:t>月</w:t>
      </w:r>
      <w:r>
        <w:rPr>
          <w:rFonts w:hint="default" w:ascii="Times New Roman" w:hAnsi="Times New Roman" w:eastAsia="仿宋_GB2312" w:cs="Times New Roman"/>
          <w:color w:val="auto"/>
          <w:sz w:val="32"/>
          <w:szCs w:val="32"/>
          <w:highlight w:val="none"/>
          <w:lang w:eastAsia="zh-CN"/>
        </w:rPr>
        <w:t>成上升趋势</w:t>
      </w:r>
      <w:r>
        <w:rPr>
          <w:rFonts w:hint="default" w:ascii="Times New Roman" w:hAnsi="Times New Roman" w:eastAsia="仿宋_GB2312" w:cs="Times New Roman"/>
          <w:color w:val="auto"/>
          <w:sz w:val="32"/>
          <w:szCs w:val="32"/>
          <w:highlight w:val="none"/>
          <w:lang w:val="en-US" w:eastAsia="zh-CN"/>
        </w:rPr>
        <w:t>。</w:t>
      </w: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widowControl/>
        <w:suppressLineNumbers w:val="0"/>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4610100" cy="2889885"/>
            <wp:effectExtent l="0" t="0" r="762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stretch>
                      <a:fillRect/>
                    </a:stretch>
                  </pic:blipFill>
                  <pic:spPr>
                    <a:xfrm>
                      <a:off x="0" y="0"/>
                      <a:ext cx="4610100" cy="28898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eastAsia="zh-CN"/>
        </w:rPr>
      </w:pPr>
      <w:r>
        <w:rPr>
          <w:rFonts w:hint="default" w:ascii="楷体_GB2312" w:hAnsi="楷体_GB2312" w:eastAsia="楷体_GB2312" w:cs="楷体_GB2312"/>
          <w:sz w:val="28"/>
          <w:szCs w:val="28"/>
          <w:highlight w:val="none"/>
          <w:lang w:val="en-US" w:eastAsia="zh-CN"/>
        </w:rPr>
        <w:t>图</w:t>
      </w:r>
      <w:r>
        <w:rPr>
          <w:rFonts w:hint="default" w:ascii="楷体_GB2312" w:hAnsi="楷体_GB2312" w:eastAsia="楷体_GB2312" w:cs="楷体_GB2312"/>
          <w:sz w:val="28"/>
          <w:szCs w:val="28"/>
          <w:highlight w:val="none"/>
          <w:lang w:eastAsia="zh-CN"/>
        </w:rPr>
        <w:t>2</w:t>
      </w:r>
      <w:r>
        <w:rPr>
          <w:rFonts w:hint="default" w:ascii="楷体_GB2312" w:hAnsi="楷体_GB2312" w:eastAsia="楷体_GB2312" w:cs="楷体_GB2312"/>
          <w:sz w:val="28"/>
          <w:szCs w:val="28"/>
          <w:highlight w:val="none"/>
          <w:lang w:val="en-US" w:eastAsia="zh-CN"/>
        </w:rPr>
        <w:t>：新能源汽车市场渗透率_</w:t>
      </w:r>
      <w:r>
        <w:rPr>
          <w:rFonts w:hint="default" w:ascii="楷体_GB2312" w:hAnsi="楷体_GB2312" w:eastAsia="楷体_GB2312" w:cs="楷体_GB2312"/>
          <w:sz w:val="28"/>
          <w:szCs w:val="28"/>
          <w:highlight w:val="none"/>
          <w:lang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2023年4月至2024年4月，不同动力类型的新能源汽车销量同比增长如下图</w:t>
      </w:r>
      <w:r>
        <w:rPr>
          <w:rFonts w:hint="default" w:ascii="Times New Roman" w:hAnsi="Times New Roman" w:eastAsia="仿宋_GB2312" w:cs="Times New Roman"/>
          <w:color w:val="auto"/>
          <w:sz w:val="32"/>
          <w:szCs w:val="32"/>
          <w:highlight w:val="none"/>
          <w:lang w:eastAsia="zh-CN"/>
        </w:rPr>
        <w:t>3</w:t>
      </w:r>
      <w:r>
        <w:rPr>
          <w:rFonts w:hint="default" w:ascii="Times New Roman" w:hAnsi="Times New Roman" w:eastAsia="仿宋_GB2312" w:cs="Times New Roman"/>
          <w:color w:val="auto"/>
          <w:sz w:val="32"/>
          <w:szCs w:val="32"/>
          <w:highlight w:val="none"/>
          <w:lang w:val="en-US" w:eastAsia="zh-CN"/>
        </w:rPr>
        <w:t>所示，燃料电池新能源汽车同比增长波动较大，插电式混合动力新能源汽车较纯电动新能源汽车同比增长更快。</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widowControl/>
        <w:suppressLineNumbers w:val="0"/>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4629785" cy="2877185"/>
            <wp:effectExtent l="0" t="0" r="3175"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stretch>
                      <a:fillRect/>
                    </a:stretch>
                  </pic:blipFill>
                  <pic:spPr>
                    <a:xfrm>
                      <a:off x="0" y="0"/>
                      <a:ext cx="4629785" cy="28771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r>
        <w:rPr>
          <w:rFonts w:hint="default" w:ascii="楷体_GB2312" w:hAnsi="楷体_GB2312" w:eastAsia="楷体_GB2312" w:cs="楷体_GB2312"/>
          <w:sz w:val="28"/>
          <w:szCs w:val="28"/>
          <w:highlight w:val="none"/>
          <w:lang w:val="en-US" w:eastAsia="zh-CN"/>
        </w:rPr>
        <w:t>图</w:t>
      </w:r>
      <w:r>
        <w:rPr>
          <w:rFonts w:hint="default" w:ascii="楷体_GB2312" w:hAnsi="楷体_GB2312" w:eastAsia="楷体_GB2312" w:cs="楷体_GB2312"/>
          <w:sz w:val="28"/>
          <w:szCs w:val="28"/>
          <w:highlight w:val="none"/>
          <w:lang w:eastAsia="zh-CN"/>
        </w:rPr>
        <w:t>3</w:t>
      </w:r>
      <w:r>
        <w:rPr>
          <w:rFonts w:hint="default" w:ascii="楷体_GB2312" w:hAnsi="楷体_GB2312" w:eastAsia="楷体_GB2312" w:cs="楷体_GB2312"/>
          <w:sz w:val="28"/>
          <w:szCs w:val="28"/>
          <w:highlight w:val="none"/>
          <w:lang w:val="en-US" w:eastAsia="zh-CN"/>
        </w:rPr>
        <w:t>：不同动力类型的新能源汽车销量同比增长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sz w:val="28"/>
          <w:szCs w:val="28"/>
          <w:highlight w:val="none"/>
          <w:lang w:val="en-US" w:eastAsia="zh-CN"/>
        </w:rPr>
      </w:pPr>
    </w:p>
    <w:p>
      <w:pPr>
        <w:spacing w:line="560" w:lineRule="exact"/>
        <w:jc w:val="both"/>
        <w:rPr>
          <w:rFonts w:hint="eastAsia" w:ascii="黑体" w:hAnsi="黑体" w:eastAsia="黑体" w:cs="黑体"/>
          <w:b w:val="0"/>
          <w:bCs w:val="0"/>
          <w:i w:val="0"/>
          <w:iCs w:val="0"/>
          <w:caps w:val="0"/>
          <w:color w:val="060607"/>
          <w:spacing w:val="8"/>
          <w:kern w:val="0"/>
          <w:sz w:val="32"/>
          <w:szCs w:val="32"/>
          <w:shd w:val="clear" w:fill="FFFFFF"/>
          <w:lang w:eastAsia="zh-CN" w:bidi="ar"/>
        </w:rPr>
      </w:pPr>
      <w:r>
        <w:rPr>
          <w:rFonts w:hint="eastAsia" w:ascii="黑体" w:hAnsi="黑体" w:eastAsia="黑体" w:cs="黑体"/>
          <w:b w:val="0"/>
          <w:bCs w:val="0"/>
          <w:i w:val="0"/>
          <w:iCs w:val="0"/>
          <w:caps w:val="0"/>
          <w:color w:val="060607"/>
          <w:spacing w:val="8"/>
          <w:kern w:val="0"/>
          <w:sz w:val="32"/>
          <w:szCs w:val="32"/>
          <w:shd w:val="clear" w:fill="FFFFFF"/>
          <w:lang w:eastAsia="zh-CN" w:bidi="ar"/>
        </w:rPr>
        <w:t>四、结论</w:t>
      </w:r>
    </w:p>
    <w:p>
      <w:pPr>
        <w:spacing w:line="560" w:lineRule="exact"/>
        <w:jc w:val="both"/>
        <w:rPr>
          <w:rFonts w:hint="eastAsia" w:ascii="仿宋_GB2312" w:hAnsi="仿宋_GB2312" w:eastAsia="仿宋_GB2312" w:cs="仿宋_GB2312"/>
          <w:i w:val="0"/>
          <w:iCs w:val="0"/>
          <w:caps w:val="0"/>
          <w:color w:val="060607"/>
          <w:spacing w:val="8"/>
          <w:kern w:val="0"/>
          <w:sz w:val="32"/>
          <w:szCs w:val="32"/>
          <w:shd w:val="clear" w:fill="FFFFFF"/>
          <w:lang w:eastAsia="zh-CN" w:bidi="ar"/>
        </w:rPr>
      </w:pPr>
      <w:r>
        <w:rPr>
          <w:rFonts w:hint="default" w:ascii="仿宋_GB2312" w:hAnsi="仿宋_GB2312" w:eastAsia="仿宋_GB2312" w:cs="仿宋_GB2312"/>
          <w:i w:val="0"/>
          <w:iCs w:val="0"/>
          <w:caps w:val="0"/>
          <w:color w:val="060607"/>
          <w:spacing w:val="8"/>
          <w:kern w:val="0"/>
          <w:sz w:val="32"/>
          <w:szCs w:val="32"/>
          <w:shd w:val="clear" w:fill="FFFFFF"/>
          <w:lang w:eastAsia="zh-CN" w:bidi="ar"/>
        </w:rPr>
        <w:t xml:space="preserve">    </w:t>
      </w:r>
      <w:r>
        <w:rPr>
          <w:rFonts w:hint="eastAsia" w:ascii="仿宋_GB2312" w:hAnsi="仿宋_GB2312" w:eastAsia="仿宋_GB2312" w:cs="仿宋_GB2312"/>
          <w:i w:val="0"/>
          <w:iCs w:val="0"/>
          <w:caps w:val="0"/>
          <w:color w:val="060607"/>
          <w:spacing w:val="8"/>
          <w:kern w:val="0"/>
          <w:sz w:val="32"/>
          <w:szCs w:val="32"/>
          <w:shd w:val="clear" w:fill="FFFFFF"/>
          <w:lang w:eastAsia="zh-CN" w:bidi="ar"/>
        </w:rPr>
        <w:t>2024年</w:t>
      </w:r>
      <w:r>
        <w:rPr>
          <w:rFonts w:hint="default" w:ascii="仿宋_GB2312" w:hAnsi="仿宋_GB2312" w:eastAsia="仿宋_GB2312" w:cs="仿宋_GB2312"/>
          <w:i w:val="0"/>
          <w:iCs w:val="0"/>
          <w:caps w:val="0"/>
          <w:color w:val="060607"/>
          <w:spacing w:val="8"/>
          <w:kern w:val="0"/>
          <w:sz w:val="32"/>
          <w:szCs w:val="32"/>
          <w:shd w:val="clear" w:fill="FFFFFF"/>
          <w:lang w:eastAsia="zh-CN" w:bidi="ar"/>
        </w:rPr>
        <w:t>4月</w:t>
      </w:r>
      <w:r>
        <w:rPr>
          <w:rFonts w:hint="eastAsia" w:ascii="仿宋_GB2312" w:hAnsi="仿宋_GB2312" w:eastAsia="仿宋_GB2312" w:cs="仿宋_GB2312"/>
          <w:i w:val="0"/>
          <w:iCs w:val="0"/>
          <w:caps w:val="0"/>
          <w:color w:val="060607"/>
          <w:spacing w:val="8"/>
          <w:kern w:val="0"/>
          <w:sz w:val="32"/>
          <w:szCs w:val="32"/>
          <w:shd w:val="clear" w:fill="FFFFFF"/>
          <w:lang w:eastAsia="zh-CN" w:bidi="ar"/>
        </w:rPr>
        <w:t xml:space="preserve">，新能源汽车行业在国内外政策的共同推动下，呈现出良好的发展势头。中央和地方政府的政策支持，加上国际市场的积极反馈，为行业的高质量发展提供了坚实的基础。不过，国外政策中的贸易保护主义倾向可能对国际市场的开放性和公平性构成挑战。 </w:t>
      </w:r>
    </w:p>
    <w:p>
      <w:pPr>
        <w:numPr>
          <w:ilvl w:val="0"/>
          <w:numId w:val="0"/>
        </w:numPr>
        <w:spacing w:line="560" w:lineRule="exact"/>
        <w:jc w:val="both"/>
        <w:rPr>
          <w:rFonts w:hint="eastAsia" w:ascii="仿宋_GB2312" w:hAnsi="仿宋_GB2312" w:eastAsia="仿宋_GB2312" w:cs="仿宋_GB2312"/>
          <w:sz w:val="32"/>
          <w:szCs w:val="32"/>
          <w:lang w:eastAsia="zh-CN"/>
        </w:rPr>
      </w:pPr>
    </w:p>
    <w:sectPr>
      <w:headerReference r:id="rId4" w:type="default"/>
      <w:footerReference r:id="rId5" w:type="default"/>
      <w:pgSz w:w="11906" w:h="16838"/>
      <w:pgMar w:top="1587" w:right="1786" w:bottom="1644" w:left="1587" w:header="851" w:footer="992" w:gutter="0"/>
      <w:pgNumType w:fmt="decimal"/>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方正小标宋简体">
    <w:altName w:val="汉仪书宋二KW"/>
    <w:panose1 w:val="02000000000000000000"/>
    <w:charset w:val="86"/>
    <w:family w:val="auto"/>
    <w:pitch w:val="default"/>
    <w:sig w:usb0="00000000" w:usb1="00000000" w:usb2="00000012" w:usb3="00000000" w:csb0="00040001" w:csb1="00000000"/>
  </w:font>
  <w:font w:name="楷体">
    <w:altName w:val="汉仪楷体KW"/>
    <w:panose1 w:val="02010609060101010101"/>
    <w:charset w:val="86"/>
    <w:family w:val="auto"/>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仿宋_GB2312">
    <w:altName w:val="汉仪仿宋KW"/>
    <w:panose1 w:val="00000000000000000000"/>
    <w:charset w:val="00"/>
    <w:family w:val="auto"/>
    <w:pitch w:val="default"/>
    <w:sig w:usb0="00000000" w:usb1="00000000" w:usb2="00000000" w:usb3="00000000" w:csb0="00000000" w:csb1="00000000"/>
  </w:font>
  <w:font w:name="汉仪仿宋KW">
    <w:panose1 w:val="00020600040101010101"/>
    <w:charset w:val="86"/>
    <w:family w:val="auto"/>
    <w:pitch w:val="default"/>
    <w:sig w:usb0="A00002BF" w:usb1="18EF7CFA" w:usb2="00000016" w:usb3="00000000" w:csb0="00040000" w:csb1="00000000"/>
  </w:font>
  <w:font w:name="仿宋">
    <w:altName w:val="汉仪仿宋KW"/>
    <w:panose1 w:val="02010609060101010101"/>
    <w:charset w:val="86"/>
    <w:family w:val="auto"/>
    <w:pitch w:val="default"/>
    <w:sig w:usb0="00000000" w:usb1="00000000" w:usb2="00000016" w:usb3="00000000" w:csb0="00040001" w:csb1="00000000"/>
  </w:font>
  <w:font w:name="楷体_GB2312">
    <w:altName w:val="汉仪楷体KW"/>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&#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LqMOCsyAgAAYQQAAA4AAAAAAAAAAQAgAAAA&#10;NQEAAGRycy9lMm9Eb2MueG1sUEsFBgAAAAAGAAYAWQEAANkFAAAAAA==&#10;">
              <v:fill on="f" focussize="0,0"/>
              <v:stroke on="f" weight="0.5pt"/>
              <v:imagedata o:title=""/>
              <o:lock v:ext="edit" aspectratio="f"/>
              <v:textbox inset="0mm,0mm,0mm,0mm" style="mso-fit-shape-to-text:t;">
                <w:txbxContent>
                  <w:p>
                    <w:pPr>
                      <w:pStyle w:val="11"/>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4">
    <w:p>
      <w:r>
        <w:separator/>
      </w:r>
    </w:p>
  </w:footnote>
  <w:footnote w:type="continuationSeparator" w:id="35">
    <w:p>
      <w:r>
        <w:continuationSeparator/>
      </w:r>
    </w:p>
  </w:footnote>
  <w:footnote w:id="0">
    <w:p>
      <w:pPr>
        <w:pStyle w:val="13"/>
        <w:snapToGrid w:val="0"/>
        <w:rPr>
          <w:rFonts w:hint="eastAsia" w:ascii="Times New Roman" w:hAnsi="Times New Roman" w:eastAsia="仿宋" w:cs="Times New Roman"/>
          <w:lang w:val="en-US" w:eastAsia="zh-CN"/>
        </w:rPr>
      </w:pPr>
      <w:r>
        <w:rPr>
          <w:rStyle w:val="20"/>
        </w:rPr>
        <w:footnoteRef/>
      </w:r>
      <w:r>
        <w:t xml:space="preserve"> </w:t>
      </w:r>
      <w:r>
        <w:rPr>
          <w:rFonts w:hint="eastAsia" w:ascii="仿宋" w:hAnsi="仿宋" w:eastAsia="仿宋" w:cs="仿宋"/>
          <w:lang w:val="en-US" w:eastAsia="zh-CN"/>
        </w:rPr>
        <w:t>参考来源：</w:t>
      </w:r>
      <w:r>
        <w:rPr>
          <w:rFonts w:hint="default" w:ascii="Times New Roman" w:hAnsi="Times New Roman" w:eastAsia="仿宋" w:cs="Times New Roman"/>
          <w:lang w:val="en-US" w:eastAsia="zh-CN"/>
        </w:rPr>
        <w:fldChar w:fldCharType="begin"/>
      </w:r>
      <w:r>
        <w:rPr>
          <w:rFonts w:hint="default" w:ascii="Times New Roman" w:hAnsi="Times New Roman" w:eastAsia="仿宋" w:cs="Times New Roman"/>
          <w:lang w:val="en-US" w:eastAsia="zh-CN"/>
        </w:rPr>
        <w:instrText xml:space="preserve"> HYPERLINK "https://www.gov.cn/zhengce/zhengceku/202306/content_6887734.htm" </w:instrText>
      </w:r>
      <w:r>
        <w:rPr>
          <w:rFonts w:hint="default" w:ascii="Times New Roman" w:hAnsi="Times New Roman" w:eastAsia="仿宋" w:cs="Times New Roman"/>
          <w:lang w:val="en-US" w:eastAsia="zh-CN"/>
        </w:rPr>
        <w:fldChar w:fldCharType="separate"/>
      </w:r>
      <w:r>
        <w:rPr>
          <w:rFonts w:hint="default" w:ascii="Times New Roman" w:hAnsi="Times New Roman" w:eastAsia="仿宋" w:cs="Times New Roman"/>
          <w:lang w:val="en-US" w:eastAsia="zh-CN"/>
        </w:rPr>
        <w:t>https://www.gov.cn/zhengce/zhengceku/202306/content_6887734.htm</w:t>
      </w:r>
      <w:r>
        <w:rPr>
          <w:rFonts w:hint="default" w:ascii="Times New Roman" w:hAnsi="Times New Roman" w:eastAsia="仿宋" w:cs="Times New Roman"/>
          <w:lang w:val="en-US" w:eastAsia="zh-CN"/>
        </w:rPr>
        <w:fldChar w:fldCharType="end"/>
      </w:r>
    </w:p>
    <w:p>
      <w:pPr>
        <w:pStyle w:val="13"/>
        <w:snapToGrid w:val="0"/>
        <w:rPr>
          <w:rFonts w:hint="eastAsia" w:ascii="仿宋" w:hAnsi="仿宋" w:eastAsia="仿宋" w:cs="仿宋"/>
          <w:lang w:val="en-US" w:eastAsia="zh-CN"/>
        </w:rPr>
      </w:pPr>
    </w:p>
  </w:footnote>
  <w:footnote w:id="1">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https://www.gov.cn/gongbao/2024/issue_11246/202403/content_6941843.html</w:t>
      </w:r>
    </w:p>
  </w:footnote>
  <w:footnote w:id="2">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https://www.gov.cn/zhengce/zhengceku/202404/content_6945069.htm</w:t>
      </w:r>
    </w:p>
  </w:footnote>
  <w:footnote w:id="3">
    <w:p>
      <w:pPr>
        <w:pStyle w:val="13"/>
        <w:snapToGrid w:val="0"/>
        <w:rPr>
          <w:rFonts w:hint="default" w:ascii="Times New Roman" w:hAnsi="Times New Roman" w:eastAsia="仿宋" w:cs="Times New Roman"/>
          <w:lang w:val="en-US"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val="en-US" w:eastAsia="zh-CN"/>
        </w:rPr>
        <w:fldChar w:fldCharType="begin"/>
      </w:r>
      <w:r>
        <w:rPr>
          <w:rFonts w:hint="default" w:ascii="Times New Roman" w:hAnsi="Times New Roman" w:eastAsia="仿宋" w:cs="Times New Roman"/>
          <w:lang w:val="en-US" w:eastAsia="zh-CN"/>
        </w:rPr>
        <w:instrText xml:space="preserve"> HYPERLINK "https://www.gov.cn/zhengce/zhengceku/202404/content_6947864.htm" </w:instrText>
      </w:r>
      <w:r>
        <w:rPr>
          <w:rFonts w:hint="default" w:ascii="Times New Roman" w:hAnsi="Times New Roman" w:eastAsia="仿宋" w:cs="Times New Roman"/>
          <w:lang w:val="en-US" w:eastAsia="zh-CN"/>
        </w:rPr>
        <w:fldChar w:fldCharType="separate"/>
      </w:r>
      <w:r>
        <w:rPr>
          <w:rFonts w:hint="default" w:ascii="Times New Roman" w:hAnsi="Times New Roman" w:eastAsia="仿宋" w:cs="Times New Roman"/>
          <w:lang w:val="en-US" w:eastAsia="zh-CN"/>
        </w:rPr>
        <w:t>https://www.gov.cn/zhengce/zhengceku/202404/content_6947864.htm</w:t>
      </w:r>
      <w:r>
        <w:rPr>
          <w:rFonts w:hint="default" w:ascii="Times New Roman" w:hAnsi="Times New Roman" w:eastAsia="仿宋" w:cs="Times New Roman"/>
          <w:lang w:val="en-US" w:eastAsia="zh-CN"/>
        </w:rPr>
        <w:fldChar w:fldCharType="end"/>
      </w:r>
    </w:p>
  </w:footnote>
  <w:footnote w:id="4">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https://www.beijing.gov.cn/zhengce/zhengcefagui/202406/t20240603_3703351.html</w:t>
      </w:r>
    </w:p>
  </w:footnote>
  <w:footnote w:id="5">
    <w:p>
      <w:pPr>
        <w:pStyle w:val="13"/>
        <w:snapToGrid w:val="0"/>
        <w:rPr>
          <w:rFonts w:hint="default" w:ascii="Times New Roman" w:hAnsi="Times New Roman" w:eastAsia="仿宋" w:cs="Times New Roman"/>
          <w:lang w:val="en-US"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val="en-US" w:eastAsia="zh-CN"/>
        </w:rPr>
        <w:fldChar w:fldCharType="begin"/>
      </w:r>
      <w:r>
        <w:rPr>
          <w:rFonts w:hint="default" w:ascii="Times New Roman" w:hAnsi="Times New Roman" w:eastAsia="仿宋" w:cs="Times New Roman"/>
          <w:lang w:val="en-US" w:eastAsia="zh-CN"/>
        </w:rPr>
        <w:instrText xml:space="preserve"> HYPERLINK "https://www.shanghai.gov.cn/nw12344/20240419/28e9a49891ec4d5f88b7f6a4ed60fa75.html" </w:instrText>
      </w:r>
      <w:r>
        <w:rPr>
          <w:rFonts w:hint="default" w:ascii="Times New Roman" w:hAnsi="Times New Roman" w:eastAsia="仿宋" w:cs="Times New Roman"/>
          <w:lang w:val="en-US" w:eastAsia="zh-CN"/>
        </w:rPr>
        <w:fldChar w:fldCharType="separate"/>
      </w:r>
      <w:r>
        <w:rPr>
          <w:rFonts w:hint="default" w:ascii="Times New Roman" w:hAnsi="Times New Roman" w:eastAsia="仿宋" w:cs="Times New Roman"/>
          <w:lang w:val="en-US" w:eastAsia="zh-CN"/>
        </w:rPr>
        <w:t>https://www.shanghai.gov.cn/nw12344/20240419/28e9a49891ec4d5f88b7f6a4ed60fa75.html</w:t>
      </w:r>
      <w:r>
        <w:rPr>
          <w:rFonts w:hint="default" w:ascii="Times New Roman" w:hAnsi="Times New Roman" w:eastAsia="仿宋" w:cs="Times New Roman"/>
          <w:lang w:val="en-US" w:eastAsia="zh-CN"/>
        </w:rPr>
        <w:fldChar w:fldCharType="end"/>
      </w:r>
    </w:p>
  </w:footnote>
  <w:footnote w:id="6">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http://www.gxzf.gov.cn/html/zfwj/zzqrmzfbgtwj_34828/2022ngzbwj_205637/t18209340.shtml</w:t>
      </w:r>
    </w:p>
  </w:footnote>
  <w:footnote w:id="7">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http://wap.cq.gov.cn/zwgk/zfxxgkml/szfwj/qtgw/202404/t20240403_13104551.html</w:t>
      </w:r>
    </w:p>
  </w:footnote>
  <w:footnote w:id="8">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https://swt.hunan.gov.cn/swt/lwlb/202404/t20240412_33276247.html</w:t>
      </w:r>
    </w:p>
  </w:footnote>
  <w:footnote w:id="9">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https://www.suzhou.gov.cn/szsrmzf/szyw/202404/587f75a50e4240e0aebc718259014bbc.shtml</w:t>
      </w:r>
    </w:p>
  </w:footnote>
  <w:footnote w:id="10">
    <w:p>
      <w:pPr>
        <w:pStyle w:val="13"/>
        <w:snapToGrid w:val="0"/>
        <w:rPr>
          <w:rFonts w:hint="default" w:ascii="Times New Roman" w:hAnsi="Times New Roman" w:eastAsia="仿宋" w:cs="Times New Roman"/>
          <w:lang w:eastAsia="zh-CN"/>
        </w:rPr>
      </w:pPr>
      <w:r>
        <w:rPr>
          <w:rStyle w:val="20"/>
        </w:rPr>
        <w:footnoteRef/>
      </w:r>
      <w: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eastAsia="zh-CN"/>
        </w:rPr>
        <w:t>https://www.tj.gov.cn/zwgk/szfwj/tjsrmzf/202404/t20240424_6609426.html</w:t>
      </w:r>
    </w:p>
  </w:footnote>
  <w:footnote w:id="11">
    <w:p>
      <w:pPr>
        <w:pStyle w:val="13"/>
        <w:snapToGrid w:val="0"/>
        <w:rPr>
          <w:rFonts w:hint="default" w:ascii="Times New Roman" w:hAnsi="Times New Roman" w:eastAsia="仿宋" w:cs="Times New Roman"/>
          <w:lang w:eastAsia="zh-CN"/>
        </w:rPr>
      </w:pPr>
      <w:r>
        <w:rPr>
          <w:rStyle w:val="20"/>
          <w:rFonts w:hint="default" w:ascii="Times New Roman" w:hAnsi="Times New Roman" w:eastAsia="仿宋" w:cs="Times New Roman"/>
        </w:rPr>
        <w:footnoteRef/>
      </w:r>
      <w:r>
        <w:rPr>
          <w:rFonts w:hint="default" w:ascii="Times New Roman" w:hAnsi="Times New Roman" w:eastAsia="仿宋" w:cs="Times New Roman"/>
        </w:rP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val="en-US" w:eastAsia="zh-CN"/>
        </w:rPr>
        <w:fldChar w:fldCharType="begin"/>
      </w:r>
      <w:r>
        <w:rPr>
          <w:rFonts w:hint="default" w:ascii="Times New Roman" w:hAnsi="Times New Roman" w:eastAsia="仿宋" w:cs="Times New Roman"/>
          <w:lang w:val="en-US" w:eastAsia="zh-CN"/>
        </w:rPr>
        <w:instrText xml:space="preserve"> HYPERLINK "https://evccrnl.com/details/fabbe531-db5b-41f6-8cc2-1af71d50b0fb" </w:instrText>
      </w:r>
      <w:r>
        <w:rPr>
          <w:rFonts w:hint="default" w:ascii="Times New Roman" w:hAnsi="Times New Roman" w:eastAsia="仿宋" w:cs="Times New Roman"/>
          <w:lang w:val="en-US" w:eastAsia="zh-CN"/>
        </w:rPr>
        <w:fldChar w:fldCharType="separate"/>
      </w:r>
      <w:r>
        <w:rPr>
          <w:rFonts w:hint="default" w:ascii="Times New Roman" w:hAnsi="Times New Roman" w:eastAsia="仿宋" w:cs="Times New Roman"/>
          <w:lang w:val="en-US" w:eastAsia="zh-CN"/>
        </w:rPr>
        <w:t>https://evccrnl.com/details/fabbe531-db5b-41f6-8cc2-1af71d50b0fb</w:t>
      </w:r>
      <w:r>
        <w:rPr>
          <w:rFonts w:hint="default" w:ascii="Times New Roman" w:hAnsi="Times New Roman" w:eastAsia="仿宋" w:cs="Times New Roman"/>
          <w:lang w:val="en-US" w:eastAsia="zh-CN"/>
        </w:rPr>
        <w:fldChar w:fldCharType="end"/>
      </w:r>
    </w:p>
  </w:footnote>
  <w:footnote w:id="12">
    <w:p>
      <w:pPr>
        <w:pStyle w:val="13"/>
        <w:snapToGrid w:val="0"/>
        <w:rPr>
          <w:rFonts w:hint="default" w:ascii="Times New Roman" w:hAnsi="Times New Roman" w:eastAsia="仿宋" w:cs="Times New Roman"/>
          <w:lang w:eastAsia="zh-CN"/>
        </w:rPr>
      </w:pPr>
      <w:r>
        <w:rPr>
          <w:rStyle w:val="20"/>
          <w:rFonts w:hint="default" w:ascii="Times New Roman" w:hAnsi="Times New Roman" w:eastAsia="仿宋" w:cs="Times New Roman"/>
          <w:lang w:eastAsia="zh-CN"/>
        </w:rPr>
        <w:footnoteRef/>
      </w:r>
      <w:r>
        <w:rPr>
          <w:rStyle w:val="20"/>
          <w:rFonts w:hint="default" w:ascii="Times New Roman" w:hAnsi="Times New Roman" w:eastAsia="仿宋" w:cs="Times New Roman"/>
          <w:lang w:eastAsia="zh-CN"/>
        </w:rP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val="en-US" w:eastAsia="zh-CN"/>
        </w:rPr>
        <w:fldChar w:fldCharType="begin"/>
      </w:r>
      <w:r>
        <w:rPr>
          <w:rFonts w:hint="default" w:ascii="Times New Roman" w:hAnsi="Times New Roman" w:eastAsia="仿宋" w:cs="Times New Roman"/>
          <w:lang w:val="en-US" w:eastAsia="zh-CN"/>
        </w:rPr>
        <w:instrText xml:space="preserve"> HYPERLINK "https://xueqiu.com/5289018436/285337873" </w:instrText>
      </w:r>
      <w:r>
        <w:rPr>
          <w:rFonts w:hint="default" w:ascii="Times New Roman" w:hAnsi="Times New Roman" w:eastAsia="仿宋" w:cs="Times New Roman"/>
          <w:lang w:val="en-US" w:eastAsia="zh-CN"/>
        </w:rPr>
        <w:fldChar w:fldCharType="separate"/>
      </w:r>
      <w:r>
        <w:rPr>
          <w:rFonts w:hint="default" w:ascii="Times New Roman" w:hAnsi="Times New Roman" w:eastAsia="仿宋" w:cs="Times New Roman"/>
          <w:lang w:val="en-US" w:eastAsia="zh-CN"/>
        </w:rPr>
        <w:t>https://xueqiu.com/5289018436/285337873</w:t>
      </w:r>
      <w:r>
        <w:rPr>
          <w:rFonts w:hint="default" w:ascii="Times New Roman" w:hAnsi="Times New Roman" w:eastAsia="仿宋" w:cs="Times New Roman"/>
          <w:lang w:val="en-US" w:eastAsia="zh-CN"/>
        </w:rPr>
        <w:fldChar w:fldCharType="end"/>
      </w:r>
    </w:p>
  </w:footnote>
  <w:footnote w:id="13">
    <w:p>
      <w:pPr>
        <w:pStyle w:val="13"/>
        <w:snapToGrid w:val="0"/>
        <w:rPr>
          <w:rFonts w:hint="default" w:ascii="Times New Roman" w:hAnsi="Times New Roman" w:eastAsia="仿宋" w:cs="Times New Roman"/>
          <w:lang w:val="en-US" w:eastAsia="zh-CN"/>
        </w:rPr>
      </w:pPr>
      <w:r>
        <w:rPr>
          <w:rStyle w:val="20"/>
          <w:rFonts w:hint="default" w:ascii="Times New Roman" w:hAnsi="Times New Roman" w:eastAsia="仿宋" w:cs="Times New Roman"/>
          <w:lang w:eastAsia="zh-CN"/>
        </w:rPr>
        <w:footnoteRef/>
      </w:r>
      <w:r>
        <w:rPr>
          <w:rFonts w:hint="default" w:ascii="Times New Roman" w:hAnsi="Times New Roman" w:eastAsia="仿宋" w:cs="Times New Roman"/>
          <w:lang w:eastAsia="zh-CN"/>
        </w:rPr>
        <w:t xml:space="preserve"> </w:t>
      </w:r>
      <w:r>
        <w:rPr>
          <w:rFonts w:hint="default" w:ascii="Times New Roman" w:hAnsi="Times New Roman" w:eastAsia="仿宋" w:cs="Times New Roman"/>
          <w:lang w:val="en-US" w:eastAsia="zh-CN"/>
        </w:rPr>
        <w:t>参考来源：</w:t>
      </w:r>
      <w:r>
        <w:rPr>
          <w:rFonts w:hint="default" w:ascii="Times New Roman" w:hAnsi="Times New Roman" w:eastAsia="仿宋" w:cs="Times New Roman"/>
          <w:lang w:val="en-US" w:eastAsia="zh-CN"/>
        </w:rPr>
        <w:fldChar w:fldCharType="begin"/>
      </w:r>
      <w:r>
        <w:rPr>
          <w:rFonts w:hint="default" w:ascii="Times New Roman" w:hAnsi="Times New Roman" w:eastAsia="仿宋" w:cs="Times New Roman"/>
          <w:lang w:val="en-US" w:eastAsia="zh-CN"/>
        </w:rPr>
        <w:instrText xml:space="preserve"> HYPERLINK "https://www.thepaper.cn/newsDetail_forward_25528816" </w:instrText>
      </w:r>
      <w:r>
        <w:rPr>
          <w:rFonts w:hint="default" w:ascii="Times New Roman" w:hAnsi="Times New Roman" w:eastAsia="仿宋" w:cs="Times New Roman"/>
          <w:lang w:val="en-US" w:eastAsia="zh-CN"/>
        </w:rPr>
        <w:fldChar w:fldCharType="separate"/>
      </w:r>
      <w:r>
        <w:rPr>
          <w:rFonts w:hint="default" w:ascii="Times New Roman" w:hAnsi="Times New Roman" w:eastAsia="仿宋" w:cs="Times New Roman"/>
          <w:lang w:val="en-US" w:eastAsia="zh-CN"/>
        </w:rPr>
        <w:t>https://www.thepaper.cn/newsDetail_forward_25528816</w:t>
      </w:r>
      <w:r>
        <w:rPr>
          <w:rFonts w:hint="default" w:ascii="Times New Roman" w:hAnsi="Times New Roman" w:eastAsia="仿宋" w:cs="Times New Roman"/>
          <w:lang w:val="en-US" w:eastAsia="zh-CN"/>
        </w:rPr>
        <w:fldChar w:fldCharType="end"/>
      </w:r>
      <w:r>
        <w:rPr>
          <w:rFonts w:hint="eastAsia" w:ascii="Times New Roman" w:hAnsi="Times New Roman" w:eastAsia="仿宋" w:cs="Times New Roman"/>
          <w:lang w:val="en-US" w:eastAsia="zh-CN"/>
        </w:rPr>
        <w:t>，</w:t>
      </w:r>
    </w:p>
    <w:p>
      <w:pPr>
        <w:pStyle w:val="13"/>
        <w:snapToGrid w:val="0"/>
        <w:rPr>
          <w:rFonts w:hint="default" w:ascii="Times New Roman" w:hAnsi="Times New Roman" w:eastAsia="仿宋" w:cs="Times New Roman"/>
          <w:lang w:val="en-US" w:eastAsia="zh-CN"/>
        </w:rPr>
      </w:pPr>
      <w:r>
        <w:rPr>
          <w:rFonts w:hint="default" w:ascii="Times New Roman" w:hAnsi="Times New Roman" w:eastAsia="仿宋" w:cs="Times New Roman"/>
          <w:lang w:eastAsia="zh-CN"/>
        </w:rPr>
        <w:t xml:space="preserve">            </w:t>
      </w:r>
      <w:r>
        <w:rPr>
          <w:rFonts w:hint="default" w:ascii="Times New Roman" w:hAnsi="Times New Roman" w:eastAsia="仿宋" w:cs="Times New Roman"/>
          <w:lang w:val="en-US" w:eastAsia="zh-CN"/>
        </w:rPr>
        <w:fldChar w:fldCharType="begin"/>
      </w:r>
      <w:r>
        <w:rPr>
          <w:rFonts w:hint="default" w:ascii="Times New Roman" w:hAnsi="Times New Roman" w:eastAsia="仿宋" w:cs="Times New Roman"/>
          <w:lang w:val="en-US" w:eastAsia="zh-CN"/>
        </w:rPr>
        <w:instrText xml:space="preserve"> HYPERLINK "https://www.cpnn.com.cn/news/gj/202403/t20240328_1688911.html" </w:instrText>
      </w:r>
      <w:r>
        <w:rPr>
          <w:rFonts w:hint="default" w:ascii="Times New Roman" w:hAnsi="Times New Roman" w:eastAsia="仿宋" w:cs="Times New Roman"/>
          <w:lang w:val="en-US" w:eastAsia="zh-CN"/>
        </w:rPr>
        <w:fldChar w:fldCharType="separate"/>
      </w:r>
      <w:r>
        <w:rPr>
          <w:rFonts w:hint="default" w:ascii="Times New Roman" w:hAnsi="Times New Roman" w:eastAsia="仿宋" w:cs="Times New Roman"/>
          <w:lang w:val="en-US" w:eastAsia="zh-CN"/>
        </w:rPr>
        <w:t>https://www.cpnn.com.cn/news/gj/202403/t20240328_1688911.html</w:t>
      </w:r>
      <w:r>
        <w:rPr>
          <w:rFonts w:hint="default" w:ascii="Times New Roman" w:hAnsi="Times New Roman" w:eastAsia="仿宋" w:cs="Times New Roman"/>
          <w:lang w:val="en-US" w:eastAsia="zh-CN"/>
        </w:rPr>
        <w:fldChar w:fldCharType="end"/>
      </w:r>
    </w:p>
  </w:footnote>
  <w:footnote w:id="14">
    <w:p>
      <w:pPr>
        <w:pStyle w:val="13"/>
        <w:snapToGrid w:val="0"/>
        <w:rPr>
          <w:rFonts w:hint="eastAsia" w:ascii="Times New Roman" w:hAnsi="Times New Roman" w:eastAsia="仿宋" w:cs="Times New Roman"/>
          <w:lang w:val="en-US" w:eastAsia="zh-CN"/>
        </w:rPr>
      </w:pPr>
      <w:r>
        <w:rPr>
          <w:rStyle w:val="20"/>
          <w:rFonts w:hint="default" w:ascii="Times New Roman" w:hAnsi="Times New Roman" w:eastAsia="仿宋" w:cs="Times New Roman"/>
          <w:lang w:eastAsia="zh-CN"/>
        </w:rPr>
        <w:footnoteRef/>
      </w:r>
      <w:r>
        <w:rPr>
          <w:rFonts w:hint="default" w:ascii="Times New Roman" w:hAnsi="Times New Roman" w:eastAsia="仿宋" w:cs="Times New Roman"/>
          <w:lang w:eastAsia="zh-CN"/>
        </w:rPr>
        <w:t xml:space="preserve"> </w:t>
      </w:r>
      <w:r>
        <w:rPr>
          <w:rFonts w:hint="default" w:ascii="Times New Roman" w:hAnsi="Times New Roman" w:eastAsia="仿宋" w:cs="Times New Roman"/>
          <w:lang w:val="en-US" w:eastAsia="zh-CN"/>
        </w:rPr>
        <w:t>参考来源：</w:t>
      </w:r>
      <w:r>
        <w:rPr>
          <w:rFonts w:hint="eastAsia" w:ascii="Times New Roman" w:hAnsi="Times New Roman" w:eastAsia="仿宋" w:cs="Times New Roman"/>
          <w:lang w:val="en-US" w:eastAsia="zh-CN"/>
        </w:rPr>
        <w:fldChar w:fldCharType="begin"/>
      </w:r>
      <w:r>
        <w:rPr>
          <w:rFonts w:hint="eastAsia" w:ascii="Times New Roman" w:hAnsi="Times New Roman" w:eastAsia="仿宋" w:cs="Times New Roman"/>
          <w:lang w:val="en-US" w:eastAsia="zh-CN"/>
        </w:rPr>
        <w:instrText xml:space="preserve"> HYPERLINK "https://www.dongchedi.com/article/7272555290036814336，" </w:instrText>
      </w:r>
      <w:r>
        <w:rPr>
          <w:rFonts w:hint="eastAsia" w:ascii="Times New Roman" w:hAnsi="Times New Roman" w:eastAsia="仿宋" w:cs="Times New Roman"/>
          <w:lang w:val="en-US" w:eastAsia="zh-CN"/>
        </w:rPr>
        <w:fldChar w:fldCharType="separate"/>
      </w:r>
      <w:r>
        <w:rPr>
          <w:rFonts w:hint="eastAsia" w:ascii="Times New Roman" w:hAnsi="Times New Roman" w:eastAsia="仿宋" w:cs="Times New Roman"/>
          <w:lang w:val="en-US" w:eastAsia="zh-CN"/>
        </w:rPr>
        <w:t>https://www.dongchedi.com/article/7272555290036814336，</w:t>
      </w:r>
      <w:r>
        <w:rPr>
          <w:rFonts w:hint="eastAsia" w:ascii="Times New Roman" w:hAnsi="Times New Roman" w:eastAsia="仿宋" w:cs="Times New Roman"/>
          <w:lang w:val="en-US" w:eastAsia="zh-CN"/>
        </w:rPr>
        <w:fldChar w:fldCharType="end"/>
      </w:r>
    </w:p>
    <w:p>
      <w:pPr>
        <w:pStyle w:val="13"/>
        <w:snapToGrid w:val="0"/>
        <w:rPr>
          <w:rFonts w:hint="eastAsia" w:ascii="Times New Roman" w:hAnsi="Times New Roman" w:eastAsia="仿宋" w:cs="Times New Roman"/>
          <w:lang w:val="en-US" w:eastAsia="zh-CN"/>
        </w:rPr>
      </w:pPr>
      <w:r>
        <w:rPr>
          <w:rFonts w:hint="default" w:ascii="Times New Roman" w:hAnsi="Times New Roman" w:eastAsia="仿宋" w:cs="Times New Roman"/>
          <w:lang w:eastAsia="zh-CN"/>
        </w:rPr>
        <w:t xml:space="preserve">            </w:t>
      </w:r>
      <w:r>
        <w:rPr>
          <w:rFonts w:hint="eastAsia" w:ascii="Times New Roman" w:hAnsi="Times New Roman" w:eastAsia="仿宋" w:cs="Times New Roman"/>
          <w:lang w:val="en-US" w:eastAsia="zh-CN"/>
        </w:rPr>
        <w:fldChar w:fldCharType="begin"/>
      </w:r>
      <w:r>
        <w:rPr>
          <w:rFonts w:hint="eastAsia" w:ascii="Times New Roman" w:hAnsi="Times New Roman" w:eastAsia="仿宋" w:cs="Times New Roman"/>
          <w:lang w:val="en-US" w:eastAsia="zh-CN"/>
        </w:rPr>
        <w:instrText xml:space="preserve"> HYPERLINK "http://chinawto.mofcom.gov.cn/article/jsbl/zszc/202309/20230903438665.shtml" </w:instrText>
      </w:r>
      <w:r>
        <w:rPr>
          <w:rFonts w:hint="eastAsia" w:ascii="Times New Roman" w:hAnsi="Times New Roman" w:eastAsia="仿宋" w:cs="Times New Roman"/>
          <w:lang w:val="en-US" w:eastAsia="zh-CN"/>
        </w:rPr>
        <w:fldChar w:fldCharType="separate"/>
      </w:r>
      <w:r>
        <w:rPr>
          <w:rFonts w:hint="eastAsia" w:ascii="Times New Roman" w:hAnsi="Times New Roman" w:eastAsia="仿宋" w:cs="Times New Roman"/>
          <w:lang w:val="en-US" w:eastAsia="zh-CN"/>
        </w:rPr>
        <w:t>http://chinawto.mofcom.gov.cn/article/jsbl/zszc/202309/20230903438665.shtml</w:t>
      </w:r>
      <w:r>
        <w:rPr>
          <w:rFonts w:hint="eastAsia" w:ascii="Times New Roman" w:hAnsi="Times New Roman" w:eastAsia="仿宋" w:cs="Times New Roman"/>
          <w:lang w:val="en-US" w:eastAsia="zh-CN"/>
        </w:rPr>
        <w:fldChar w:fldCharType="end"/>
      </w:r>
    </w:p>
  </w:footnote>
  <w:footnote w:id="15">
    <w:p>
      <w:pPr>
        <w:keepNext w:val="0"/>
        <w:keepLines w:val="0"/>
        <w:pageBreakBefore w:val="0"/>
        <w:widowControl w:val="0"/>
        <w:suppressLineNumbers w:val="0"/>
        <w:kinsoku/>
        <w:wordWrap/>
        <w:overflowPunct/>
        <w:topLinePunct w:val="0"/>
        <w:autoSpaceDE w:val="0"/>
        <w:autoSpaceDN/>
        <w:bidi w:val="0"/>
        <w:adjustRightInd/>
        <w:spacing w:before="0" w:beforeAutospacing="0" w:after="0" w:afterAutospacing="0" w:line="240" w:lineRule="auto"/>
        <w:ind w:left="0" w:right="0"/>
        <w:jc w:val="both"/>
        <w:textAlignment w:val="auto"/>
        <w:rPr>
          <w:rFonts w:hint="default" w:eastAsia="微软雅黑"/>
          <w:lang w:val="en-US" w:eastAsia="zh-CN"/>
        </w:rPr>
      </w:pPr>
      <w:r>
        <w:rPr>
          <w:rStyle w:val="20"/>
        </w:rPr>
        <w:footnoteRef/>
      </w:r>
      <w:r>
        <w:t xml:space="preserve"> </w:t>
      </w:r>
      <w:r>
        <w:rPr>
          <w:rFonts w:hint="default" w:ascii="Times New Roman" w:hAnsi="Times New Roman" w:eastAsia="仿宋" w:cs="Times New Roman"/>
          <w:sz w:val="18"/>
          <w:szCs w:val="18"/>
          <w:lang w:val="en-US" w:eastAsia="zh-CN"/>
        </w:rPr>
        <w:t>数据来源：</w:t>
      </w:r>
      <w:r>
        <w:rPr>
          <w:rFonts w:hint="default" w:ascii="Times New Roman" w:hAnsi="Times New Roman" w:eastAsia="仿宋" w:cs="Times New Roman"/>
          <w:kern w:val="2"/>
          <w:sz w:val="18"/>
          <w:szCs w:val="18"/>
          <w:lang w:val="en-US" w:eastAsia="zh-CN" w:bidi="ar"/>
        </w:rPr>
        <w:t>国研网，</w:t>
      </w:r>
      <w:r>
        <w:rPr>
          <w:rFonts w:hint="eastAsia" w:ascii="Times New Roman" w:hAnsi="Times New Roman" w:eastAsia="仿宋" w:cs="Times New Roman"/>
          <w:kern w:val="2"/>
          <w:sz w:val="18"/>
          <w:szCs w:val="18"/>
          <w:lang w:val="en-US" w:eastAsia="zh-CN" w:bidi="ar"/>
        </w:rPr>
        <w:t>数据口径为</w:t>
      </w:r>
      <w:r>
        <w:rPr>
          <w:rFonts w:hint="default" w:ascii="Times New Roman" w:hAnsi="Times New Roman" w:eastAsia="仿宋" w:cs="Times New Roman"/>
          <w:kern w:val="2"/>
          <w:sz w:val="18"/>
          <w:szCs w:val="18"/>
          <w:lang w:val="en-US" w:eastAsia="zh-CN" w:bidi="ar"/>
        </w:rPr>
        <w:t>批发量</w:t>
      </w:r>
    </w:p>
  </w:footnote>
  <w:footnote w:id="16">
    <w:p>
      <w:pPr>
        <w:pStyle w:val="13"/>
        <w:keepNext w:val="0"/>
        <w:keepLines w:val="0"/>
        <w:pageBreakBefore w:val="0"/>
        <w:widowControl w:val="0"/>
        <w:kinsoku/>
        <w:wordWrap/>
        <w:overflowPunct/>
        <w:topLinePunct w:val="0"/>
        <w:autoSpaceDN/>
        <w:bidi w:val="0"/>
        <w:adjustRightInd/>
        <w:snapToGrid w:val="0"/>
        <w:spacing w:line="240" w:lineRule="auto"/>
        <w:textAlignment w:val="auto"/>
      </w:pPr>
      <w:r>
        <w:rPr>
          <w:rStyle w:val="20"/>
        </w:rPr>
        <w:footnoteRef/>
      </w:r>
      <w:r>
        <w:t xml:space="preserve"> </w:t>
      </w:r>
      <w:r>
        <w:rPr>
          <w:rFonts w:hint="default" w:ascii="Times New Roman" w:hAnsi="Times New Roman" w:eastAsia="仿宋" w:cs="Times New Roman"/>
          <w:kern w:val="2"/>
          <w:sz w:val="18"/>
          <w:szCs w:val="18"/>
          <w:lang w:val="en-US" w:eastAsia="zh-CN" w:bidi="ar"/>
        </w:rPr>
        <w:t>指中国一汽、兵器装备集团所属长安汽车、东风公司3家整车央企，其中东风公司销量包含赛力斯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BE838A"/>
    <w:multiLevelType w:val="singleLevel"/>
    <w:tmpl w:val="C5BE838A"/>
    <w:lvl w:ilvl="0" w:tentative="0">
      <w:start w:val="2"/>
      <w:numFmt w:val="chineseCounting"/>
      <w:suff w:val="nothing"/>
      <w:lvlText w:val="%1、"/>
      <w:lvlJc w:val="left"/>
      <w:rPr>
        <w:rFonts w:hint="eastAsia"/>
      </w:rPr>
    </w:lvl>
  </w:abstractNum>
  <w:abstractNum w:abstractNumId="1">
    <w:nsid w:val="E7BEF69B"/>
    <w:multiLevelType w:val="singleLevel"/>
    <w:tmpl w:val="E7BEF69B"/>
    <w:lvl w:ilvl="0" w:tentative="0">
      <w:start w:val="2"/>
      <w:numFmt w:val="decimal"/>
      <w:suff w:val="space"/>
      <w:lvlText w:val="%1."/>
      <w:lvlJc w:val="left"/>
    </w:lvl>
  </w:abstractNum>
  <w:abstractNum w:abstractNumId="2">
    <w:nsid w:val="ED3DD1FC"/>
    <w:multiLevelType w:val="singleLevel"/>
    <w:tmpl w:val="ED3DD1F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footnotePr>
    <w:footnote w:id="34"/>
    <w:footnote w:id="35"/>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F1B48DE"/>
    <w:rsid w:val="28DA2E89"/>
    <w:rsid w:val="2A4254F9"/>
    <w:rsid w:val="2CFD9EB0"/>
    <w:rsid w:val="2D1F32F4"/>
    <w:rsid w:val="2F5BD351"/>
    <w:rsid w:val="2FADF19C"/>
    <w:rsid w:val="2FE5E332"/>
    <w:rsid w:val="2FF4CA39"/>
    <w:rsid w:val="323B4D81"/>
    <w:rsid w:val="333B8798"/>
    <w:rsid w:val="34B70380"/>
    <w:rsid w:val="357E7178"/>
    <w:rsid w:val="36FE8148"/>
    <w:rsid w:val="397D1A0A"/>
    <w:rsid w:val="3A63685A"/>
    <w:rsid w:val="3AE174A3"/>
    <w:rsid w:val="3B7FF855"/>
    <w:rsid w:val="3BC95F53"/>
    <w:rsid w:val="3D116EAC"/>
    <w:rsid w:val="3DA75119"/>
    <w:rsid w:val="3EABF403"/>
    <w:rsid w:val="3FD6B0DF"/>
    <w:rsid w:val="3FDFEA5C"/>
    <w:rsid w:val="3FFB12A9"/>
    <w:rsid w:val="433B36DA"/>
    <w:rsid w:val="43446334"/>
    <w:rsid w:val="44A84E71"/>
    <w:rsid w:val="477DCE1E"/>
    <w:rsid w:val="4CFDF8F0"/>
    <w:rsid w:val="4EF9132C"/>
    <w:rsid w:val="4FEF7CD2"/>
    <w:rsid w:val="56BFEED1"/>
    <w:rsid w:val="5738069B"/>
    <w:rsid w:val="573E1E21"/>
    <w:rsid w:val="57F76043"/>
    <w:rsid w:val="5A7F940F"/>
    <w:rsid w:val="5B385FC9"/>
    <w:rsid w:val="5B487E91"/>
    <w:rsid w:val="5CF9550F"/>
    <w:rsid w:val="5EFEBDE8"/>
    <w:rsid w:val="67BFCBAE"/>
    <w:rsid w:val="68CA2609"/>
    <w:rsid w:val="68CC1AED"/>
    <w:rsid w:val="69BB0F42"/>
    <w:rsid w:val="6A637494"/>
    <w:rsid w:val="6BBFC55D"/>
    <w:rsid w:val="6BCF62E6"/>
    <w:rsid w:val="6BFFDC52"/>
    <w:rsid w:val="6CD3A16D"/>
    <w:rsid w:val="6CF59E8A"/>
    <w:rsid w:val="6D535020"/>
    <w:rsid w:val="6D771E77"/>
    <w:rsid w:val="6E5F49A6"/>
    <w:rsid w:val="6F359A48"/>
    <w:rsid w:val="6F7F5385"/>
    <w:rsid w:val="6FBD1989"/>
    <w:rsid w:val="6FFF37D2"/>
    <w:rsid w:val="70DE2EF1"/>
    <w:rsid w:val="73ADFEE4"/>
    <w:rsid w:val="73F7264A"/>
    <w:rsid w:val="777DD52A"/>
    <w:rsid w:val="779734F3"/>
    <w:rsid w:val="77DF4A01"/>
    <w:rsid w:val="77FEAB4E"/>
    <w:rsid w:val="77FF96D5"/>
    <w:rsid w:val="7BFE70C0"/>
    <w:rsid w:val="7BFFE445"/>
    <w:rsid w:val="7BFFEC73"/>
    <w:rsid w:val="7C5F4108"/>
    <w:rsid w:val="7DCA299B"/>
    <w:rsid w:val="7DEE8AB0"/>
    <w:rsid w:val="7E1AF9F4"/>
    <w:rsid w:val="7E973BCF"/>
    <w:rsid w:val="7ED7EEB1"/>
    <w:rsid w:val="7EE792CB"/>
    <w:rsid w:val="7EEBE014"/>
    <w:rsid w:val="7EF5F659"/>
    <w:rsid w:val="7F6E9669"/>
    <w:rsid w:val="7F79C282"/>
    <w:rsid w:val="7F7B6CAE"/>
    <w:rsid w:val="7F9B9157"/>
    <w:rsid w:val="7FBF6DD0"/>
    <w:rsid w:val="7FCD17FE"/>
    <w:rsid w:val="7FD7E9A0"/>
    <w:rsid w:val="7FE9FBB2"/>
    <w:rsid w:val="7FEB21F6"/>
    <w:rsid w:val="7FF7155C"/>
    <w:rsid w:val="7FFBB976"/>
    <w:rsid w:val="7FFF99A8"/>
    <w:rsid w:val="83FF00A3"/>
    <w:rsid w:val="8EFF30A4"/>
    <w:rsid w:val="8FF6339E"/>
    <w:rsid w:val="8FFFA67E"/>
    <w:rsid w:val="93FFF0EC"/>
    <w:rsid w:val="9F7E8613"/>
    <w:rsid w:val="9FD94331"/>
    <w:rsid w:val="A73F4CE9"/>
    <w:rsid w:val="A97F623E"/>
    <w:rsid w:val="ABFC0FE0"/>
    <w:rsid w:val="AEEFCF7B"/>
    <w:rsid w:val="AFB766E9"/>
    <w:rsid w:val="AFBF8780"/>
    <w:rsid w:val="AFDD49EF"/>
    <w:rsid w:val="B1FDA82D"/>
    <w:rsid w:val="B2CD5488"/>
    <w:rsid w:val="B35F39BA"/>
    <w:rsid w:val="BB6F8294"/>
    <w:rsid w:val="BEEFCB4B"/>
    <w:rsid w:val="BFE6F841"/>
    <w:rsid w:val="BFEA4559"/>
    <w:rsid w:val="C6BF561F"/>
    <w:rsid w:val="CB757BBE"/>
    <w:rsid w:val="CDDFFBC5"/>
    <w:rsid w:val="CDFFDB03"/>
    <w:rsid w:val="CEA84348"/>
    <w:rsid w:val="CF39DECE"/>
    <w:rsid w:val="D5DE8897"/>
    <w:rsid w:val="D7DE1CF8"/>
    <w:rsid w:val="DCEF5095"/>
    <w:rsid w:val="DDE7CD68"/>
    <w:rsid w:val="DF7FAA01"/>
    <w:rsid w:val="E47FDD5F"/>
    <w:rsid w:val="E63F3A4D"/>
    <w:rsid w:val="E7DE5EE9"/>
    <w:rsid w:val="E7F975F4"/>
    <w:rsid w:val="E7FE3684"/>
    <w:rsid w:val="EAD40405"/>
    <w:rsid w:val="EAFFD9AA"/>
    <w:rsid w:val="ED8F3F84"/>
    <w:rsid w:val="EF6F97C5"/>
    <w:rsid w:val="EF97ADEA"/>
    <w:rsid w:val="EFFF70E4"/>
    <w:rsid w:val="F2CD2860"/>
    <w:rsid w:val="F3EAED5C"/>
    <w:rsid w:val="F5BBF82A"/>
    <w:rsid w:val="F62FD6A3"/>
    <w:rsid w:val="F666E97A"/>
    <w:rsid w:val="F66BB5E5"/>
    <w:rsid w:val="F7BFAC7F"/>
    <w:rsid w:val="F7DF1E9E"/>
    <w:rsid w:val="F7EEC240"/>
    <w:rsid w:val="F9DB57E3"/>
    <w:rsid w:val="FB1A2FE8"/>
    <w:rsid w:val="FBBE1F9B"/>
    <w:rsid w:val="FBD99DDE"/>
    <w:rsid w:val="FBF75102"/>
    <w:rsid w:val="FBFA6588"/>
    <w:rsid w:val="FCBFA667"/>
    <w:rsid w:val="FCFDC4B6"/>
    <w:rsid w:val="FCFF694C"/>
    <w:rsid w:val="FD67479E"/>
    <w:rsid w:val="FD9F901A"/>
    <w:rsid w:val="FDDC4E6C"/>
    <w:rsid w:val="FDDC5620"/>
    <w:rsid w:val="FDEA700A"/>
    <w:rsid w:val="FDFF99CE"/>
    <w:rsid w:val="FECF0673"/>
    <w:rsid w:val="FEEDB975"/>
    <w:rsid w:val="FEFFD499"/>
    <w:rsid w:val="FF2618BC"/>
    <w:rsid w:val="FFAD8D56"/>
    <w:rsid w:val="FFBF6844"/>
    <w:rsid w:val="FFBF72AD"/>
    <w:rsid w:val="FFBFCE42"/>
    <w:rsid w:val="FFF70180"/>
    <w:rsid w:val="FFFD3AF8"/>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7">
    <w:name w:val="Default Paragraph Font"/>
    <w:qFormat/>
    <w:uiPriority w:val="0"/>
    <w:rPr>
      <w:rFonts w:eastAsia="微软雅黑" w:asciiTheme="minorAscii" w:hAnsiTheme="minorAscii"/>
    </w:rPr>
  </w:style>
  <w:style w:type="table" w:default="1" w:styleId="15">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footnote text"/>
    <w:basedOn w:val="1"/>
    <w:uiPriority w:val="0"/>
    <w:pPr>
      <w:snapToGrid w:val="0"/>
      <w:jc w:val="left"/>
    </w:pPr>
    <w:rPr>
      <w:sz w:val="18"/>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uiPriority w:val="0"/>
    <w:rPr>
      <w:color w:val="0000FF"/>
      <w:u w:val="single"/>
    </w:rPr>
  </w:style>
  <w:style w:type="character" w:styleId="20">
    <w:name w:val="footnote reference"/>
    <w:basedOn w:val="17"/>
    <w:uiPriority w:val="0"/>
    <w:rPr>
      <w:vertAlign w:val="superscript"/>
    </w:rPr>
  </w:style>
  <w:style w:type="character" w:customStyle="1" w:styleId="21">
    <w:name w:val="10"/>
    <w:basedOn w:val="17"/>
    <w:uiPriority w:val="0"/>
    <w:rPr>
      <w:rFonts w:hint="default" w:ascii="Calibri" w:hAnsi="Calibri" w:eastAsia="微软雅黑" w:cs="Calibri"/>
    </w:rPr>
  </w:style>
  <w:style w:type="character" w:customStyle="1" w:styleId="22">
    <w:name w:val="15"/>
    <w:basedOn w:val="17"/>
    <w:uiPriority w:val="0"/>
    <w:rPr>
      <w:rFonts w:hint="default" w:ascii="Calibri" w:hAnsi="Calibri" w:eastAsia="微软雅黑" w:cs="Calibri"/>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tmp/webword_991145746/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4223</Words>
  <Characters>5280</Characters>
  <Lines>1</Lines>
  <Paragraphs>1</Paragraphs>
  <TotalTime>0</TotalTime>
  <ScaleCrop>false</ScaleCrop>
  <LinksUpToDate>false</LinksUpToDate>
  <CharactersWithSpaces>5412</CharactersWithSpaces>
  <Application>WPS Office WWO_wpscloud_20221127235545-b9e87ab898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2018-06-01T01:24:00Z</dcterms:created>
  <dc:creator>cmcc</dc:creator>
  <cp:lastModifiedBy>武文雅</cp:lastModifiedBy>
  <dcterms:modified xsi:type="dcterms:W3CDTF">2024-06-17T11:35:30Z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A075E073C4C64C7E91A26BC9F6D4FE49</vt:lpwstr>
  </property>
</Properties>
</file>