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SMA vs EMA Crossover Backtesting System</w:t>
      </w:r>
    </w:p>
    <w:p>
      <w:r>
        <w:rPr>
          <w:i/>
          <w:iCs/>
          <w:color w:val="595959"/>
          <w:sz w:val="26"/>
          <w:szCs w:val="26"/>
        </w:rPr>
        <w:t xml:space="preserve">Project Development Process</w:t>
      </w:r>
    </w:p>
    <w:p>
      <w:r>
        <w:t xml:space="preserve"/>
      </w:r>
    </w:p>
    <w:p>
      <w:pPr>
        <w:pBdr>
          <w:bottom w:val="single" w:color="2E75B6" w:sz="6" w:space="1"/>
        </w:pBdr>
      </w:pPr>
      <w:r>
        <w:t xml:space="preserve"/>
      </w:r>
    </w:p>
    <w:p>
      <w:r>
        <w:t xml:space="preserve"/>
      </w:r>
    </w:p>
    <w:p>
      <w:pPr>
        <w:pStyle w:val="Heading2"/>
      </w:pPr>
      <w:r>
        <w:t xml:space="preserve">1. From SMA to EMA</w:t>
      </w:r>
    </w:p>
    <w:p>
      <w:r>
        <w:rPr>
          <w:sz w:val="24"/>
          <w:szCs w:val="24"/>
        </w:rPr>
        <w:t xml:space="preserve">I started by implementing a Simple Moving Average crossover strategy. After running it, I noticed a fundamental limitation: SMA weights all past days equally, so recent price momentum gets diluted by older data. When a stock is in a short-term uptrend, the SMA is slow to reflect it. This led me to implement an Exponential Moving Average, which applies a decay factor so recent prices carry more weight — giving faster, more responsive signals.</w:t>
      </w:r>
    </w:p>
    <w:p>
      <w:r>
        <w:t xml:space="preserve"/>
      </w:r>
    </w:p>
    <w:p>
      <w:pPr>
        <w:pStyle w:val="Heading2"/>
      </w:pPr>
      <w:r>
        <w:t xml:space="preserve">2. Side-by-Side Comparison</w:t>
      </w:r>
    </w:p>
    <w:p>
      <w:r>
        <w:rPr>
          <w:sz w:val="24"/>
          <w:szCs w:val="24"/>
        </w:rPr>
        <w:t xml:space="preserve">Once both strategies were built, I wanted to compare them directly, so I wrote compare.py to run both on the same ticker and print a side-by-side results table.</w:t>
      </w:r>
    </w:p>
    <w:p>
      <w:r>
        <w:t xml:space="preserve"/>
      </w:r>
    </w:p>
    <w:p>
      <w:pPr>
        <w:pStyle w:val="Heading2"/>
      </w:pPr>
      <w:r>
        <w:t xml:space="preserve">3. Dynamic Risk-Free Rate</w:t>
      </w:r>
    </w:p>
    <w:p>
      <w:r>
        <w:rPr>
          <w:sz w:val="24"/>
          <w:szCs w:val="24"/>
        </w:rPr>
        <w:t xml:space="preserve">The next issue was the Sharpe ratio calculation. I had initially hardcoded a risk-free rate of 0.05, but I realised this was inaccurate — the risk-free rate changes significantly over time. During COVID in 2020-2021 it was near zero, and by 2023-2024 it had risen above 5%. Using a fixed value would systematically misstate excess returns depending on the period. So I replaced it with a live download of the 3-month US Treasury bill yield (^IRX), averaged over the exact backtest period.</w:t>
      </w:r>
    </w:p>
    <w:p>
      <w:r>
        <w:t xml:space="preserve"/>
      </w:r>
    </w:p>
    <w:p>
      <w:pPr>
        <w:pStyle w:val="Heading2"/>
      </w:pPr>
      <w:r>
        <w:t xml:space="preserve">4. Grid Search for Parameter Optimisation</w:t>
      </w:r>
    </w:p>
    <w:p>
      <w:r>
        <w:rPr>
          <w:sz w:val="24"/>
          <w:szCs w:val="24"/>
        </w:rPr>
        <w:t xml:space="preserve">The next problem was parameter selection. I could only test one window combination at a time, with no way of knowing whether it was actually optimal. So I built grid_search.py to exhaustively search all valid (short, long) window combinations and rank them by Sharpe ratio.</w:t>
      </w:r>
    </w:p>
    <w:p>
      <w:r>
        <w:t xml:space="preserve"/>
      </w:r>
    </w:p>
    <w:p>
      <w:pPr>
        <w:pStyle w:val="Heading2"/>
      </w:pPr>
      <w:r>
        <w:t xml:space="preserve">5. Walk-Forward Validation</w:t>
      </w:r>
    </w:p>
    <w:p>
      <w:r>
        <w:rPr>
          <w:sz w:val="24"/>
          <w:szCs w:val="24"/>
        </w:rPr>
        <w:t xml:space="preserve">My initial approach used a single train/test split — train on the first portion of data, test on the second. But when I ran it, the trained Sharpe was high while the actual out-of-sample Sharpe was much lower. I diagnosed the cause: a single split exposes the optimisation to one specific market regime. If that regime is a bull market, the parameters are fitted to bull market conditions and collapse when macro conditions shift — as they did during COVID and the 2022 rate hike cycle.</w:t>
      </w:r>
    </w:p>
    <w:p>
      <w:r>
        <w:t xml:space="preserve"/>
      </w:r>
    </w:p>
    <w:p>
      <w:r>
        <w:rPr>
          <w:sz w:val="24"/>
          <w:szCs w:val="24"/>
        </w:rPr>
        <w:t xml:space="preserve">To fix this, I replaced the single split with walk-forward validation, rolling a one-year test window across the full dataset. This forces the parameters to perform consistently across multiple distinct market environments.</w:t>
      </w:r>
    </w:p>
    <w:p>
      <w:r>
        <w:t xml:space="preserve"/>
      </w:r>
    </w:p>
    <w:p>
      <w:pPr>
        <w:pStyle w:val="Heading2"/>
      </w:pPr>
      <w:r>
        <w:t xml:space="preserve">6. Visualisation</w:t>
      </w:r>
    </w:p>
    <w:p>
      <w:r>
        <w:rPr>
          <w:sz w:val="24"/>
          <w:szCs w:val="24"/>
        </w:rPr>
        <w:t xml:space="preserve">I felt that pure numerical output was not intuitive enough to communicate what the strategy was actually doing. So I added four visualisations:</w:t>
      </w:r>
    </w:p>
    <w:p>
      <w:pPr>
        <w:pStyle w:val="ListParagraph"/>
        <w:numPr>
          <w:ilvl w:val="0"/>
          <w:numId w:val="2"/>
        </w:numPr>
      </w:pPr>
      <w:r>
        <w:rPr>
          <w:sz w:val="24"/>
          <w:szCs w:val="24"/>
        </w:rPr>
        <w:t xml:space="preserve">Price charts with buy/sell signals for sma.py and ema.py</w:t>
      </w:r>
    </w:p>
    <w:p>
      <w:pPr>
        <w:pStyle w:val="ListParagraph"/>
        <w:numPr>
          <w:ilvl w:val="0"/>
          <w:numId w:val="2"/>
        </w:numPr>
      </w:pPr>
      <w:r>
        <w:rPr>
          <w:sz w:val="24"/>
          <w:szCs w:val="24"/>
        </w:rPr>
        <w:t xml:space="preserve">Side-by-side equity curves vs buy &amp; hold for compare.py</w:t>
      </w:r>
    </w:p>
    <w:p>
      <w:pPr>
        <w:pStyle w:val="ListParagraph"/>
        <w:numPr>
          <w:ilvl w:val="0"/>
          <w:numId w:val="2"/>
        </w:numPr>
      </w:pPr>
      <w:r>
        <w:rPr>
          <w:sz w:val="24"/>
          <w:szCs w:val="24"/>
        </w:rPr>
        <w:t xml:space="preserve">Parameter heatmaps for grid_search.py</w:t>
      </w:r>
    </w:p>
    <w:p>
      <w:r>
        <w:t xml:space="preserve"/>
      </w:r>
    </w:p>
    <w:p>
      <w:pPr>
        <w:pStyle w:val="Heading2"/>
      </w:pPr>
      <w:r>
        <w:t xml:space="preserve">7. Cross-Asset Validation</w:t>
      </w:r>
    </w:p>
    <w:p>
      <w:r>
        <w:rPr>
          <w:sz w:val="24"/>
          <w:szCs w:val="24"/>
        </w:rPr>
        <w:t xml:space="preserve">To validate the system, I ran all three scripts on three stocks with very different price histories over the same 2016-2026 period: AAPL (steady uptrend), NVDA (explosive late-stage surge), and META (strong rise, 76% crash, full recovery). The results confirmed a clear pattern:</w:t>
      </w:r>
    </w:p>
    <w:p>
      <w:r>
        <w:t xml:space="preserve"/>
      </w:r>
    </w:p>
    <w:p>
      <w:pPr>
        <w:pStyle w:val="ListParagraph"/>
        <w:numPr>
          <w:ilvl w:val="0"/>
          <w:numId w:val="2"/>
        </w:numPr>
      </w:pPr>
      <w:r>
        <w:rPr>
          <w:sz w:val="24"/>
          <w:szCs w:val="24"/>
        </w:rPr>
        <w:t xml:space="preserve">Both strategies underperformed buy &amp; hold on AAPL and NVDA, where persistent uptrends punished the lag inherent in crossover signals.</w:t>
      </w:r>
    </w:p>
    <w:p>
      <w:pPr>
        <w:pStyle w:val="ListParagraph"/>
        <w:numPr>
          <w:ilvl w:val="0"/>
          <w:numId w:val="2"/>
        </w:numPr>
      </w:pPr>
      <w:r>
        <w:rPr>
          <w:sz w:val="24"/>
          <w:szCs w:val="24"/>
        </w:rPr>
        <w:t xml:space="preserve">META was the exception — the strategy successfully avoided most of the 2022 drawdown by exiting near the top, then re-entered during the recovery, outperforming buy &amp; hold by approximately 39%.</w:t>
      </w:r>
    </w:p>
    <w:p>
      <w:r>
        <w:t xml:space="preserve"/>
      </w:r>
    </w:p>
    <w:p>
      <w:pPr>
        <w:pStyle w:val="Heading2"/>
      </w:pPr>
      <w:r>
        <w:t xml:space="preserve">Conclusion</w:t>
      </w:r>
    </w:p>
    <w:p>
      <w:r>
        <w:rPr>
          <w:sz w:val="24"/>
          <w:szCs w:val="24"/>
        </w:rPr>
        <w:t xml:space="preserve">This suggests crossover strategies function best as drawdown insurance on volatile assets with deep bear markets, rather than as return enhancers on steadily trending stocks. The optimal parameters are also asset-specific and cannot be transferred across tickers without re-optimisation — a key finding that walk-forward validation makes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2026-04-03T02:24:54.058Z</dcterms:created>
  <dcterms:modified xsi:type="dcterms:W3CDTF">2026-04-03T02:24:54.059Z</dcterms:modified>
</cp:coreProperties>
</file>

<file path=docProps/custom.xml><?xml version="1.0" encoding="utf-8"?>
<Properties xmlns="http://schemas.openxmlformats.org/officeDocument/2006/custom-properties" xmlns:vt="http://schemas.openxmlformats.org/officeDocument/2006/docPropsVTypes"/>
</file>