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B3B9C">
      <w:pPr>
        <w:pStyle w:val="9"/>
        <w:spacing w:before="0" w:beforeAutospacing="0" w:after="160" w:afterAutospacing="0"/>
        <w:jc w:val="center"/>
        <w:rPr>
          <w:color w:val="000000"/>
        </w:rPr>
      </w:pPr>
      <w:r>
        <w:rPr>
          <w:color w:val="000000"/>
        </w:rPr>
        <w:t>           </w:t>
      </w:r>
    </w:p>
    <w:p w14:paraId="6356C970">
      <w:pPr>
        <w:pStyle w:val="9"/>
        <w:spacing w:before="0" w:beforeAutospacing="0" w:after="160" w:afterAutospacing="0"/>
        <w:jc w:val="center"/>
        <w:rPr>
          <w:color w:val="000000"/>
        </w:rPr>
      </w:pPr>
    </w:p>
    <w:p w14:paraId="1C3E58EE">
      <w:pPr>
        <w:pStyle w:val="9"/>
        <w:spacing w:before="0" w:beforeAutospacing="0" w:after="160" w:afterAutospacing="0"/>
        <w:jc w:val="center"/>
        <w:rPr>
          <w:color w:val="000000"/>
        </w:rPr>
      </w:pPr>
      <w:r>
        <w:rPr>
          <w:color w:val="000000"/>
        </w:rPr>
        <w:drawing>
          <wp:inline distT="0" distB="0" distL="0" distR="0">
            <wp:extent cx="2781935" cy="26847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806170" cy="2707997"/>
                    </a:xfrm>
                    <a:prstGeom prst="rect">
                      <a:avLst/>
                    </a:prstGeom>
                  </pic:spPr>
                </pic:pic>
              </a:graphicData>
            </a:graphic>
          </wp:inline>
        </w:drawing>
      </w:r>
    </w:p>
    <w:p w14:paraId="689B9F61">
      <w:pPr>
        <w:pStyle w:val="9"/>
        <w:spacing w:before="0" w:beforeAutospacing="0" w:after="160" w:afterAutospacing="0"/>
        <w:jc w:val="center"/>
        <w:rPr>
          <w:color w:val="000000"/>
        </w:rPr>
      </w:pPr>
    </w:p>
    <w:p w14:paraId="018FDEE5">
      <w:pPr>
        <w:pStyle w:val="9"/>
        <w:spacing w:before="0" w:beforeAutospacing="0" w:after="160" w:afterAutospacing="0"/>
      </w:pPr>
      <w:r>
        <w:rPr>
          <w:color w:val="000000"/>
        </w:rPr>
        <w:t xml:space="preserve">                      COLLEGE OF ENGINEERING AND TECHNOLOGY(COETEC)</w:t>
      </w:r>
    </w:p>
    <w:p w14:paraId="207D7153">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SCHOOL OF ELECTRICAL, ELECTRONIC, AND INFORMATION ENGINEERING</w:t>
      </w:r>
    </w:p>
    <w:p w14:paraId="64F9AEF8">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B.Sc. TELECOMMUNICATION AND INFORMATION ENGINEERING</w:t>
      </w:r>
    </w:p>
    <w:p w14:paraId="044A5B45">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UNIT: DISTRIBUTED COMPUTING &amp; APPLICATION</w:t>
      </w:r>
    </w:p>
    <w:p w14:paraId="5AE94A1D">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UNIT CODE: ICS 2403</w:t>
      </w:r>
    </w:p>
    <w:p w14:paraId="6D075677">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TITLE: </w:t>
      </w:r>
      <w:r>
        <w:rPr>
          <w:rFonts w:ascii="Times New Roman" w:hAnsi="Times New Roman" w:eastAsia="Times New Roman" w:cs="Times New Roman"/>
          <w:b/>
          <w:bCs/>
          <w:color w:val="000000"/>
          <w:sz w:val="24"/>
          <w:szCs w:val="24"/>
        </w:rPr>
        <w:t>CAT 1</w:t>
      </w:r>
    </w:p>
    <w:p w14:paraId="30B4A1D2">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GROUP 6</w:t>
      </w:r>
    </w:p>
    <w:p w14:paraId="41A3D06C">
      <w:pPr>
        <w:spacing w:line="240" w:lineRule="auto"/>
        <w:jc w:val="center"/>
        <w:rPr>
          <w:rFonts w:ascii="Times New Roman" w:hAnsi="Times New Roman" w:eastAsia="Times New Roman" w:cs="Times New Roman"/>
          <w:b/>
          <w:bCs/>
          <w:color w:val="000000"/>
          <w:sz w:val="24"/>
          <w:szCs w:val="24"/>
        </w:rPr>
      </w:pPr>
    </w:p>
    <w:p w14:paraId="27CA8D30">
      <w:pPr>
        <w:spacing w:line="240" w:lineRule="auto"/>
        <w:jc w:val="center"/>
        <w:rPr>
          <w:rFonts w:ascii="Times New Roman" w:hAnsi="Times New Roman" w:eastAsia="Times New Roman" w:cs="Times New Roman"/>
          <w:sz w:val="24"/>
          <w:szCs w:val="24"/>
        </w:rPr>
      </w:pPr>
    </w:p>
    <w:p w14:paraId="452C3E3E">
      <w:pPr>
        <w:spacing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w:t>
      </w:r>
    </w:p>
    <w:tbl>
      <w:tblPr>
        <w:tblStyle w:val="6"/>
        <w:tblW w:w="10165" w:type="dxa"/>
        <w:tblInd w:w="0" w:type="dxa"/>
        <w:tblLayout w:type="autofit"/>
        <w:tblCellMar>
          <w:top w:w="15" w:type="dxa"/>
          <w:left w:w="15" w:type="dxa"/>
          <w:bottom w:w="15" w:type="dxa"/>
          <w:right w:w="15" w:type="dxa"/>
        </w:tblCellMar>
      </w:tblPr>
      <w:tblGrid>
        <w:gridCol w:w="563"/>
        <w:gridCol w:w="4202"/>
        <w:gridCol w:w="5400"/>
      </w:tblGrid>
      <w:tr w14:paraId="691BE702">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5601E9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NO</w:t>
            </w:r>
          </w:p>
        </w:tc>
        <w:tc>
          <w:tcPr>
            <w:tcW w:w="420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B745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NAME</w:t>
            </w:r>
          </w:p>
        </w:tc>
        <w:tc>
          <w:tcPr>
            <w:tcW w:w="54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62B15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REG NO</w:t>
            </w:r>
          </w:p>
        </w:tc>
      </w:tr>
      <w:tr w14:paraId="67DE64F4">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0EAA4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1</w:t>
            </w:r>
          </w:p>
        </w:tc>
        <w:tc>
          <w:tcPr>
            <w:tcW w:w="420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BB6C9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DALPHINE MOMANYI</w:t>
            </w:r>
          </w:p>
        </w:tc>
        <w:tc>
          <w:tcPr>
            <w:tcW w:w="54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F5DB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ENE221-0108/2021</w:t>
            </w:r>
          </w:p>
        </w:tc>
      </w:tr>
      <w:tr w14:paraId="24F7C04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C96475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2</w:t>
            </w:r>
          </w:p>
        </w:tc>
        <w:tc>
          <w:tcPr>
            <w:tcW w:w="420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0090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CHELANGAT MILKAH</w:t>
            </w:r>
          </w:p>
        </w:tc>
        <w:tc>
          <w:tcPr>
            <w:tcW w:w="54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39413C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ENE221-0179/2021</w:t>
            </w:r>
          </w:p>
        </w:tc>
      </w:tr>
      <w:tr w14:paraId="579D3500">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7BA4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3</w:t>
            </w:r>
          </w:p>
        </w:tc>
        <w:tc>
          <w:tcPr>
            <w:tcW w:w="420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39C5F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RUKIA MWARI</w:t>
            </w:r>
          </w:p>
        </w:tc>
        <w:tc>
          <w:tcPr>
            <w:tcW w:w="54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CA228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ENE221-0223/2021</w:t>
            </w:r>
          </w:p>
        </w:tc>
      </w:tr>
      <w:tr w14:paraId="7DC483F3">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32631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4</w:t>
            </w:r>
          </w:p>
        </w:tc>
        <w:tc>
          <w:tcPr>
            <w:tcW w:w="420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472EBF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OWENS OMWANDA</w:t>
            </w:r>
          </w:p>
        </w:tc>
        <w:tc>
          <w:tcPr>
            <w:tcW w:w="54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4B480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ENE221-0167/2021</w:t>
            </w:r>
          </w:p>
        </w:tc>
      </w:tr>
      <w:tr w14:paraId="07504198">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B2766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5</w:t>
            </w:r>
          </w:p>
        </w:tc>
        <w:tc>
          <w:tcPr>
            <w:tcW w:w="420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5F8B7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ANGELA MUGWE</w:t>
            </w:r>
          </w:p>
        </w:tc>
        <w:tc>
          <w:tcPr>
            <w:tcW w:w="54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8A423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ENE221-0220/2021</w:t>
            </w:r>
          </w:p>
        </w:tc>
      </w:tr>
      <w:tr w14:paraId="620DD52B">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2B3652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6</w:t>
            </w:r>
          </w:p>
        </w:tc>
        <w:tc>
          <w:tcPr>
            <w:tcW w:w="420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4B649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VICTORIA CHEGE</w:t>
            </w:r>
          </w:p>
        </w:tc>
        <w:tc>
          <w:tcPr>
            <w:tcW w:w="540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456EB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ENE221-0147/2021</w:t>
            </w:r>
          </w:p>
        </w:tc>
      </w:tr>
    </w:tbl>
    <w:p w14:paraId="691929B6">
      <w:pPr>
        <w:spacing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p>
    <w:p w14:paraId="77DBBC12">
      <w:pPr>
        <w:spacing w:after="240" w:line="240" w:lineRule="auto"/>
        <w:rPr>
          <w:rFonts w:ascii="Times New Roman" w:hAnsi="Times New Roman" w:cs="Times New Roman"/>
          <w:b/>
          <w:sz w:val="24"/>
          <w:szCs w:val="24"/>
          <w:u w:val="single"/>
        </w:rPr>
      </w:pPr>
      <w:r>
        <w:rPr>
          <w:rFonts w:ascii="Times New Roman" w:hAnsi="Times New Roman" w:cs="Times New Roman"/>
          <w:b/>
          <w:sz w:val="24"/>
          <w:szCs w:val="24"/>
          <w:u w:val="single"/>
        </w:rPr>
        <w:t>INTRODUCTION</w:t>
      </w:r>
      <w:r>
        <w:rPr>
          <w:rFonts w:ascii="Times New Roman" w:hAnsi="Times New Roman" w:cs="Times New Roman"/>
          <w:b/>
          <w:sz w:val="24"/>
          <w:szCs w:val="24"/>
          <w:u w:val="single"/>
        </w:rPr>
        <w:br w:type="textWrapping"/>
      </w:r>
      <w:r>
        <w:rPr>
          <w:rFonts w:ascii="Times New Roman" w:hAnsi="Times New Roman" w:cs="Times New Roman"/>
          <w:sz w:val="24"/>
          <w:szCs w:val="24"/>
        </w:rPr>
        <w:t xml:space="preserve">This project presents the design and implementation of a </w:t>
      </w:r>
      <w:r>
        <w:rPr>
          <w:rFonts w:ascii="Times New Roman" w:hAnsi="Times New Roman" w:cs="Times New Roman"/>
          <w:bCs/>
          <w:sz w:val="24"/>
          <w:szCs w:val="24"/>
        </w:rPr>
        <w:t>Lease-Based Distributed Transaction System</w:t>
      </w:r>
      <w:r>
        <w:rPr>
          <w:rFonts w:ascii="Times New Roman" w:hAnsi="Times New Roman" w:cs="Times New Roman"/>
          <w:sz w:val="24"/>
          <w:szCs w:val="24"/>
        </w:rPr>
        <w:t xml:space="preserve"> that guarantees </w:t>
      </w:r>
      <w:r>
        <w:rPr>
          <w:rFonts w:ascii="Times New Roman" w:hAnsi="Times New Roman" w:cs="Times New Roman"/>
          <w:bCs/>
          <w:sz w:val="24"/>
          <w:szCs w:val="24"/>
        </w:rPr>
        <w:t>ACID properties</w:t>
      </w:r>
      <w:r>
        <w:rPr>
          <w:rFonts w:ascii="Times New Roman" w:hAnsi="Times New Roman" w:cs="Times New Roman"/>
          <w:sz w:val="24"/>
          <w:szCs w:val="24"/>
        </w:rPr>
        <w:t xml:space="preserve"> across multiple distributed nodes. The system is designed around a </w:t>
      </w:r>
      <w:r>
        <w:rPr>
          <w:rFonts w:ascii="Times New Roman" w:hAnsi="Times New Roman" w:cs="Times New Roman"/>
          <w:bCs/>
          <w:sz w:val="24"/>
          <w:szCs w:val="24"/>
        </w:rPr>
        <w:t>Coordinator-Worker architecture</w:t>
      </w:r>
      <w:r>
        <w:rPr>
          <w:rFonts w:ascii="Times New Roman" w:hAnsi="Times New Roman" w:cs="Times New Roman"/>
          <w:sz w:val="24"/>
          <w:szCs w:val="24"/>
        </w:rPr>
        <w:t xml:space="preserve"> and uses the </w:t>
      </w:r>
      <w:r>
        <w:rPr>
          <w:rFonts w:ascii="Times New Roman" w:hAnsi="Times New Roman" w:cs="Times New Roman"/>
          <w:bCs/>
          <w:sz w:val="24"/>
          <w:szCs w:val="24"/>
        </w:rPr>
        <w:t>Two-Phase Commit (2PC)</w:t>
      </w:r>
      <w:r>
        <w:rPr>
          <w:rFonts w:ascii="Times New Roman" w:hAnsi="Times New Roman" w:cs="Times New Roman"/>
          <w:sz w:val="24"/>
          <w:szCs w:val="24"/>
        </w:rPr>
        <w:t xml:space="preserve"> protocol to enforce atomicity and global consistency during lease creation operations.</w:t>
      </w:r>
    </w:p>
    <w:p w14:paraId="0C38FF6D">
      <w:pPr>
        <w:rPr>
          <w:rFonts w:ascii="Times New Roman" w:hAnsi="Times New Roman" w:cs="Times New Roman"/>
          <w:sz w:val="24"/>
          <w:szCs w:val="24"/>
        </w:rPr>
      </w:pPr>
      <w:r>
        <w:rPr>
          <w:rFonts w:ascii="Times New Roman" w:hAnsi="Times New Roman" w:cs="Times New Roman"/>
          <w:sz w:val="24"/>
          <w:szCs w:val="24"/>
        </w:rPr>
        <w:t>The system models a real-world lease management scenario in which lease records must be created consistently across multiple independent services. The implementation focuses on correctness, fault tolerance, and clear transactional semantics rather than high throughput, making it suitable for academic evaluation and demonstration of distributed systems principles.</w:t>
      </w:r>
      <w:r>
        <w:rPr>
          <w:rFonts w:ascii="Times New Roman" w:hAnsi="Times New Roman" w:cs="Times New Roman"/>
          <w:sz w:val="24"/>
          <w:szCs w:val="24"/>
        </w:rPr>
        <w:br w:type="textWrapping"/>
      </w:r>
    </w:p>
    <w:p w14:paraId="250D4045">
      <w:pPr>
        <w:rPr>
          <w:rFonts w:ascii="Times New Roman" w:hAnsi="Times New Roman" w:cs="Times New Roman"/>
          <w:b/>
          <w:sz w:val="24"/>
          <w:szCs w:val="24"/>
          <w:u w:val="single"/>
        </w:rPr>
      </w:pPr>
      <w:r>
        <w:rPr>
          <w:rFonts w:ascii="Times New Roman" w:hAnsi="Times New Roman" w:cs="Times New Roman"/>
          <w:b/>
          <w:sz w:val="24"/>
          <w:szCs w:val="24"/>
          <w:u w:val="single"/>
        </w:rPr>
        <w:t xml:space="preserve">ARCHITECTURE </w:t>
      </w:r>
    </w:p>
    <w:p w14:paraId="2AA19FCB">
      <w:pPr>
        <w:rPr>
          <w:rFonts w:hint="default"/>
          <w:b/>
          <w:bCs w:val="0"/>
          <w:u w:val="none"/>
        </w:rPr>
      </w:pPr>
      <w:r>
        <w:rPr>
          <w:rFonts w:hint="default"/>
          <w:b/>
          <w:bCs w:val="0"/>
          <w:u w:val="none"/>
        </w:rPr>
        <w:t>DISTRIBUTED-LEASE-SYSTEM/</w:t>
      </w:r>
    </w:p>
    <w:p w14:paraId="07F0B974">
      <w:pPr>
        <w:rPr>
          <w:rFonts w:hint="default"/>
          <w:b/>
          <w:bCs w:val="0"/>
          <w:sz w:val="16"/>
          <w:szCs w:val="16"/>
          <w:u w:val="none"/>
        </w:rPr>
      </w:pPr>
      <w:r>
        <w:rPr>
          <w:rFonts w:hint="default"/>
          <w:b/>
          <w:bCs w:val="0"/>
          <w:sz w:val="16"/>
          <w:szCs w:val="16"/>
          <w:u w:val="none"/>
        </w:rPr>
        <w:t>│</w:t>
      </w:r>
    </w:p>
    <w:p w14:paraId="07BCA57F">
      <w:pPr>
        <w:rPr>
          <w:rFonts w:hint="default"/>
          <w:b/>
          <w:bCs w:val="0"/>
          <w:sz w:val="16"/>
          <w:szCs w:val="16"/>
          <w:u w:val="none"/>
        </w:rPr>
      </w:pPr>
      <w:r>
        <w:rPr>
          <w:rFonts w:hint="default"/>
          <w:b/>
          <w:bCs w:val="0"/>
          <w:sz w:val="16"/>
          <w:szCs w:val="16"/>
          <w:u w:val="none"/>
        </w:rPr>
        <w:t>├── backend/</w:t>
      </w:r>
    </w:p>
    <w:p w14:paraId="0706E825">
      <w:pPr>
        <w:rPr>
          <w:rFonts w:hint="default"/>
          <w:b/>
          <w:bCs w:val="0"/>
          <w:sz w:val="16"/>
          <w:szCs w:val="16"/>
          <w:u w:val="none"/>
        </w:rPr>
      </w:pPr>
      <w:r>
        <w:rPr>
          <w:rFonts w:hint="default"/>
          <w:b/>
          <w:bCs w:val="0"/>
          <w:sz w:val="16"/>
          <w:szCs w:val="16"/>
          <w:u w:val="none"/>
        </w:rPr>
        <w:t>│   │</w:t>
      </w:r>
    </w:p>
    <w:p w14:paraId="22B6FC06">
      <w:pPr>
        <w:rPr>
          <w:rFonts w:hint="default"/>
          <w:b/>
          <w:bCs w:val="0"/>
          <w:sz w:val="16"/>
          <w:szCs w:val="16"/>
          <w:u w:val="none"/>
        </w:rPr>
      </w:pPr>
      <w:r>
        <w:rPr>
          <w:rFonts w:hint="default"/>
          <w:b/>
          <w:bCs w:val="0"/>
          <w:sz w:val="16"/>
          <w:szCs w:val="16"/>
          <w:u w:val="none"/>
        </w:rPr>
        <w:t>│   ├── app/</w:t>
      </w:r>
    </w:p>
    <w:p w14:paraId="32AA5FBE">
      <w:pPr>
        <w:rPr>
          <w:rFonts w:hint="default"/>
          <w:b/>
          <w:bCs w:val="0"/>
          <w:sz w:val="16"/>
          <w:szCs w:val="16"/>
          <w:u w:val="none"/>
        </w:rPr>
      </w:pPr>
      <w:r>
        <w:rPr>
          <w:rFonts w:hint="default"/>
          <w:b/>
          <w:bCs w:val="0"/>
          <w:sz w:val="16"/>
          <w:szCs w:val="16"/>
          <w:u w:val="none"/>
        </w:rPr>
        <w:t>│   │   ├── __init__.py</w:t>
      </w:r>
    </w:p>
    <w:p w14:paraId="2273F49C">
      <w:pPr>
        <w:rPr>
          <w:rFonts w:hint="default"/>
          <w:b/>
          <w:bCs w:val="0"/>
          <w:sz w:val="16"/>
          <w:szCs w:val="16"/>
          <w:u w:val="none"/>
        </w:rPr>
      </w:pPr>
      <w:r>
        <w:rPr>
          <w:rFonts w:hint="default"/>
          <w:b/>
          <w:bCs w:val="0"/>
          <w:sz w:val="16"/>
          <w:szCs w:val="16"/>
          <w:u w:val="none"/>
        </w:rPr>
        <w:t>│   │   ├── main.py            # Entry point for each FastAPI node</w:t>
      </w:r>
    </w:p>
    <w:p w14:paraId="2905BA60">
      <w:pPr>
        <w:rPr>
          <w:rFonts w:hint="default"/>
          <w:b/>
          <w:bCs w:val="0"/>
          <w:sz w:val="16"/>
          <w:szCs w:val="16"/>
          <w:u w:val="none"/>
        </w:rPr>
      </w:pPr>
      <w:r>
        <w:rPr>
          <w:rFonts w:hint="default"/>
          <w:b/>
          <w:bCs w:val="0"/>
          <w:sz w:val="16"/>
          <w:szCs w:val="16"/>
          <w:u w:val="none"/>
        </w:rPr>
        <w:t>│   │   ├── node.py            # Node-level transaction handling</w:t>
      </w:r>
    </w:p>
    <w:p w14:paraId="163784ED">
      <w:pPr>
        <w:rPr>
          <w:rFonts w:hint="default"/>
          <w:b/>
          <w:bCs w:val="0"/>
          <w:sz w:val="16"/>
          <w:szCs w:val="16"/>
          <w:u w:val="none"/>
        </w:rPr>
      </w:pPr>
      <w:r>
        <w:rPr>
          <w:rFonts w:hint="default"/>
          <w:b/>
          <w:bCs w:val="0"/>
          <w:sz w:val="16"/>
          <w:szCs w:val="16"/>
          <w:u w:val="none"/>
        </w:rPr>
        <w:t>│   │   ├── coordinator.py    # Two-Phase Commit coordinator</w:t>
      </w:r>
    </w:p>
    <w:p w14:paraId="4D6B2C02">
      <w:pPr>
        <w:rPr>
          <w:rFonts w:hint="default"/>
          <w:b/>
          <w:bCs w:val="0"/>
          <w:sz w:val="16"/>
          <w:szCs w:val="16"/>
          <w:u w:val="none"/>
        </w:rPr>
      </w:pPr>
      <w:r>
        <w:rPr>
          <w:rFonts w:hint="default"/>
          <w:b/>
          <w:bCs w:val="0"/>
          <w:sz w:val="16"/>
          <w:szCs w:val="16"/>
          <w:u w:val="none"/>
        </w:rPr>
        <w:t>│   │   ├── database.py       # SQLAlchemy DB connection &amp; session</w:t>
      </w:r>
    </w:p>
    <w:p w14:paraId="7379A1A4">
      <w:pPr>
        <w:rPr>
          <w:rFonts w:hint="default"/>
          <w:b/>
          <w:bCs w:val="0"/>
          <w:sz w:val="16"/>
          <w:szCs w:val="16"/>
          <w:u w:val="none"/>
        </w:rPr>
      </w:pPr>
      <w:r>
        <w:rPr>
          <w:rFonts w:hint="default"/>
          <w:b/>
          <w:bCs w:val="0"/>
          <w:sz w:val="16"/>
          <w:szCs w:val="16"/>
          <w:u w:val="none"/>
        </w:rPr>
        <w:t>│   │   ├── models.py         # Lease &amp; TransactionLog ORM models</w:t>
      </w:r>
    </w:p>
    <w:p w14:paraId="48EE2439">
      <w:pPr>
        <w:rPr>
          <w:rFonts w:hint="default"/>
          <w:b/>
          <w:bCs w:val="0"/>
          <w:sz w:val="16"/>
          <w:szCs w:val="16"/>
          <w:u w:val="none"/>
        </w:rPr>
      </w:pPr>
      <w:r>
        <w:rPr>
          <w:rFonts w:hint="default"/>
          <w:b/>
          <w:bCs w:val="0"/>
          <w:sz w:val="16"/>
          <w:szCs w:val="16"/>
          <w:u w:val="none"/>
        </w:rPr>
        <w:t>│   │   ├── schemas.py        # Pydantic request/response schemas</w:t>
      </w:r>
    </w:p>
    <w:p w14:paraId="74B3C0D2">
      <w:pPr>
        <w:rPr>
          <w:rFonts w:hint="default"/>
          <w:b/>
          <w:bCs w:val="0"/>
          <w:sz w:val="16"/>
          <w:szCs w:val="16"/>
          <w:u w:val="none"/>
        </w:rPr>
      </w:pPr>
      <w:r>
        <w:rPr>
          <w:rFonts w:hint="default"/>
          <w:b/>
          <w:bCs w:val="0"/>
          <w:sz w:val="16"/>
          <w:szCs w:val="16"/>
          <w:u w:val="none"/>
        </w:rPr>
        <w:t>│   │   ├── recovery.py       # Rollback &amp; recovery logic</w:t>
      </w:r>
    </w:p>
    <w:p w14:paraId="71737477">
      <w:pPr>
        <w:rPr>
          <w:rFonts w:hint="default"/>
          <w:b/>
          <w:bCs w:val="0"/>
          <w:sz w:val="16"/>
          <w:szCs w:val="16"/>
          <w:u w:val="none"/>
        </w:rPr>
      </w:pPr>
      <w:r>
        <w:rPr>
          <w:rFonts w:hint="default"/>
          <w:b/>
          <w:bCs w:val="0"/>
          <w:sz w:val="16"/>
          <w:szCs w:val="16"/>
          <w:u w:val="none"/>
        </w:rPr>
        <w:t>│   │   └── __pycache__/</w:t>
      </w:r>
    </w:p>
    <w:p w14:paraId="4B78E587">
      <w:pPr>
        <w:rPr>
          <w:rFonts w:hint="default"/>
          <w:b/>
          <w:bCs w:val="0"/>
          <w:sz w:val="16"/>
          <w:szCs w:val="16"/>
          <w:u w:val="none"/>
        </w:rPr>
      </w:pPr>
      <w:r>
        <w:rPr>
          <w:rFonts w:hint="default"/>
          <w:b/>
          <w:bCs w:val="0"/>
          <w:sz w:val="16"/>
          <w:szCs w:val="16"/>
          <w:u w:val="none"/>
        </w:rPr>
        <w:t>│   │</w:t>
      </w:r>
    </w:p>
    <w:p w14:paraId="5400E591">
      <w:pPr>
        <w:rPr>
          <w:rFonts w:hint="default"/>
          <w:b/>
          <w:bCs w:val="0"/>
          <w:sz w:val="16"/>
          <w:szCs w:val="16"/>
          <w:u w:val="none"/>
        </w:rPr>
      </w:pPr>
      <w:r>
        <w:rPr>
          <w:rFonts w:hint="default"/>
          <w:b/>
          <w:bCs w:val="0"/>
          <w:sz w:val="16"/>
          <w:szCs w:val="16"/>
          <w:u w:val="none"/>
        </w:rPr>
        <w:t>│   ├── venv/                  # Python virtual environment</w:t>
      </w:r>
    </w:p>
    <w:p w14:paraId="17EC546A">
      <w:pPr>
        <w:rPr>
          <w:rFonts w:hint="default"/>
          <w:b/>
          <w:bCs w:val="0"/>
          <w:sz w:val="16"/>
          <w:szCs w:val="16"/>
          <w:u w:val="none"/>
        </w:rPr>
      </w:pPr>
      <w:r>
        <w:rPr>
          <w:rFonts w:hint="default"/>
          <w:b/>
          <w:bCs w:val="0"/>
          <w:sz w:val="16"/>
          <w:szCs w:val="16"/>
          <w:u w:val="none"/>
        </w:rPr>
        <w:t>│   └── requirements.txt       # Backend dependencies</w:t>
      </w:r>
    </w:p>
    <w:p w14:paraId="4356434D">
      <w:pPr>
        <w:rPr>
          <w:rFonts w:hint="default"/>
          <w:b/>
          <w:bCs w:val="0"/>
          <w:sz w:val="16"/>
          <w:szCs w:val="16"/>
          <w:u w:val="none"/>
        </w:rPr>
      </w:pPr>
      <w:r>
        <w:rPr>
          <w:rFonts w:hint="default"/>
          <w:b/>
          <w:bCs w:val="0"/>
          <w:sz w:val="16"/>
          <w:szCs w:val="16"/>
          <w:u w:val="none"/>
        </w:rPr>
        <w:t>│</w:t>
      </w:r>
    </w:p>
    <w:p w14:paraId="6466E0F3">
      <w:pPr>
        <w:rPr>
          <w:rFonts w:hint="default"/>
          <w:b/>
          <w:bCs w:val="0"/>
          <w:sz w:val="16"/>
          <w:szCs w:val="16"/>
          <w:u w:val="none"/>
        </w:rPr>
      </w:pPr>
      <w:r>
        <w:rPr>
          <w:rFonts w:hint="default"/>
          <w:b/>
          <w:bCs w:val="0"/>
          <w:sz w:val="16"/>
          <w:szCs w:val="16"/>
          <w:u w:val="none"/>
        </w:rPr>
        <w:t>├── frontend/</w:t>
      </w:r>
    </w:p>
    <w:p w14:paraId="4C606FC8">
      <w:pPr>
        <w:rPr>
          <w:rFonts w:hint="default"/>
          <w:b/>
          <w:bCs w:val="0"/>
          <w:sz w:val="16"/>
          <w:szCs w:val="16"/>
          <w:u w:val="none"/>
        </w:rPr>
      </w:pPr>
      <w:r>
        <w:rPr>
          <w:rFonts w:hint="default"/>
          <w:b/>
          <w:bCs w:val="0"/>
          <w:sz w:val="16"/>
          <w:szCs w:val="16"/>
          <w:u w:val="none"/>
        </w:rPr>
        <w:t>│   └── lease-frontend/</w:t>
      </w:r>
    </w:p>
    <w:p w14:paraId="67DABA2F">
      <w:pPr>
        <w:rPr>
          <w:rFonts w:hint="default"/>
          <w:b/>
          <w:bCs w:val="0"/>
          <w:sz w:val="16"/>
          <w:szCs w:val="16"/>
          <w:u w:val="none"/>
        </w:rPr>
      </w:pPr>
      <w:r>
        <w:rPr>
          <w:rFonts w:hint="default"/>
          <w:b/>
          <w:bCs w:val="0"/>
          <w:sz w:val="16"/>
          <w:szCs w:val="16"/>
          <w:u w:val="none"/>
        </w:rPr>
        <w:t>│       │</w:t>
      </w:r>
    </w:p>
    <w:p w14:paraId="390FEA5A">
      <w:pPr>
        <w:rPr>
          <w:rFonts w:hint="default"/>
          <w:b/>
          <w:bCs w:val="0"/>
          <w:sz w:val="16"/>
          <w:szCs w:val="16"/>
          <w:u w:val="none"/>
        </w:rPr>
      </w:pPr>
      <w:r>
        <w:rPr>
          <w:rFonts w:hint="default"/>
          <w:b/>
          <w:bCs w:val="0"/>
          <w:sz w:val="16"/>
          <w:szCs w:val="16"/>
          <w:u w:val="none"/>
        </w:rPr>
        <w:t>│       ├── public/</w:t>
      </w:r>
    </w:p>
    <w:p w14:paraId="34FF9F0A">
      <w:pPr>
        <w:rPr>
          <w:rFonts w:hint="default"/>
          <w:b/>
          <w:bCs w:val="0"/>
          <w:sz w:val="16"/>
          <w:szCs w:val="16"/>
          <w:u w:val="none"/>
        </w:rPr>
      </w:pPr>
      <w:r>
        <w:rPr>
          <w:rFonts w:hint="default"/>
          <w:b/>
          <w:bCs w:val="0"/>
          <w:sz w:val="16"/>
          <w:szCs w:val="16"/>
          <w:u w:val="none"/>
        </w:rPr>
        <w:t>│       │</w:t>
      </w:r>
    </w:p>
    <w:p w14:paraId="4BACEBF3">
      <w:pPr>
        <w:rPr>
          <w:rFonts w:hint="default"/>
          <w:b/>
          <w:bCs w:val="0"/>
          <w:sz w:val="16"/>
          <w:szCs w:val="16"/>
          <w:u w:val="none"/>
        </w:rPr>
      </w:pPr>
      <w:r>
        <w:rPr>
          <w:rFonts w:hint="default"/>
          <w:b/>
          <w:bCs w:val="0"/>
          <w:sz w:val="16"/>
          <w:szCs w:val="16"/>
          <w:u w:val="none"/>
        </w:rPr>
        <w:t>│       ├── src/</w:t>
      </w:r>
    </w:p>
    <w:p w14:paraId="36BFBBF7">
      <w:pPr>
        <w:rPr>
          <w:rFonts w:hint="default"/>
          <w:b/>
          <w:bCs w:val="0"/>
          <w:sz w:val="16"/>
          <w:szCs w:val="16"/>
          <w:u w:val="none"/>
        </w:rPr>
      </w:pPr>
      <w:r>
        <w:rPr>
          <w:rFonts w:hint="default"/>
          <w:b/>
          <w:bCs w:val="0"/>
          <w:sz w:val="16"/>
          <w:szCs w:val="16"/>
          <w:u w:val="none"/>
        </w:rPr>
        <w:t>│       │   ├── api/</w:t>
      </w:r>
    </w:p>
    <w:p w14:paraId="53C884CE">
      <w:pPr>
        <w:rPr>
          <w:rFonts w:hint="default"/>
          <w:b/>
          <w:bCs w:val="0"/>
          <w:sz w:val="16"/>
          <w:szCs w:val="16"/>
          <w:u w:val="none"/>
        </w:rPr>
      </w:pPr>
      <w:r>
        <w:rPr>
          <w:rFonts w:hint="default"/>
          <w:b/>
          <w:bCs w:val="0"/>
          <w:sz w:val="16"/>
          <w:szCs w:val="16"/>
          <w:u w:val="none"/>
        </w:rPr>
        <w:t>│       │   │   └── index.js   # Axios API calls to backend nodes</w:t>
      </w:r>
    </w:p>
    <w:p w14:paraId="3DF2D7D1">
      <w:pPr>
        <w:rPr>
          <w:rFonts w:hint="default"/>
          <w:b/>
          <w:bCs w:val="0"/>
          <w:sz w:val="16"/>
          <w:szCs w:val="16"/>
          <w:u w:val="none"/>
        </w:rPr>
      </w:pPr>
      <w:r>
        <w:rPr>
          <w:rFonts w:hint="default"/>
          <w:b/>
          <w:bCs w:val="0"/>
          <w:sz w:val="16"/>
          <w:szCs w:val="16"/>
          <w:u w:val="none"/>
        </w:rPr>
        <w:t>│       │   │</w:t>
      </w:r>
    </w:p>
    <w:p w14:paraId="00950ED9">
      <w:pPr>
        <w:rPr>
          <w:rFonts w:hint="default"/>
          <w:b/>
          <w:bCs w:val="0"/>
          <w:sz w:val="16"/>
          <w:szCs w:val="16"/>
          <w:u w:val="none"/>
        </w:rPr>
      </w:pPr>
      <w:r>
        <w:rPr>
          <w:rFonts w:hint="default"/>
          <w:b/>
          <w:bCs w:val="0"/>
          <w:sz w:val="16"/>
          <w:szCs w:val="16"/>
          <w:u w:val="none"/>
        </w:rPr>
        <w:t>│       │   ├── router/</w:t>
      </w:r>
    </w:p>
    <w:p w14:paraId="027C816A">
      <w:pPr>
        <w:rPr>
          <w:rFonts w:hint="default"/>
          <w:b/>
          <w:bCs w:val="0"/>
          <w:sz w:val="16"/>
          <w:szCs w:val="16"/>
          <w:u w:val="none"/>
        </w:rPr>
      </w:pPr>
      <w:r>
        <w:rPr>
          <w:rFonts w:hint="default"/>
          <w:b/>
          <w:bCs w:val="0"/>
          <w:sz w:val="16"/>
          <w:szCs w:val="16"/>
          <w:u w:val="none"/>
        </w:rPr>
        <w:t>│       │   │   └── index.js   # Vue Router configuration</w:t>
      </w:r>
    </w:p>
    <w:p w14:paraId="68CEA0BB">
      <w:pPr>
        <w:rPr>
          <w:rFonts w:hint="default"/>
          <w:b/>
          <w:bCs w:val="0"/>
          <w:sz w:val="16"/>
          <w:szCs w:val="16"/>
          <w:u w:val="none"/>
        </w:rPr>
      </w:pPr>
      <w:r>
        <w:rPr>
          <w:rFonts w:hint="default"/>
          <w:b/>
          <w:bCs w:val="0"/>
          <w:sz w:val="16"/>
          <w:szCs w:val="16"/>
          <w:u w:val="none"/>
        </w:rPr>
        <w:t>│       │   │</w:t>
      </w:r>
    </w:p>
    <w:p w14:paraId="6063B37E">
      <w:pPr>
        <w:rPr>
          <w:rFonts w:hint="default"/>
          <w:b/>
          <w:bCs w:val="0"/>
          <w:sz w:val="16"/>
          <w:szCs w:val="16"/>
          <w:u w:val="none"/>
        </w:rPr>
      </w:pPr>
      <w:r>
        <w:rPr>
          <w:rFonts w:hint="default"/>
          <w:b/>
          <w:bCs w:val="0"/>
          <w:sz w:val="16"/>
          <w:szCs w:val="16"/>
          <w:u w:val="none"/>
        </w:rPr>
        <w:t>│       │   ├── views/</w:t>
      </w:r>
    </w:p>
    <w:p w14:paraId="760A620E">
      <w:pPr>
        <w:rPr>
          <w:rFonts w:hint="default"/>
          <w:b/>
          <w:bCs w:val="0"/>
          <w:sz w:val="16"/>
          <w:szCs w:val="16"/>
          <w:u w:val="none"/>
        </w:rPr>
      </w:pPr>
      <w:r>
        <w:rPr>
          <w:rFonts w:hint="default"/>
          <w:b/>
          <w:bCs w:val="0"/>
          <w:sz w:val="16"/>
          <w:szCs w:val="16"/>
          <w:u w:val="none"/>
        </w:rPr>
        <w:t>│       │   │   ├── Dashboard.vue</w:t>
      </w:r>
    </w:p>
    <w:p w14:paraId="1398F116">
      <w:pPr>
        <w:rPr>
          <w:rFonts w:hint="default"/>
          <w:b/>
          <w:bCs w:val="0"/>
          <w:sz w:val="16"/>
          <w:szCs w:val="16"/>
          <w:u w:val="none"/>
        </w:rPr>
      </w:pPr>
      <w:r>
        <w:rPr>
          <w:rFonts w:hint="default"/>
          <w:b/>
          <w:bCs w:val="0"/>
          <w:sz w:val="16"/>
          <w:szCs w:val="16"/>
          <w:u w:val="none"/>
        </w:rPr>
        <w:t>│       │   │   ├── CreateLease.vue</w:t>
      </w:r>
    </w:p>
    <w:p w14:paraId="040E85AE">
      <w:pPr>
        <w:rPr>
          <w:rFonts w:hint="default"/>
          <w:b/>
          <w:bCs w:val="0"/>
          <w:sz w:val="16"/>
          <w:szCs w:val="16"/>
          <w:u w:val="none"/>
        </w:rPr>
      </w:pPr>
      <w:r>
        <w:rPr>
          <w:rFonts w:hint="default"/>
          <w:b/>
          <w:bCs w:val="0"/>
          <w:sz w:val="16"/>
          <w:szCs w:val="16"/>
          <w:u w:val="none"/>
        </w:rPr>
        <w:t>│       │   │   ├── LeaseTable.vue</w:t>
      </w:r>
    </w:p>
    <w:p w14:paraId="15BFA722">
      <w:pPr>
        <w:rPr>
          <w:rFonts w:hint="default"/>
          <w:b/>
          <w:bCs w:val="0"/>
          <w:sz w:val="16"/>
          <w:szCs w:val="16"/>
          <w:u w:val="none"/>
        </w:rPr>
      </w:pPr>
      <w:r>
        <w:rPr>
          <w:rFonts w:hint="default"/>
          <w:b/>
          <w:bCs w:val="0"/>
          <w:sz w:val="16"/>
          <w:szCs w:val="16"/>
          <w:u w:val="none"/>
        </w:rPr>
        <w:t>│       │   │   └── TransactionLogs.vue</w:t>
      </w:r>
    </w:p>
    <w:p w14:paraId="4FCC84CB">
      <w:pPr>
        <w:rPr>
          <w:rFonts w:hint="default"/>
          <w:b/>
          <w:bCs w:val="0"/>
          <w:sz w:val="16"/>
          <w:szCs w:val="16"/>
          <w:u w:val="none"/>
        </w:rPr>
      </w:pPr>
      <w:r>
        <w:rPr>
          <w:rFonts w:hint="default"/>
          <w:b/>
          <w:bCs w:val="0"/>
          <w:sz w:val="16"/>
          <w:szCs w:val="16"/>
          <w:u w:val="none"/>
        </w:rPr>
        <w:t>│       │   │</w:t>
      </w:r>
    </w:p>
    <w:p w14:paraId="5359CAA8">
      <w:pPr>
        <w:rPr>
          <w:rFonts w:hint="default"/>
          <w:b/>
          <w:bCs w:val="0"/>
          <w:sz w:val="16"/>
          <w:szCs w:val="16"/>
          <w:u w:val="none"/>
        </w:rPr>
      </w:pPr>
      <w:r>
        <w:rPr>
          <w:rFonts w:hint="default"/>
          <w:b/>
          <w:bCs w:val="0"/>
          <w:sz w:val="16"/>
          <w:szCs w:val="16"/>
          <w:u w:val="none"/>
        </w:rPr>
        <w:t>│       │   ├── App.vue        # Root Vue component</w:t>
      </w:r>
    </w:p>
    <w:p w14:paraId="4836E416">
      <w:pPr>
        <w:rPr>
          <w:rFonts w:hint="default"/>
          <w:b/>
          <w:bCs w:val="0"/>
          <w:sz w:val="16"/>
          <w:szCs w:val="16"/>
          <w:u w:val="none"/>
        </w:rPr>
      </w:pPr>
      <w:r>
        <w:rPr>
          <w:rFonts w:hint="default"/>
          <w:b/>
          <w:bCs w:val="0"/>
          <w:sz w:val="16"/>
          <w:szCs w:val="16"/>
          <w:u w:val="none"/>
        </w:rPr>
        <w:t>│       │   └── main.js        # Frontend entry point</w:t>
      </w:r>
    </w:p>
    <w:p w14:paraId="770B4AD6">
      <w:pPr>
        <w:rPr>
          <w:rFonts w:hint="default"/>
          <w:b/>
          <w:bCs w:val="0"/>
          <w:sz w:val="16"/>
          <w:szCs w:val="16"/>
          <w:u w:val="none"/>
        </w:rPr>
      </w:pPr>
      <w:r>
        <w:rPr>
          <w:rFonts w:hint="default"/>
          <w:b/>
          <w:bCs w:val="0"/>
          <w:sz w:val="16"/>
          <w:szCs w:val="16"/>
          <w:u w:val="none"/>
        </w:rPr>
        <w:t>│       │</w:t>
      </w:r>
    </w:p>
    <w:p w14:paraId="116D1717">
      <w:pPr>
        <w:rPr>
          <w:rFonts w:hint="default"/>
          <w:b/>
          <w:bCs w:val="0"/>
          <w:sz w:val="16"/>
          <w:szCs w:val="16"/>
          <w:u w:val="none"/>
        </w:rPr>
      </w:pPr>
      <w:r>
        <w:rPr>
          <w:rFonts w:hint="default"/>
          <w:b/>
          <w:bCs w:val="0"/>
          <w:sz w:val="16"/>
          <w:szCs w:val="16"/>
          <w:u w:val="none"/>
        </w:rPr>
        <w:t>│       ├── index.html</w:t>
      </w:r>
    </w:p>
    <w:p w14:paraId="36FC1C2A">
      <w:pPr>
        <w:rPr>
          <w:rFonts w:hint="default"/>
          <w:b/>
          <w:bCs w:val="0"/>
          <w:sz w:val="16"/>
          <w:szCs w:val="16"/>
          <w:u w:val="none"/>
        </w:rPr>
      </w:pPr>
      <w:r>
        <w:rPr>
          <w:rFonts w:hint="default"/>
          <w:b/>
          <w:bCs w:val="0"/>
          <w:sz w:val="16"/>
          <w:szCs w:val="16"/>
          <w:u w:val="none"/>
        </w:rPr>
        <w:t>│       ├── package.json</w:t>
      </w:r>
      <w:bookmarkStart w:id="0" w:name="_GoBack"/>
      <w:bookmarkEnd w:id="0"/>
    </w:p>
    <w:p w14:paraId="16292423">
      <w:pPr>
        <w:rPr>
          <w:rFonts w:hint="default"/>
          <w:b/>
          <w:bCs w:val="0"/>
          <w:sz w:val="16"/>
          <w:szCs w:val="16"/>
          <w:u w:val="none"/>
        </w:rPr>
      </w:pPr>
      <w:r>
        <w:rPr>
          <w:rFonts w:hint="default"/>
          <w:b/>
          <w:bCs w:val="0"/>
          <w:sz w:val="16"/>
          <w:szCs w:val="16"/>
          <w:u w:val="none"/>
        </w:rPr>
        <w:t>│       ├── package-lock.json</w:t>
      </w:r>
    </w:p>
    <w:p w14:paraId="1287A32E">
      <w:pPr>
        <w:rPr>
          <w:rFonts w:hint="default"/>
          <w:b/>
          <w:bCs w:val="0"/>
          <w:sz w:val="16"/>
          <w:szCs w:val="16"/>
          <w:u w:val="none"/>
        </w:rPr>
      </w:pPr>
      <w:r>
        <w:rPr>
          <w:rFonts w:hint="default"/>
          <w:b/>
          <w:bCs w:val="0"/>
          <w:sz w:val="16"/>
          <w:szCs w:val="16"/>
          <w:u w:val="none"/>
        </w:rPr>
        <w:t>│       ├── vite.config.js</w:t>
      </w:r>
    </w:p>
    <w:p w14:paraId="07262F0A">
      <w:pPr>
        <w:rPr>
          <w:rFonts w:hint="default"/>
          <w:b/>
          <w:bCs w:val="0"/>
          <w:sz w:val="16"/>
          <w:szCs w:val="16"/>
          <w:u w:val="none"/>
        </w:rPr>
      </w:pPr>
      <w:r>
        <w:rPr>
          <w:rFonts w:hint="default"/>
          <w:b/>
          <w:bCs w:val="0"/>
          <w:sz w:val="16"/>
          <w:szCs w:val="16"/>
          <w:u w:val="none"/>
        </w:rPr>
        <w:t>│       ├── eslint.config.js</w:t>
      </w:r>
    </w:p>
    <w:p w14:paraId="2A3F34F3">
      <w:pPr>
        <w:rPr>
          <w:rFonts w:hint="default"/>
          <w:b/>
          <w:bCs w:val="0"/>
          <w:sz w:val="16"/>
          <w:szCs w:val="16"/>
          <w:u w:val="none"/>
        </w:rPr>
      </w:pPr>
      <w:r>
        <w:rPr>
          <w:rFonts w:hint="default"/>
          <w:b/>
          <w:bCs w:val="0"/>
          <w:sz w:val="16"/>
          <w:szCs w:val="16"/>
          <w:u w:val="none"/>
        </w:rPr>
        <w:t>│       ├── jsconfig.json</w:t>
      </w:r>
    </w:p>
    <w:p w14:paraId="657B88E3">
      <w:pPr>
        <w:rPr>
          <w:rFonts w:hint="default"/>
          <w:b/>
          <w:bCs w:val="0"/>
          <w:sz w:val="16"/>
          <w:szCs w:val="16"/>
          <w:u w:val="none"/>
        </w:rPr>
      </w:pPr>
      <w:r>
        <w:rPr>
          <w:rFonts w:hint="default"/>
          <w:b/>
          <w:bCs w:val="0"/>
          <w:sz w:val="16"/>
          <w:szCs w:val="16"/>
          <w:u w:val="none"/>
        </w:rPr>
        <w:t>│       ├── .gitignore</w:t>
      </w:r>
    </w:p>
    <w:p w14:paraId="776D2681">
      <w:pPr>
        <w:rPr>
          <w:rFonts w:hint="default"/>
          <w:b/>
          <w:bCs w:val="0"/>
          <w:sz w:val="16"/>
          <w:szCs w:val="16"/>
          <w:u w:val="none"/>
        </w:rPr>
      </w:pPr>
      <w:r>
        <w:rPr>
          <w:rFonts w:hint="default"/>
          <w:b/>
          <w:bCs w:val="0"/>
          <w:sz w:val="16"/>
          <w:szCs w:val="16"/>
          <w:u w:val="none"/>
        </w:rPr>
        <w:t>│       └── README.md</w:t>
      </w:r>
    </w:p>
    <w:p w14:paraId="482806C8">
      <w:pPr>
        <w:rPr>
          <w:rFonts w:hint="default"/>
          <w:b/>
          <w:bCs w:val="0"/>
          <w:sz w:val="16"/>
          <w:szCs w:val="16"/>
          <w:u w:val="none"/>
        </w:rPr>
      </w:pPr>
      <w:r>
        <w:rPr>
          <w:rFonts w:hint="default"/>
          <w:b/>
          <w:bCs w:val="0"/>
          <w:sz w:val="16"/>
          <w:szCs w:val="16"/>
          <w:u w:val="none"/>
        </w:rPr>
        <w:t>│</w:t>
      </w:r>
    </w:p>
    <w:p w14:paraId="59C4D32F">
      <w:pPr>
        <w:rPr>
          <w:rFonts w:ascii="Times New Roman" w:hAnsi="Times New Roman" w:eastAsia="Times New Roman" w:cs="Times New Roman"/>
          <w:b/>
          <w:bCs w:val="0"/>
          <w:sz w:val="16"/>
          <w:szCs w:val="16"/>
        </w:rPr>
      </w:pPr>
      <w:r>
        <w:rPr>
          <w:rFonts w:hint="default"/>
          <w:b/>
          <w:bCs w:val="0"/>
          <w:sz w:val="16"/>
          <w:szCs w:val="16"/>
          <w:u w:val="none"/>
        </w:rPr>
        <w:t>└── README.md</w:t>
      </w:r>
    </w:p>
    <w:p w14:paraId="468FCD5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Architecture Overview</w:t>
      </w:r>
    </w:p>
    <w:p w14:paraId="6D3CB4F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system follows a </w:t>
      </w:r>
      <w:r>
        <w:rPr>
          <w:rFonts w:ascii="Times New Roman" w:hAnsi="Times New Roman" w:eastAsia="Times New Roman" w:cs="Times New Roman"/>
          <w:bCs/>
          <w:sz w:val="24"/>
          <w:szCs w:val="24"/>
        </w:rPr>
        <w:t>Coordinator-Worker (Participant) architecture</w:t>
      </w:r>
      <w:r>
        <w:rPr>
          <w:rFonts w:ascii="Times New Roman" w:hAnsi="Times New Roman" w:eastAsia="Times New Roman" w:cs="Times New Roman"/>
          <w:sz w:val="24"/>
          <w:szCs w:val="24"/>
        </w:rPr>
        <w:t xml:space="preserve"> implementing a </w:t>
      </w:r>
      <w:r>
        <w:rPr>
          <w:rFonts w:ascii="Times New Roman" w:hAnsi="Times New Roman" w:eastAsia="Times New Roman" w:cs="Times New Roman"/>
          <w:bCs/>
          <w:sz w:val="24"/>
          <w:szCs w:val="24"/>
        </w:rPr>
        <w:t>Two-Phase Commit (2PC)</w:t>
      </w:r>
      <w:r>
        <w:rPr>
          <w:rFonts w:ascii="Times New Roman" w:hAnsi="Times New Roman" w:eastAsia="Times New Roman" w:cs="Times New Roman"/>
          <w:sz w:val="24"/>
          <w:szCs w:val="24"/>
        </w:rPr>
        <w:t xml:space="preserve"> protocol to guarantee atomic distributed lease creation. Although all services execute on a single physical machine, each node runs as an independent service with its own database and transaction log, accurately modeling a distributed environment.</w:t>
      </w:r>
    </w:p>
    <w:p w14:paraId="2004875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Node Types</w:t>
      </w:r>
    </w:p>
    <w:p w14:paraId="7AFE101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Coordinator Node (Transaction Manager)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The coordinator is the central decision-making entity. It does not persist lease data but orchestrates all distributed transactions. For every </w:t>
      </w:r>
      <w:r>
        <w:rPr>
          <w:rFonts w:ascii="Courier New" w:hAnsi="Courier New" w:eastAsia="Times New Roman" w:cs="Courier New"/>
          <w:sz w:val="20"/>
          <w:szCs w:val="20"/>
        </w:rPr>
        <w:t>/</w:t>
      </w:r>
      <w:r>
        <w:rPr>
          <w:rFonts w:ascii="Times New Roman" w:hAnsi="Times New Roman" w:eastAsia="Times New Roman" w:cs="Times New Roman"/>
          <w:sz w:val="24"/>
          <w:szCs w:val="24"/>
        </w:rPr>
        <w:t>create_lease request, the coordinator:</w:t>
      </w:r>
    </w:p>
    <w:p w14:paraId="269E4DA2">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Generates a unique transaction id</w:t>
      </w:r>
    </w:p>
    <w:p w14:paraId="671FA308">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Generates a single authoritative lease id</w:t>
      </w:r>
    </w:p>
    <w:p w14:paraId="3D017ACA">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Executes and manages the Two-Phase Commit protocol</w:t>
      </w:r>
    </w:p>
    <w:p w14:paraId="41315682">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Enforces global ordering and atomicity</w:t>
      </w:r>
    </w:p>
    <w:p w14:paraId="2284D41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Worker / Lease Nodes (Participants)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Each worker node is an independent service with:</w:t>
      </w:r>
    </w:p>
    <w:p w14:paraId="3C676DC0">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Its own local database</w:t>
      </w:r>
    </w:p>
    <w:p w14:paraId="37970258">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Its own transaction log</w:t>
      </w:r>
    </w:p>
    <w:p w14:paraId="65A193B2">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 direct communication with other nodes</w:t>
      </w:r>
    </w:p>
    <w:p w14:paraId="13841E7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Worker nodes strictly follow coordinator instructions and execute prepare , commit , or rollback  operations locally.</w:t>
      </w:r>
    </w:p>
    <w:p w14:paraId="3FAC8DF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Client Interface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Clients (browser, curl, or Postman) interact only with the coordinator, ensuring a single point of transaction entry.</w:t>
      </w:r>
    </w:p>
    <w:p w14:paraId="35C680F7">
      <w:pPr>
        <w:spacing w:after="0" w:line="240" w:lineRule="auto"/>
        <w:rPr>
          <w:rFonts w:ascii="Times New Roman" w:hAnsi="Times New Roman" w:eastAsia="Times New Roman" w:cs="Times New Roman"/>
          <w:sz w:val="24"/>
          <w:szCs w:val="24"/>
        </w:rPr>
      </w:pPr>
    </w:p>
    <w:p w14:paraId="5722621E">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2. TRANSACTION MODEL AND CONCURRENCY STRATEGY</w:t>
      </w:r>
    </w:p>
    <w:p w14:paraId="0A6364E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Transaction Model</w:t>
      </w:r>
    </w:p>
    <w:p w14:paraId="024F9D2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system supports a </w:t>
      </w:r>
      <w:r>
        <w:rPr>
          <w:rFonts w:ascii="Times New Roman" w:hAnsi="Times New Roman" w:eastAsia="Times New Roman" w:cs="Times New Roman"/>
          <w:bCs/>
          <w:sz w:val="24"/>
          <w:szCs w:val="24"/>
        </w:rPr>
        <w:t>lease creation transaction</w:t>
      </w:r>
      <w:r>
        <w:rPr>
          <w:rFonts w:ascii="Times New Roman" w:hAnsi="Times New Roman" w:eastAsia="Times New Roman" w:cs="Times New Roman"/>
          <w:sz w:val="24"/>
          <w:szCs w:val="24"/>
        </w:rPr>
        <w:t xml:space="preserve"> that must be applied atomically across all worker nodes.</w:t>
      </w:r>
    </w:p>
    <w:p w14:paraId="5A7A7B3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Two-Phase Commit (2PC)</w:t>
      </w:r>
    </w:p>
    <w:p w14:paraId="3009231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Phase 1: Prepare</w:t>
      </w:r>
    </w:p>
    <w:p w14:paraId="456272E9">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coordinator sends </w:t>
      </w:r>
      <w:r>
        <w:rPr>
          <w:rFonts w:ascii="Times New Roman" w:hAnsi="Times New Roman" w:eastAsia="Times New Roman" w:cs="Times New Roman"/>
          <w:sz w:val="20"/>
          <w:szCs w:val="20"/>
        </w:rPr>
        <w:t>/prepare</w:t>
      </w:r>
      <w:r>
        <w:rPr>
          <w:rFonts w:ascii="Times New Roman" w:hAnsi="Times New Roman" w:eastAsia="Times New Roman" w:cs="Times New Roman"/>
          <w:sz w:val="24"/>
          <w:szCs w:val="24"/>
        </w:rPr>
        <w:t xml:space="preserve"> requests to all worker nodes, including:</w:t>
      </w:r>
    </w:p>
    <w:p w14:paraId="147417FF">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transaction_id</w:t>
      </w:r>
    </w:p>
    <w:p w14:paraId="0AC953E1">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lease_id</w:t>
      </w:r>
    </w:p>
    <w:p w14:paraId="38CB30F4">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Lease data</w:t>
      </w:r>
    </w:p>
    <w:p w14:paraId="3E4862E4">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Each worker node:</w:t>
      </w:r>
    </w:p>
    <w:p w14:paraId="5EF9D44D">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Opens a local database transaction</w:t>
      </w:r>
    </w:p>
    <w:p w14:paraId="34B82DB4">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Validates the lease operation</w:t>
      </w:r>
    </w:p>
    <w:p w14:paraId="0E4748C1">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Writes lease data in a reversible state</w:t>
      </w:r>
    </w:p>
    <w:p w14:paraId="1C5A5713">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Records the transaction as </w:t>
      </w:r>
      <w:r>
        <w:rPr>
          <w:rFonts w:ascii="Times New Roman" w:hAnsi="Times New Roman" w:eastAsia="Times New Roman" w:cs="Times New Roman"/>
          <w:bCs/>
          <w:sz w:val="24"/>
          <w:szCs w:val="24"/>
        </w:rPr>
        <w:t>PREPARED</w:t>
      </w:r>
      <w:r>
        <w:rPr>
          <w:rFonts w:ascii="Times New Roman" w:hAnsi="Times New Roman" w:eastAsia="Times New Roman" w:cs="Times New Roman"/>
          <w:sz w:val="24"/>
          <w:szCs w:val="24"/>
        </w:rPr>
        <w:t xml:space="preserve"> in its transaction log</w:t>
      </w:r>
    </w:p>
    <w:p w14:paraId="64E18C41">
      <w:pPr>
        <w:numPr>
          <w:ilvl w:val="1"/>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Commits the local database transaction</w:t>
      </w:r>
    </w:p>
    <w:p w14:paraId="112608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Phase 2: Commit / Rollback</w:t>
      </w:r>
    </w:p>
    <w:p w14:paraId="1A22FC4D">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all nodes respond with </w:t>
      </w:r>
      <w:r>
        <w:rPr>
          <w:rFonts w:ascii="Times New Roman" w:hAnsi="Times New Roman" w:eastAsia="Times New Roman" w:cs="Times New Roman"/>
          <w:bCs/>
          <w:sz w:val="24"/>
          <w:szCs w:val="24"/>
        </w:rPr>
        <w:t>PREPARED</w:t>
      </w:r>
      <w:r>
        <w:rPr>
          <w:rFonts w:ascii="Times New Roman" w:hAnsi="Times New Roman" w:eastAsia="Times New Roman" w:cs="Times New Roman"/>
          <w:sz w:val="24"/>
          <w:szCs w:val="24"/>
        </w:rPr>
        <w:t>, the coordinator issues /commit</w:t>
      </w:r>
    </w:p>
    <w:p w14:paraId="097227D7">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any node fails or responds negatively, the coordinator issues /rollback</w:t>
      </w:r>
    </w:p>
    <w:p w14:paraId="0A84378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ensures that lease creation is </w:t>
      </w:r>
      <w:r>
        <w:rPr>
          <w:rFonts w:ascii="Times New Roman" w:hAnsi="Times New Roman" w:eastAsia="Times New Roman" w:cs="Times New Roman"/>
          <w:bCs/>
          <w:sz w:val="24"/>
          <w:szCs w:val="24"/>
        </w:rPr>
        <w:t>all-or-nothing</w:t>
      </w:r>
      <w:r>
        <w:rPr>
          <w:rFonts w:ascii="Times New Roman" w:hAnsi="Times New Roman" w:eastAsia="Times New Roman" w:cs="Times New Roman"/>
          <w:sz w:val="24"/>
          <w:szCs w:val="24"/>
        </w:rPr>
        <w:t>.</w:t>
      </w:r>
    </w:p>
    <w:p w14:paraId="56184CF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Concurrency Strategy</w:t>
      </w:r>
    </w:p>
    <w:p w14:paraId="4BE8B9D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Concurrency is controlled using </w:t>
      </w:r>
      <w:r>
        <w:rPr>
          <w:rFonts w:ascii="Times New Roman" w:hAnsi="Times New Roman" w:eastAsia="Times New Roman" w:cs="Times New Roman"/>
          <w:bCs/>
          <w:sz w:val="24"/>
          <w:szCs w:val="24"/>
        </w:rPr>
        <w:t>centralized serialization</w:t>
      </w:r>
      <w:r>
        <w:rPr>
          <w:rFonts w:ascii="Times New Roman" w:hAnsi="Times New Roman" w:eastAsia="Times New Roman" w:cs="Times New Roman"/>
          <w:sz w:val="24"/>
          <w:szCs w:val="24"/>
        </w:rPr>
        <w:t>:</w:t>
      </w:r>
    </w:p>
    <w:p w14:paraId="12A712B7">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coordinator sequences all transactions</w:t>
      </w:r>
    </w:p>
    <w:p w14:paraId="246C33AC">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Worker nodes rely on database-level transaction isolation</w:t>
      </w:r>
    </w:p>
    <w:p w14:paraId="728862C0">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Conflicting writes are never executed concurrently</w:t>
      </w:r>
    </w:p>
    <w:p w14:paraId="27336FE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strategy prioritizes correctness and simplicity over throughput, which is acceptable for an academic distributed system.</w:t>
      </w:r>
    </w:p>
    <w:p w14:paraId="59C2C333">
      <w:pPr>
        <w:spacing w:after="0" w:line="240" w:lineRule="auto"/>
        <w:rPr>
          <w:rFonts w:ascii="Times New Roman" w:hAnsi="Times New Roman" w:eastAsia="Times New Roman" w:cs="Times New Roman"/>
          <w:sz w:val="24"/>
          <w:szCs w:val="24"/>
        </w:rPr>
      </w:pPr>
    </w:p>
    <w:p w14:paraId="5C0781B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3. FAILURE HANDLING AND RECOVERY APPROACH</w:t>
      </w:r>
    </w:p>
    <w:p w14:paraId="2394085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Node Failure During Prepare</w:t>
      </w:r>
    </w:p>
    <w:p w14:paraId="18BE442C">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Coordinator detects timeout or failure</w:t>
      </w:r>
    </w:p>
    <w:p w14:paraId="2DBF1ED7">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Transaction is globally aborted</w:t>
      </w:r>
    </w:p>
    <w:p w14:paraId="2A2449AA">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Rollback commands are sent to all prepared nodes</w:t>
      </w:r>
    </w:p>
    <w:p w14:paraId="5DD9B78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Node Failure After Prepare, Before Commit</w:t>
      </w:r>
    </w:p>
    <w:p w14:paraId="03642943">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Prepared lease data exists but is reversible</w:t>
      </w:r>
    </w:p>
    <w:p w14:paraId="54A8D132">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Transaction logs record the PREPARED state</w:t>
      </w:r>
    </w:p>
    <w:p w14:paraId="6F1A98BE">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Coordinator can safely issue commit or rollback after recovery</w:t>
      </w:r>
    </w:p>
    <w:p w14:paraId="2E5242D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Coordinator Failure</w:t>
      </w:r>
    </w:p>
    <w:p w14:paraId="7E03E66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Coordinator recovery is not implemented. This limitation is explicitly acknowledged and falls within the project scope, as the assignment requires handling at least one failure scenario.</w:t>
      </w:r>
    </w:p>
    <w:p w14:paraId="3AE5484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Consistency Guarantee</w:t>
      </w:r>
    </w:p>
    <w:p w14:paraId="2C3C7B6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Transaction logs ensure no partial or inconsistent lease data persists after failures.</w:t>
      </w:r>
    </w:p>
    <w:p w14:paraId="549D18D0">
      <w:pPr>
        <w:pStyle w:val="3"/>
      </w:pPr>
      <w:r>
        <w:t>4. KEY OBSERVATIONS AND SYSTEM ANALYSIS</w:t>
      </w:r>
    </w:p>
    <w:p w14:paraId="26C83756">
      <w:pPr>
        <w:pStyle w:val="4"/>
      </w:pPr>
      <w:r>
        <w:t>Observed Results</w:t>
      </w:r>
    </w:p>
    <w:p w14:paraId="575965C3">
      <w:pPr>
        <w:pStyle w:val="9"/>
      </w:pPr>
      <w:r>
        <w:t>During testing, the system consistently demonstrated correct distributed transaction behavior under both normal and failure conditions. Lease creation requests were either fully committed across all worker nodes or fully rolled back, with no partial or inconsistent states observed.</w:t>
      </w:r>
    </w:p>
    <w:p w14:paraId="1F997EBA">
      <w:pPr>
        <w:pStyle w:val="9"/>
      </w:pPr>
      <w:r>
        <w:t>The following results were recorded:</w:t>
      </w:r>
    </w:p>
    <w:p w14:paraId="3C20174A">
      <w:pPr>
        <w:pStyle w:val="9"/>
        <w:numPr>
          <w:ilvl w:val="0"/>
          <w:numId w:val="10"/>
        </w:numPr>
      </w:pPr>
      <w:r>
        <w:t>All lease creation transactions obeyed atomicity; no lease was partially created on any worker node.</w:t>
      </w:r>
    </w:p>
    <w:p w14:paraId="09ADB06D">
      <w:pPr>
        <w:pStyle w:val="9"/>
        <w:numPr>
          <w:ilvl w:val="0"/>
          <w:numId w:val="10"/>
        </w:numPr>
      </w:pPr>
      <w:r>
        <w:t>When a worker node failed or timed out during the prepare phase, the coordinator aborted the transaction and issued rollback commands to all participating nodes.</w:t>
      </w:r>
    </w:p>
    <w:p w14:paraId="77C1F7B1">
      <w:pPr>
        <w:pStyle w:val="9"/>
        <w:numPr>
          <w:ilvl w:val="0"/>
          <w:numId w:val="10"/>
        </w:numPr>
      </w:pPr>
      <w:r>
        <w:t>Prepared lease data was never made permanently visible unless a global commit decision was reached.</w:t>
      </w:r>
    </w:p>
    <w:p w14:paraId="77DB371C">
      <w:pPr>
        <w:pStyle w:val="9"/>
        <w:numPr>
          <w:ilvl w:val="0"/>
          <w:numId w:val="10"/>
        </w:numPr>
      </w:pPr>
      <w:r>
        <w:t>Concurrent client requests were processed in a deterministic and consistent order, preventing race conditions.</w:t>
      </w:r>
    </w:p>
    <w:p w14:paraId="3DA6CAA0">
      <w:pPr>
        <w:pStyle w:val="9"/>
        <w:numPr>
          <w:ilvl w:val="0"/>
          <w:numId w:val="10"/>
        </w:numPr>
      </w:pPr>
      <w:r>
        <w:t>Transaction latency increased slightly during failure scenarios due to timeout-based failure detection, which is expected behavior in Two-Phase Commit systems.</w:t>
      </w:r>
    </w:p>
    <w:p w14:paraId="7C5B7917">
      <w:pPr>
        <w:pStyle w:val="4"/>
      </w:pPr>
      <w:r>
        <w:t>Analysis</w:t>
      </w:r>
    </w:p>
    <w:p w14:paraId="0C84A51B">
      <w:pPr>
        <w:pStyle w:val="9"/>
      </w:pPr>
      <w:r>
        <w:t xml:space="preserve">The observed behavior confirms that the system strongly prioritizes </w:t>
      </w:r>
      <w:r>
        <w:rPr>
          <w:rStyle w:val="10"/>
          <w:b w:val="0"/>
        </w:rPr>
        <w:t>consistency and</w:t>
      </w:r>
      <w:r>
        <w:rPr>
          <w:rStyle w:val="10"/>
        </w:rPr>
        <w:t xml:space="preserve"> </w:t>
      </w:r>
      <w:r>
        <w:rPr>
          <w:rStyle w:val="10"/>
          <w:b w:val="0"/>
        </w:rPr>
        <w:t>correctness</w:t>
      </w:r>
      <w:r>
        <w:rPr>
          <w:b/>
        </w:rPr>
        <w:t xml:space="preserve"> </w:t>
      </w:r>
      <w:r>
        <w:t>over availability. This design choice aligns with the guarantees provided by the Two-Phase Commit protocol, which may temporarily block progress during failures to avoid inconsistent states.</w:t>
      </w:r>
    </w:p>
    <w:p w14:paraId="135BAC8C">
      <w:pPr>
        <w:pStyle w:val="9"/>
      </w:pPr>
      <w:r>
        <w:t>Centralized coordination simplified concurrency control and transaction ordering, reducing implementation complexity while ensuring predictable system behavior. Although this approach limits scalability, it is suitable for academic demonstrations and small-scale distributed systems.</w:t>
      </w:r>
    </w:p>
    <w:p w14:paraId="094F5DB1"/>
    <w:p w14:paraId="3AD12BB3">
      <w:pPr>
        <w:pStyle w:val="3"/>
      </w:pPr>
      <w:r>
        <w:t>5. CONCLUSION</w:t>
      </w:r>
    </w:p>
    <w:p w14:paraId="33D03813">
      <w:pPr>
        <w:pStyle w:val="9"/>
      </w:pPr>
      <w:r>
        <w:t>The Lease-Based Distributed Transaction System successfully demonstrates correct and fault-tolerant distributed transaction processing. By combining a centralized coordinator, Two-Phase Commit, database-level transactions, and transaction logging, the system guarantees atomicity, consistency, and isolation even in the presence of node failures and concurrent client access.</w:t>
      </w:r>
    </w:p>
    <w:p w14:paraId="7717B3BC">
      <w:pPr>
        <w:pStyle w:val="9"/>
      </w:pPr>
      <w:r>
        <w:t>Although scalability and coordinator recovery are not addressed, the system meets its academic objectives and provides a clear, defensible illustration of real-world distributed systems principles.</w:t>
      </w:r>
    </w:p>
    <w:p w14:paraId="23EE1640"/>
    <w:p w14:paraId="4AF5F5CD">
      <w:pPr>
        <w:pStyle w:val="9"/>
      </w:pPr>
      <w:r>
        <w:rPr>
          <w:b/>
          <w:sz w:val="36"/>
          <w:szCs w:val="36"/>
        </w:rPr>
        <w:t>REFERENCES</w:t>
      </w:r>
      <w:r>
        <w:rPr>
          <w:b/>
          <w:sz w:val="36"/>
          <w:szCs w:val="36"/>
        </w:rPr>
        <w:br w:type="textWrapping"/>
      </w:r>
      <w:r>
        <w:rPr>
          <w:rFonts w:hAnsi="Symbol"/>
        </w:rPr>
        <w:t></w:t>
      </w:r>
      <w:r>
        <w:t xml:space="preserve">  Al-Houmaily, Y. J. and Samaras, G. (2009). </w:t>
      </w:r>
      <w:r>
        <w:rPr>
          <w:rStyle w:val="7"/>
        </w:rPr>
        <w:t>Two-Phase Commit</w:t>
      </w:r>
      <w:r>
        <w:t xml:space="preserve">. In </w:t>
      </w:r>
      <w:r>
        <w:rPr>
          <w:rStyle w:val="7"/>
        </w:rPr>
        <w:t>Encyclopedia of Database Systems</w:t>
      </w:r>
      <w:r>
        <w:t>. Springer US — comprehensive protocol overview and guarantees in distributed systems.</w:t>
      </w:r>
    </w:p>
    <w:p w14:paraId="01A8098C">
      <w:pPr>
        <w:pStyle w:val="9"/>
      </w:pPr>
      <w:r>
        <w:rPr>
          <w:rFonts w:hAnsi="Symbol"/>
        </w:rPr>
        <w:t></w:t>
      </w:r>
      <w:r>
        <w:t xml:space="preserve">  Zhang, G., Ren, K. and Ahn, J. S. (2019). </w:t>
      </w:r>
      <w:r>
        <w:rPr>
          <w:rStyle w:val="7"/>
        </w:rPr>
        <w:t>GRIT: Consistent Distributed Transactions Across Polyglot Microservices</w:t>
      </w:r>
      <w:r>
        <w:t xml:space="preserve"> — explores 2PC in microservices context showing modern usage.</w:t>
      </w:r>
    </w:p>
    <w:p w14:paraId="6202616F">
      <w:pPr>
        <w:pStyle w:val="9"/>
      </w:pPr>
      <w:r>
        <w:rPr>
          <w:rFonts w:hAnsi="Symbol"/>
        </w:rPr>
        <w:t></w:t>
      </w:r>
      <w:r>
        <w:t xml:space="preserve">  S. Byun et al. (1997). </w:t>
      </w:r>
      <w:r>
        <w:rPr>
          <w:rStyle w:val="7"/>
        </w:rPr>
        <w:t>Nonblocking Two-Phase Commit Protocol to Avoid Unnecessary Transaction Abort</w:t>
      </w:r>
      <w:r>
        <w:t xml:space="preserve"> — foundational work on improving 2PC reliability and reducing aborts </w:t>
      </w:r>
    </w:p>
    <w:p w14:paraId="641015BB">
      <w:pPr>
        <w:pStyle w:val="9"/>
      </w:pPr>
      <w:r>
        <w:rPr>
          <w:rFonts w:hAnsi="Symbol"/>
        </w:rPr>
        <w:t></w:t>
      </w:r>
      <w:r>
        <w:t xml:space="preserve">  Salah, H. J. S. et al. (2025). </w:t>
      </w:r>
      <w:r>
        <w:rPr>
          <w:rStyle w:val="7"/>
        </w:rPr>
        <w:t>An Alternative Model to Overcoming Two-Phase Commit Blocking Problem</w:t>
      </w:r>
      <w:r>
        <w:t xml:space="preserve"> — discusses blocking issues in 2PC and related improvements.</w:t>
      </w:r>
    </w:p>
    <w:p w14:paraId="675C5080">
      <w:pPr>
        <w:pStyle w:val="3"/>
        <w:rPr>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6F0065"/>
    <w:multiLevelType w:val="multilevel"/>
    <w:tmpl w:val="206F00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172490E"/>
    <w:multiLevelType w:val="multilevel"/>
    <w:tmpl w:val="2172490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AFA69B4"/>
    <w:multiLevelType w:val="multilevel"/>
    <w:tmpl w:val="2AFA69B4"/>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F341406"/>
    <w:multiLevelType w:val="multilevel"/>
    <w:tmpl w:val="2F3414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F5004C7"/>
    <w:multiLevelType w:val="multilevel"/>
    <w:tmpl w:val="4F5004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A303BAE"/>
    <w:multiLevelType w:val="multilevel"/>
    <w:tmpl w:val="5A303B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F8F3234"/>
    <w:multiLevelType w:val="multilevel"/>
    <w:tmpl w:val="5F8F323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5FB55ED6"/>
    <w:multiLevelType w:val="multilevel"/>
    <w:tmpl w:val="5FB55E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77F534F"/>
    <w:multiLevelType w:val="multilevel"/>
    <w:tmpl w:val="677F53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4C74BE7"/>
    <w:multiLevelType w:val="multilevel"/>
    <w:tmpl w:val="74C74BE7"/>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5"/>
  </w:num>
  <w:num w:numId="3">
    <w:abstractNumId w:val="1"/>
  </w:num>
  <w:num w:numId="4">
    <w:abstractNumId w:val="2"/>
  </w:num>
  <w:num w:numId="5">
    <w:abstractNumId w:val="9"/>
  </w:num>
  <w:num w:numId="6">
    <w:abstractNumId w:val="4"/>
  </w:num>
  <w:num w:numId="7">
    <w:abstractNumId w:val="7"/>
  </w:num>
  <w:num w:numId="8">
    <w:abstractNumId w:val="3"/>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F29"/>
    <w:rsid w:val="00085FDC"/>
    <w:rsid w:val="00386363"/>
    <w:rsid w:val="004C405A"/>
    <w:rsid w:val="00A878AD"/>
    <w:rsid w:val="00BD34FB"/>
    <w:rsid w:val="00BE3933"/>
    <w:rsid w:val="00C60F29"/>
    <w:rsid w:val="00E9436B"/>
    <w:rsid w:val="20BB3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TML Code"/>
    <w:basedOn w:val="5"/>
    <w:semiHidden/>
    <w:unhideWhenUsed/>
    <w:uiPriority w:val="99"/>
    <w:rPr>
      <w:rFonts w:ascii="Courier New" w:hAnsi="Courier New" w:eastAsia="Times New Roman" w:cs="Courier New"/>
      <w:sz w:val="20"/>
      <w:szCs w:val="20"/>
    </w:rPr>
  </w:style>
  <w:style w:type="paragraph" w:styleId="9">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5"/>
    <w:qFormat/>
    <w:uiPriority w:val="22"/>
    <w:rPr>
      <w:b/>
      <w:bCs/>
    </w:rPr>
  </w:style>
  <w:style w:type="character" w:customStyle="1" w:styleId="11">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2">
    <w:name w:val="Heading 2 Char"/>
    <w:basedOn w:val="5"/>
    <w:link w:val="3"/>
    <w:qFormat/>
    <w:uiPriority w:val="9"/>
    <w:rPr>
      <w:rFonts w:ascii="Times New Roman" w:hAnsi="Times New Roman" w:eastAsia="Times New Roman" w:cs="Times New Roman"/>
      <w:b/>
      <w:bCs/>
      <w:sz w:val="36"/>
      <w:szCs w:val="36"/>
    </w:rPr>
  </w:style>
  <w:style w:type="character" w:customStyle="1" w:styleId="13">
    <w:name w:val="Heading 3 Char"/>
    <w:basedOn w:val="5"/>
    <w:link w:val="4"/>
    <w:qFormat/>
    <w:uiPriority w:val="9"/>
    <w:rPr>
      <w:rFonts w:ascii="Times New Roman" w:hAnsi="Times New Roman" w:eastAsia="Times New Roman" w:cs="Times New Roman"/>
      <w:b/>
      <w:bCs/>
      <w:sz w:val="27"/>
      <w:szCs w:val="27"/>
    </w:rPr>
  </w:style>
  <w:style w:type="paragraph" w:styleId="14">
    <w:name w:val="List Paragraph"/>
    <w:basedOn w:val="1"/>
    <w:qFormat/>
    <w:uiPriority w:val="34"/>
    <w:pPr>
      <w:ind w:left="720"/>
      <w:contextualSpacing/>
    </w:pPr>
  </w:style>
  <w:style w:type="character" w:customStyle="1" w:styleId="15">
    <w:name w:val="ms-1"/>
    <w:basedOn w:val="5"/>
    <w:qFormat/>
    <w:uiPriority w:val="0"/>
  </w:style>
  <w:style w:type="character" w:customStyle="1" w:styleId="16">
    <w:name w:val="max-w-[15ch]"/>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74A40-FED9-4703-B184-3F5788F4C24D}">
  <ds:schemaRefs/>
</ds:datastoreItem>
</file>

<file path=docProps/app.xml><?xml version="1.0" encoding="utf-8"?>
<Properties xmlns="http://schemas.openxmlformats.org/officeDocument/2006/extended-properties" xmlns:vt="http://schemas.openxmlformats.org/officeDocument/2006/docPropsVTypes">
  <Template>Normal</Template>
  <Pages>7</Pages>
  <Words>1076</Words>
  <Characters>6136</Characters>
  <Lines>51</Lines>
  <Paragraphs>14</Paragraphs>
  <TotalTime>5</TotalTime>
  <ScaleCrop>false</ScaleCrop>
  <LinksUpToDate>false</LinksUpToDate>
  <CharactersWithSpaces>7198</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2025-12-19T09:11:00Z</dcterms:created>
  <dc:creator>ProBook 435 X360 G8</dc:creator>
  <cp:lastModifiedBy>Owens</cp:lastModifiedBy>
  <dcterms:modified xsi:type="dcterms:W3CDTF">2025-12-19T09:18:03Z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24A209503F504C6B8E0F6CE124CA752B_12</vt:lpwstr>
  </property>
</Properties>
</file>