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500"/>
      </w:pPr>
      <w:r>
        <w:rPr>
          <w:rFonts w:ascii="Calibri" w:cs="Calibri" w:eastAsia="Calibri" w:hAnsi="Calibri"/>
          <w:b/>
          <w:bCs/>
          <w:color w:val="1F72B4"/>
          <w:sz w:val="24"/>
          <w:szCs w:val="24"/>
        </w:rPr>
        <w:t xml:space="preserve">GUÍA DE USO DE LA PLATAFORMA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A1C30"/>
          <w:sz w:val="42"/>
          <w:szCs w:val="42"/>
        </w:rPr>
        <w:t xml:space="preserve">SATO explicado pantalla por pantalla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color w:val="3E4A5B"/>
          <w:sz w:val="22"/>
          <w:szCs w:val="22"/>
        </w:rPr>
        <w:t xml:space="preserve">Explicación en palabras simples de cada pantalla y pestaña del sistema, para usarlo y para mostrarlo en la exposición. Las cifras de ejemplo son las que muestra el sistema al corte del 31 de agosto de 2026.</w:t>
      </w:r>
    </w:p>
    <w:p>
      <w:pPr>
        <w:spacing w:after="100"/>
      </w:pPr>
    </w:p>
    <w:tbl>
      <w:tblPr>
        <w:tblW w:type="dxa" w:w="9640"/>
        <w:tblBorders>
          <w:top w:val="single" w:color="C9D3DF" w:sz="4"/>
          <w:left w:val="single" w:color="C9D3DF" w:sz="4"/>
          <w:bottom w:val="single" w:color="C9D3DF" w:sz="4"/>
          <w:right w:val="single" w:color="C9D3DF" w:sz="4"/>
          <w:insideH w:val="single" w:color="C9D3DF" w:sz="4"/>
          <w:insideV w:val="single" w:color="C9D3DF" w:sz="4"/>
        </w:tblBorders>
        <w:tblLayout w:type="fixed"/>
      </w:tblPr>
      <w:tblGrid>
        <w:gridCol w:w="2313"/>
        <w:gridCol w:w="7327"/>
      </w:tblGrid>
      <w:tr>
        <w:trPr>
          <w:cantSplit/>
          <w:tblHeader/>
        </w:trPr>
        <w:tc>
          <w:tcPr>
            <w:tcW w:type="dxa" w:w="2313"/>
            <w:shd w:fill="0A1C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7327"/>
            <w:shd w:fill="0A1C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Enlace público</w:t>
            </w:r>
          </w:p>
        </w:tc>
        <w:tc>
          <w:tcPr>
            <w:tcW w:type="dxa" w:w="7327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hyperlink w:history="1" r:id="rId2xbg08vp1x28bmrg48znu">
              <w:r>
                <w:rPr>
                  <w:rFonts w:ascii="Calibri" w:cs="Calibri" w:eastAsia="Calibri" w:hAnsi="Calibri"/>
                  <w:b w:val="false"/>
                  <w:bCs w:val="false"/>
                  <w:color w:val="0563C1"/>
                  <w:sz w:val="20"/>
                  <w:szCs w:val="20"/>
                  <w:u w:val="single"/>
                </w:rPr>
                <w:t xml:space="preserve">https://owerlopez.github.io/sato_peru_2026/</w:t>
              </w:r>
            </w:hyperlink>
          </w:p>
        </w:tc>
      </w:tr>
      <w:tr>
        <w:trPr>
          <w:cantSplit/>
        </w:trPr>
        <w:tc>
          <w:tcPr>
            <w:tcW w:type="dxa" w:w="231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 de enlace</w:t>
            </w:r>
          </w:p>
        </w:tc>
        <w:tc>
          <w:tcPr>
            <w:tcW w:type="dxa" w:w="7327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Copia pública de solo lectura con los resultados reales del modelo (no tiene buscador libre, ingreso ni suscripción)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Versión completa</w:t>
            </w:r>
          </w:p>
        </w:tc>
        <w:tc>
          <w:tcPr>
            <w:tcW w:type="dxa" w:w="7327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ejecuta en una computadora con Docker (ver docs/EJECUTAR_EN_LAPTOP.md)</w:t>
            </w:r>
          </w:p>
        </w:tc>
      </w:tr>
    </w:tbl>
    <w:p>
      <w:pPr>
        <w:pStyle w:val="Heading1"/>
        <w:keepNext/>
        <w:pBdr>
          <w:bottom w:val="single" w:color="1F72B4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A1C30"/>
          <w:sz w:val="30"/>
          <w:szCs w:val="30"/>
        </w:rPr>
        <w:t xml:space="preserve">1. Ideas básicas antes de empezar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Qué es SATO:</w:t>
      </w:r>
      <w:r>
        <w:rPr>
          <w:rFonts w:ascii="Calibri" w:cs="Calibri" w:eastAsia="Calibri" w:hAnsi="Calibri"/>
          <w:sz w:val="22"/>
          <w:szCs w:val="22"/>
        </w:rPr>
        <w:t xml:space="preserve"> un sistema que avisa qué obras públicas del Perú tienen más riesgo de atrasarse, usando solo datos abiertos del Estado.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Riesgo alto, medio y bajo:</w:t>
      </w:r>
      <w:r>
        <w:rPr>
          <w:rFonts w:ascii="Calibri" w:cs="Calibri" w:eastAsia="Calibri" w:hAnsi="Calibri"/>
          <w:sz w:val="22"/>
          <w:szCs w:val="22"/>
        </w:rPr>
        <w:t xml:space="preserve"> es un semáforo. Cada nivel tiene color y además un ícono distinto (triángulo para alto, círculo para medio, visto bueno para bajo), así se entiende aunque no se distingan los colores.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Probabilidad:</w:t>
      </w:r>
      <w:r>
        <w:rPr>
          <w:rFonts w:ascii="Calibri" w:cs="Calibri" w:eastAsia="Calibri" w:hAnsi="Calibri"/>
          <w:sz w:val="22"/>
          <w:szCs w:val="22"/>
        </w:rPr>
        <w:t xml:space="preserve"> un número de 0 % a 100 %. Por ejemplo, 49 % significa que, de 100 obras parecidas, cerca de 49 registrarían el atraso formal en los próximos 60 días.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Atraso formal:</w:t>
      </w:r>
      <w:r>
        <w:rPr>
          <w:rFonts w:ascii="Calibri" w:cs="Calibri" w:eastAsia="Calibri" w:hAnsi="Calibri"/>
          <w:sz w:val="22"/>
          <w:szCs w:val="22"/>
        </w:rPr>
        <w:t xml:space="preserve"> cuando el cuaderno de obra registra que la obra avanzó menos del 80 % de lo programado (regla de la ley de contrataciones).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Dos tipos de obras:</w:t>
      </w:r>
      <w:r>
        <w:rPr>
          <w:rFonts w:ascii="Calibri" w:cs="Calibri" w:eastAsia="Calibri" w:hAnsi="Calibri"/>
          <w:sz w:val="22"/>
          <w:szCs w:val="22"/>
        </w:rPr>
        <w:t xml:space="preserve"> las del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cuaderno de obra digital</w:t>
      </w:r>
      <w:r>
        <w:rPr>
          <w:rFonts w:ascii="Calibri" w:cs="Calibri" w:eastAsia="Calibri" w:hAnsi="Calibri"/>
          <w:sz w:val="22"/>
          <w:szCs w:val="22"/>
        </w:rPr>
        <w:t xml:space="preserve"> (contratos con registro diario, desde 2024) y las de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cartera INFOBRAS</w:t>
      </w:r>
      <w:r>
        <w:rPr>
          <w:rFonts w:ascii="Calibri" w:cs="Calibri" w:eastAsia="Calibri" w:hAnsi="Calibri"/>
          <w:sz w:val="22"/>
          <w:szCs w:val="22"/>
        </w:rPr>
        <w:t xml:space="preserve"> (todas las obras públicas registradas por la Contraloría).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Íconos «i»:</w:t>
      </w:r>
      <w:r>
        <w:rPr>
          <w:rFonts w:ascii="Calibri" w:cs="Calibri" w:eastAsia="Calibri" w:hAnsi="Calibri"/>
          <w:sz w:val="22"/>
          <w:szCs w:val="22"/>
        </w:rPr>
        <w:t xml:space="preserve"> al pasar el mouse o tocar el ícono «i» aparece una explicación corta de cada término.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 una ayuda para priorizar</w:t>
      </w:r>
      <w:r>
        <w:rPr>
          <w:rFonts w:ascii="Calibri" w:cs="Calibri" w:eastAsia="Calibri" w:hAnsi="Calibri"/>
          <w:sz w:val="22"/>
          <w:szCs w:val="22"/>
        </w:rPr>
        <w:t xml:space="preserve">, no una acusación: indica dónde mirar primero.</w:t>
      </w:r>
    </w:p>
    <w:p>
      <w:pPr>
        <w:pStyle w:val="Heading1"/>
        <w:keepNext/>
        <w:pBdr>
          <w:bottom w:val="single" w:color="1F72B4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A1C30"/>
          <w:sz w:val="30"/>
          <w:szCs w:val="30"/>
        </w:rPr>
        <w:t xml:space="preserve">2. Partes que se repiten en todas las pantallas</w:t>
      </w:r>
    </w:p>
    <w:tbl>
      <w:tblPr>
        <w:tblW w:type="dxa" w:w="9640"/>
        <w:tblBorders>
          <w:top w:val="single" w:color="C9D3DF" w:sz="4"/>
          <w:left w:val="single" w:color="C9D3DF" w:sz="4"/>
          <w:bottom w:val="single" w:color="C9D3DF" w:sz="4"/>
          <w:right w:val="single" w:color="C9D3DF" w:sz="4"/>
          <w:insideH w:val="single" w:color="C9D3DF" w:sz="4"/>
          <w:insideV w:val="single" w:color="C9D3DF" w:sz="4"/>
        </w:tblBorders>
        <w:tblLayout w:type="fixed"/>
      </w:tblPr>
      <w:tblGrid>
        <w:gridCol w:w="2699"/>
        <w:gridCol w:w="6941"/>
      </w:tblGrid>
      <w:tr>
        <w:trPr>
          <w:cantSplit/>
          <w:tblHeader/>
        </w:trPr>
        <w:tc>
          <w:tcPr>
            <w:tcW w:type="dxa" w:w="2699"/>
            <w:shd w:fill="0A1C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Parte</w:t>
            </w:r>
          </w:p>
        </w:tc>
        <w:tc>
          <w:tcPr>
            <w:tcW w:type="dxa" w:w="6941"/>
            <w:shd w:fill="0A1C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es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Franja superior oscura</w:t>
            </w:r>
          </w:p>
        </w:tc>
        <w:tc>
          <w:tcPr>
            <w:tcW w:type="dxa" w:w="6941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Aviso de que es un prototipo de investigación y no un sitio oficial del Estado.</w:t>
            </w:r>
          </w:p>
        </w:tc>
      </w:tr>
      <w:tr>
        <w:trPr>
          <w:cantSplit/>
        </w:trPr>
        <w:tc>
          <w:tcPr>
            <w:tcW w:type="dxa" w:w="2699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Menú lateral izquierdo</w:t>
            </w:r>
          </w:p>
        </w:tc>
        <w:tc>
          <w:tcPr>
            <w:tcW w:type="dxa" w:w="6941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Acceso a todas las pantallas, agrupadas en Monitoreo, Evidencia y Ayuda. En teléfono se abre con el botón de tres rayas.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Selector «Todo el Perú»</w:t>
            </w:r>
          </w:p>
        </w:tc>
        <w:tc>
          <w:tcPr>
            <w:tcW w:type="dxa" w:w="6941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Cambia el ámbito: al elegir un departamento, todas las pantallas muestran solo sus obras.</w:t>
            </w:r>
          </w:p>
        </w:tc>
      </w:tr>
      <w:tr>
        <w:trPr>
          <w:cantSplit/>
        </w:trPr>
        <w:tc>
          <w:tcPr>
            <w:tcW w:type="dxa" w:w="2699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Recuadro «Datos al corte»</w:t>
            </w:r>
          </w:p>
        </w:tc>
        <w:tc>
          <w:tcPr>
            <w:tcW w:type="dxa" w:w="6941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Fecha de los datos usados: cuaderno digital al 31 ago. 2026 y cartera INFOBRAS al 31 mar. 2026, y el estado del sistema (operativo o con avisos).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Buscador (versión completa)</w:t>
            </w:r>
          </w:p>
        </w:tc>
        <w:tc>
          <w:tcPr>
            <w:tcW w:type="dxa" w:w="6941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Busca obras por nombre, entidad, código CUI o código INFOBRAS.</w:t>
            </w:r>
          </w:p>
        </w:tc>
      </w:tr>
      <w:tr>
        <w:trPr>
          <w:cantSplit/>
        </w:trPr>
        <w:tc>
          <w:tcPr>
            <w:tcW w:type="dxa" w:w="2699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Recibir alertas e Ingresar (versión completa)</w:t>
            </w:r>
          </w:p>
        </w:tc>
        <w:tc>
          <w:tcPr>
            <w:tcW w:type="dxa" w:w="6941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Suscripción al resumen semanal por correo e ingreso de analistas.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Pie de página</w:t>
            </w:r>
          </w:p>
        </w:tc>
        <w:tc>
          <w:tcPr>
            <w:tcW w:type="dxa" w:w="6941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Enlaces a los portales oficiales de datos (OECE, MEF, Contraloría y datos abiertos) y a la transparencia del sistema.</w:t>
            </w:r>
          </w:p>
        </w:tc>
      </w:tr>
    </w:tbl>
    <w:p>
      <w:pPr>
        <w:pStyle w:val="Heading1"/>
        <w:keepNext/>
        <w:pBdr>
          <w:bottom w:val="single" w:color="1F72B4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A1C30"/>
          <w:sz w:val="30"/>
          <w:szCs w:val="30"/>
        </w:rPr>
        <w:t xml:space="preserve">3. Panorama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Dónde está:</w:t>
      </w:r>
      <w:r>
        <w:rPr>
          <w:rFonts w:ascii="Calibri" w:cs="Calibri" w:eastAsia="Calibri" w:hAnsi="Calibri"/>
          <w:sz w:val="22"/>
          <w:szCs w:val="22"/>
        </w:rPr>
        <w:t xml:space="preserve"> Menú → Monitoreo → Panorama (pantalla de inicio).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 qué sirve:</w:t>
      </w:r>
      <w:r>
        <w:rPr>
          <w:rFonts w:ascii="Calibri" w:cs="Calibri" w:eastAsia="Calibri" w:hAnsi="Calibri"/>
          <w:sz w:val="22"/>
          <w:szCs w:val="22"/>
        </w:rPr>
        <w:t xml:space="preserve"> Dar un resumen del estado de las obras del ámbito elegido en una sola vista.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72B4"/>
          <w:sz w:val="24"/>
          <w:szCs w:val="24"/>
        </w:rPr>
        <w:t xml:space="preserve">Qué se ve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Resumen en una frase:</w:t>
      </w:r>
      <w:r>
        <w:rPr>
          <w:rFonts w:ascii="Calibri" w:cs="Calibri" w:eastAsia="Calibri" w:hAnsi="Calibri"/>
          <w:sz w:val="22"/>
          <w:szCs w:val="22"/>
        </w:rPr>
        <w:t xml:space="preserve"> por ejemplo, «En todo el Perú, 190 obras con cuaderno digital tienen riesgo alto de registrar un atraso formal en los próximos 60 días y 1,166 obras de la cartera INFOBRAS tienen riesgo alto de terminar con retraso significativo».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Cuatro indicadores (tarjetas):</w:t>
      </w:r>
      <w:r>
        <w:rPr>
          <w:rFonts w:ascii="Calibri" w:cs="Calibri" w:eastAsia="Calibri" w:hAnsi="Calibri"/>
          <w:sz w:val="22"/>
          <w:szCs w:val="22"/>
        </w:rPr>
        <w:t xml:space="preserve"> obras en ejecución monitoreadas (4,698), inversión monitoreada (78.1 mil millones de soles), obras en riesgo alto de atraso en 60 días (190, con una línea que muestra cómo cambió mes a mes) e inversión en obras de riesgo alto (51.5 mil millones de soles).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Obras que requieren atención:</w:t>
      </w:r>
      <w:r>
        <w:rPr>
          <w:rFonts w:ascii="Calibri" w:cs="Calibri" w:eastAsia="Calibri" w:hAnsi="Calibri"/>
          <w:sz w:val="22"/>
          <w:szCs w:val="22"/>
        </w:rPr>
        <w:t xml:space="preserve"> lista de las obras con mayor probabilidad. Tiene dos opciones: «Atraso en 60 días» (cuaderno digital) y «Retraso al término» (cartera INFOBRAS).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Mapa de riesgo:</w:t>
      </w:r>
      <w:r>
        <w:rPr>
          <w:rFonts w:ascii="Calibri" w:cs="Calibri" w:eastAsia="Calibri" w:hAnsi="Calibri"/>
          <w:sz w:val="22"/>
          <w:szCs w:val="22"/>
        </w:rPr>
        <w:t xml:space="preserve"> cada punto es una obra; los colores indican el nivel. El mapa base está en grises para que resalten los puntos. La pestaña «Por departamento» muestra lo mismo como tabla.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¿Qué tan confiables son las alertas?:</w:t>
      </w:r>
      <w:r>
        <w:rPr>
          <w:rFonts w:ascii="Calibri" w:cs="Calibri" w:eastAsia="Calibri" w:hAnsi="Calibri"/>
          <w:sz w:val="22"/>
          <w:szCs w:val="22"/>
        </w:rPr>
        <w:t xml:space="preserve"> muestra qué porcentaje de obras de cada nivel terminó registrando el atraso en la validación con datos pasados.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72B4"/>
          <w:sz w:val="24"/>
          <w:szCs w:val="24"/>
        </w:rPr>
        <w:t xml:space="preserve">Cómo usarla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Pulse una obra de la lista para abrir una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vista previa</w:t>
      </w:r>
      <w:r>
        <w:rPr>
          <w:rFonts w:ascii="Calibri" w:cs="Calibri" w:eastAsia="Calibri" w:hAnsi="Calibri"/>
          <w:sz w:val="22"/>
          <w:szCs w:val="22"/>
        </w:rPr>
        <w:t xml:space="preserve"> con su riesgo y sus principales factores, sin salir de la pantalla.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Use «Solo riesgo alto / Todas» en el mapa para filtrar los puntos.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Cada gráfico tiene la opción de verse como tabla.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«Imprimir resumen» prepara la página para imprimir o guardar en PDF.</w:t>
      </w:r>
    </w:p>
    <w:p>
      <w:pPr>
        <w:spacing w:after="100"/>
      </w:pPr>
    </w:p>
    <w:tbl>
      <w:tblPr>
        <w:tblW w:type="dxa" w:w="9640"/>
        <w:tblBorders>
          <w:top w:val="single" w:color="1F72B4" w:sz="4"/>
          <w:left w:val="single" w:color="1F72B4" w:sz="24"/>
          <w:bottom w:val="single" w:color="1F72B4" w:sz="4"/>
          <w:right w:val="single" w:color="1F72B4" w:sz="4"/>
          <w:insideH w:val="single" w:color="1F72B4" w:sz="4"/>
          <w:insideV w:val="single" w:color="1F72B4" w:sz="4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shd w:fill="EFF6FC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1C30"/>
                <w:sz w:val="21"/>
                <w:szCs w:val="21"/>
              </w:rPr>
              <w:t xml:space="preserve">Qué decir al mostrarla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«Esta es la vista para un jefe o un auditor: en diez segundos sabe cuántas obras están en riesgo, cuánta inversión representan y dónde están.»</w:t>
            </w:r>
          </w:p>
        </w:tc>
      </w:tr>
    </w:tbl>
    <w:p>
      <w:pPr>
        <w:pStyle w:val="Heading1"/>
        <w:keepNext/>
        <w:pBdr>
          <w:bottom w:val="single" w:color="1F72B4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A1C30"/>
          <w:sz w:val="30"/>
          <w:szCs w:val="30"/>
        </w:rPr>
        <w:t xml:space="preserve">4. Alertas del cuaderno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Dónde está:</w:t>
      </w:r>
      <w:r>
        <w:rPr>
          <w:rFonts w:ascii="Calibri" w:cs="Calibri" w:eastAsia="Calibri" w:hAnsi="Calibri"/>
          <w:sz w:val="22"/>
          <w:szCs w:val="22"/>
        </w:rPr>
        <w:t xml:space="preserve"> Menú → Monitoreo → Alertas del cuaderno.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 qué sirve:</w:t>
      </w:r>
      <w:r>
        <w:rPr>
          <w:rFonts w:ascii="Calibri" w:cs="Calibri" w:eastAsia="Calibri" w:hAnsi="Calibri"/>
          <w:sz w:val="22"/>
          <w:szCs w:val="22"/>
        </w:rPr>
        <w:t xml:space="preserve"> Ver la lista completa de obras con cuaderno de obra digital y su riesgo de atraso formal en los próximos 60 días.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72B4"/>
          <w:sz w:val="24"/>
          <w:szCs w:val="24"/>
        </w:rPr>
        <w:t xml:space="preserve">Qué se ve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Resumen por nivel (cuatro tarjetas):</w:t>
      </w:r>
      <w:r>
        <w:rPr>
          <w:rFonts w:ascii="Calibri" w:cs="Calibri" w:eastAsia="Calibri" w:hAnsi="Calibri"/>
          <w:sz w:val="22"/>
          <w:szCs w:val="22"/>
        </w:rPr>
        <w:t xml:space="preserve"> todas las evaluadas (2,970), riesgo alto (190; 6.4 %), riesgo medio (461; 15.5 %) y riesgo bajo (2,319; 78.1 %). Las tarjetas también funcionan como filtro.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«En ejecución» o «Todas (incluye históricas)»:</w:t>
      </w:r>
      <w:r>
        <w:rPr>
          <w:rFonts w:ascii="Calibri" w:cs="Calibri" w:eastAsia="Calibri" w:hAnsi="Calibri"/>
          <w:sz w:val="22"/>
          <w:szCs w:val="22"/>
        </w:rPr>
        <w:t xml:space="preserve"> muestra solo las obras vigentes o también las ya terminadas.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Tabla de obras:</w:t>
      </w:r>
      <w:r>
        <w:rPr>
          <w:rFonts w:ascii="Calibri" w:cs="Calibri" w:eastAsia="Calibri" w:hAnsi="Calibri"/>
          <w:sz w:val="22"/>
          <w:szCs w:val="22"/>
        </w:rPr>
        <w:t xml:space="preserve"> nombre, entidad, código CUI, nivel y probabilidad, ubicación, sector y fecha del último asiento del cuaderno.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Filtros:</w:t>
      </w:r>
      <w:r>
        <w:rPr>
          <w:rFonts w:ascii="Calibri" w:cs="Calibri" w:eastAsia="Calibri" w:hAnsi="Calibri"/>
          <w:sz w:val="22"/>
          <w:szCs w:val="22"/>
        </w:rPr>
        <w:t xml:space="preserve"> buscar en la lista, sector y orden (por ejemplo, mayor riesgo primero).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En teléfono, la tabla se muestra como tarjetas.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72B4"/>
          <w:sz w:val="24"/>
          <w:szCs w:val="24"/>
        </w:rPr>
        <w:t xml:space="preserve">Cómo usarla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Pulse una tarjeta de nivel (por ejemplo, «Riesgo alto») para ver solo esas obras.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Pulse «Vista previa» para ver el resumen de una obra, o su nombre para abrir la ficha completa.</w:t>
      </w:r>
    </w:p>
    <w:p>
      <w:pPr>
        <w:spacing w:after="100"/>
      </w:pPr>
    </w:p>
    <w:tbl>
      <w:tblPr>
        <w:tblW w:type="dxa" w:w="9640"/>
        <w:tblBorders>
          <w:top w:val="single" w:color="1F72B4" w:sz="4"/>
          <w:left w:val="single" w:color="1F72B4" w:sz="24"/>
          <w:bottom w:val="single" w:color="1F72B4" w:sz="4"/>
          <w:right w:val="single" w:color="1F72B4" w:sz="4"/>
          <w:insideH w:val="single" w:color="1F72B4" w:sz="4"/>
          <w:insideV w:val="single" w:color="1F72B4" w:sz="4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shd w:fill="EFF6FC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1C30"/>
                <w:sz w:val="21"/>
                <w:szCs w:val="21"/>
              </w:rPr>
              <w:t xml:space="preserve">Qué decir al mostrarla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«Aquí el supervisor ve su lista de trabajo: ordenada de mayor a menor riesgo, puede empezar por las primeras.»</w:t>
            </w:r>
          </w:p>
        </w:tc>
      </w:tr>
    </w:tbl>
    <w:p>
      <w:pPr>
        <w:pStyle w:val="Heading1"/>
        <w:keepNext/>
        <w:pBdr>
          <w:bottom w:val="single" w:color="1F72B4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A1C30"/>
          <w:sz w:val="30"/>
          <w:szCs w:val="30"/>
        </w:rPr>
        <w:t xml:space="preserve">5. Ficha de una obra del cuaderno digital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Dónde está:</w:t>
      </w:r>
      <w:r>
        <w:rPr>
          <w:rFonts w:ascii="Calibri" w:cs="Calibri" w:eastAsia="Calibri" w:hAnsi="Calibri"/>
          <w:sz w:val="22"/>
          <w:szCs w:val="22"/>
        </w:rPr>
        <w:t xml:space="preserve"> Se abre al pulsar el nombre de una obra en Panorama o en Alertas del cuaderno.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 qué sirve:</w:t>
      </w:r>
      <w:r>
        <w:rPr>
          <w:rFonts w:ascii="Calibri" w:cs="Calibri" w:eastAsia="Calibri" w:hAnsi="Calibri"/>
          <w:sz w:val="22"/>
          <w:szCs w:val="22"/>
        </w:rPr>
        <w:t xml:space="preserve"> Explicar por qué una obra tiene ese riesgo y mostrar la evidencia oficial que lo respalda.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72B4"/>
          <w:sz w:val="24"/>
          <w:szCs w:val="24"/>
        </w:rPr>
        <w:t xml:space="preserve">Qué se ve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Ruta de migas:</w:t>
      </w:r>
      <w:r>
        <w:rPr>
          <w:rFonts w:ascii="Calibri" w:cs="Calibri" w:eastAsia="Calibri" w:hAnsi="Calibri"/>
          <w:sz w:val="22"/>
          <w:szCs w:val="22"/>
        </w:rPr>
        <w:t xml:space="preserve"> «Alertas del cuaderno &gt; Ficha de la obra», para volver atrás.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Nombre de la obra</w:t>
      </w:r>
      <w:r>
        <w:rPr>
          <w:rFonts w:ascii="Calibri" w:cs="Calibri" w:eastAsia="Calibri" w:hAnsi="Calibri"/>
          <w:sz w:val="22"/>
          <w:szCs w:val="22"/>
        </w:rPr>
        <w:t xml:space="preserve"> (en letras normales) y botón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«Informe técnico PDF»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Resumen del riesgo:</w:t>
      </w:r>
      <w:r>
        <w:rPr>
          <w:rFonts w:ascii="Calibri" w:cs="Calibri" w:eastAsia="Calibri" w:hAnsi="Calibri"/>
          <w:sz w:val="22"/>
          <w:szCs w:val="22"/>
        </w:rPr>
        <w:t xml:space="preserve"> nivel y probabilidad (por ejemplo, «Alto 49 %»), cuántas veces supera el promedio («8.7 veces el promedio»), posición entre las obras evaluadas («10 de 10»: está en el grupo de mayor riesgo) y confiabilidad del nivel («18 de cada 100 obras en nivel alto registraron el atraso formal»).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Principales factores que elevan el riesgo:</w:t>
      </w:r>
      <w:r>
        <w:rPr>
          <w:rFonts w:ascii="Calibri" w:cs="Calibri" w:eastAsia="Calibri" w:hAnsi="Calibri"/>
          <w:sz w:val="22"/>
          <w:szCs w:val="22"/>
        </w:rPr>
        <w:t xml:space="preserve"> los tres motivos más importantes en lenguaje claro.</w:t>
      </w:r>
    </w:p>
    <w:p>
      <w:pPr>
        <w:spacing w:after="100"/>
      </w:pPr>
    </w:p>
    <w:tbl>
      <w:tblPr>
        <w:tblW w:type="dxa" w:w="9640"/>
        <w:tblBorders>
          <w:top w:val="single" w:color="1F72B4" w:sz="4"/>
          <w:left w:val="single" w:color="1F72B4" w:sz="24"/>
          <w:bottom w:val="single" w:color="1F72B4" w:sz="4"/>
          <w:right w:val="single" w:color="1F72B4" w:sz="4"/>
          <w:insideH w:val="single" w:color="1F72B4" w:sz="4"/>
          <w:insideV w:val="single" w:color="1F72B4" w:sz="4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shd w:fill="EFF6FC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1C30"/>
                <w:sz w:val="21"/>
                <w:szCs w:val="21"/>
              </w:rPr>
              <w:t xml:space="preserve">Qué decir al mostrarla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«La ficha convierte el número en una explicación: dice qué tan alto es el riesgo, por qué, y con qué documentos oficiales se puede comprobar.»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72B4"/>
          <w:sz w:val="24"/>
          <w:szCs w:val="24"/>
        </w:rPr>
        <w:t xml:space="preserve">Pestañas de la ficha</w:t>
      </w:r>
    </w:p>
    <w:tbl>
      <w:tblPr>
        <w:tblW w:type="dxa" w:w="9640"/>
        <w:tblBorders>
          <w:top w:val="single" w:color="C9D3DF" w:sz="4"/>
          <w:left w:val="single" w:color="C9D3DF" w:sz="4"/>
          <w:bottom w:val="single" w:color="C9D3DF" w:sz="4"/>
          <w:right w:val="single" w:color="C9D3DF" w:sz="4"/>
          <w:insideH w:val="single" w:color="C9D3DF" w:sz="4"/>
          <w:insideV w:val="single" w:color="C9D3DF" w:sz="4"/>
        </w:tblBorders>
        <w:tblLayout w:type="fixed"/>
      </w:tblPr>
      <w:tblGrid>
        <w:gridCol w:w="2313"/>
        <w:gridCol w:w="7327"/>
      </w:tblGrid>
      <w:tr>
        <w:trPr>
          <w:cantSplit/>
          <w:tblHeader/>
        </w:trPr>
        <w:tc>
          <w:tcPr>
            <w:tcW w:type="dxa" w:w="2313"/>
            <w:shd w:fill="0A1C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Pestaña</w:t>
            </w:r>
          </w:p>
        </w:tc>
        <w:tc>
          <w:tcPr>
            <w:tcW w:type="dxa" w:w="7327"/>
            <w:shd w:fill="0A1C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muestra en palabras simples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Factores y evidencia</w:t>
            </w:r>
          </w:p>
        </w:tc>
        <w:tc>
          <w:tcPr>
            <w:tcW w:type="dxa" w:w="7327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«¿Por qué este nivel de riesgo?»: la lista de datos de la obra que subieron o bajaron el riesgo, con una barra que indica su peso. Cada factor tiene «Ver evidencia», que abre el asiento oficial del cuaderno que lo originó. A la derecha, «Evidencia documental» reúne todos esos registros. La casilla «Mostrar detalle técnico» muestra el nombre interno de la variable y su contribución numérica (TreeSHAP).</w:t>
            </w:r>
          </w:p>
        </w:tc>
      </w:tr>
      <w:tr>
        <w:trPr>
          <w:cantSplit/>
        </w:trPr>
        <w:tc>
          <w:tcPr>
            <w:tcW w:type="dxa" w:w="231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Evolución del riesgo</w:t>
            </w:r>
          </w:p>
        </w:tc>
        <w:tc>
          <w:tcPr>
            <w:tcW w:type="dxa" w:w="7327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Cómo cambió la probabilidad mes a mes (gráfico de arriba) y la actividad del cuaderno (gráfico de abajo), con el mismo eje de meses. Permite ver si el riesgo viene subiendo.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Cuaderno de obra</w:t>
            </w:r>
          </w:p>
        </w:tc>
        <w:tc>
          <w:tcPr>
            <w:tcW w:type="dxa" w:w="7327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Los asientos del cuaderno de obra digital de esa obra con su fecha y su texto, y un buscador dentro del texto (por ejemplo: lluvias, falta de pago, expediente). En la copia pública se ve la lista; el buscador funciona en la versión completa.</w:t>
            </w:r>
          </w:p>
        </w:tc>
      </w:tr>
      <w:tr>
        <w:trPr>
          <w:cantSplit/>
        </w:trPr>
        <w:tc>
          <w:tcPr>
            <w:tcW w:type="dxa" w:w="231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Datos de la obra</w:t>
            </w:r>
          </w:p>
        </w:tc>
        <w:tc>
          <w:tcPr>
            <w:tcW w:type="dxa" w:w="7327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Datos oficiales: entidad, contratista, ubicación, CUI, montos, plazo y fechas, con la denominación oficial tal como la publica el OECE.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Revisión del analista</w:t>
            </w:r>
          </w:p>
        </w:tc>
        <w:tc>
          <w:tcPr>
            <w:tcW w:type="dxa" w:w="7327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Espacio para que un analista registre su decisión sobre la alerta (solo en la versión completa, con ingreso).</w:t>
            </w:r>
          </w:p>
        </w:tc>
      </w:tr>
    </w:tbl>
    <w:p>
      <w:pPr>
        <w:spacing w:after="100"/>
      </w:pPr>
    </w:p>
    <w:p>
      <w:pPr>
        <w:spacing w:after="11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Informe técnico PDF:</w:t>
      </w:r>
      <w:r>
        <w:rPr>
          <w:rFonts w:ascii="Calibri" w:cs="Calibri" w:eastAsia="Calibri" w:hAnsi="Calibri"/>
          <w:sz w:val="22"/>
          <w:szCs w:val="22"/>
        </w:rPr>
        <w:t xml:space="preserve"> documento descargable de la obra con portada, resumen del riesgo, escala con el umbral del modelo, evolución, factores con barras, escenarios de sensibilidad («qué cambiaría la estimación»), evidencia y marco normativo.</w:t>
      </w:r>
    </w:p>
    <w:p>
      <w:pPr>
        <w:pStyle w:val="Heading1"/>
        <w:keepNext/>
        <w:pBdr>
          <w:bottom w:val="single" w:color="1F72B4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A1C30"/>
          <w:sz w:val="30"/>
          <w:szCs w:val="30"/>
        </w:rPr>
        <w:t xml:space="preserve">6. Cartera nacional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Dónde está:</w:t>
      </w:r>
      <w:r>
        <w:rPr>
          <w:rFonts w:ascii="Calibri" w:cs="Calibri" w:eastAsia="Calibri" w:hAnsi="Calibri"/>
          <w:sz w:val="22"/>
          <w:szCs w:val="22"/>
        </w:rPr>
        <w:t xml:space="preserve"> Menú → Monitoreo → Cartera nacional.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 qué sirve:</w:t>
      </w:r>
      <w:r>
        <w:rPr>
          <w:rFonts w:ascii="Calibri" w:cs="Calibri" w:eastAsia="Calibri" w:hAnsi="Calibri"/>
          <w:sz w:val="22"/>
          <w:szCs w:val="22"/>
        </w:rPr>
        <w:t xml:space="preserve"> Ver el riesgo de las obras de todo el país registradas en INFOBRAS (todas las modalidades), aunque no tengan cuaderno digital.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72B4"/>
          <w:sz w:val="24"/>
          <w:szCs w:val="24"/>
        </w:rPr>
        <w:t xml:space="preserve">Qué se ve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Resumen por nivel</w:t>
      </w:r>
      <w:r>
        <w:rPr>
          <w:rFonts w:ascii="Calibri" w:cs="Calibri" w:eastAsia="Calibri" w:hAnsi="Calibri"/>
          <w:sz w:val="22"/>
          <w:szCs w:val="22"/>
        </w:rPr>
        <w:t xml:space="preserve"> que también filtra, como en Alertas del cuaderno.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Tabla de obras:</w:t>
      </w:r>
      <w:r>
        <w:rPr>
          <w:rFonts w:ascii="Calibri" w:cs="Calibri" w:eastAsia="Calibri" w:hAnsi="Calibri"/>
          <w:sz w:val="22"/>
          <w:szCs w:val="22"/>
        </w:rPr>
        <w:t xml:space="preserve"> nombre, entidad, ubicación, costo, fin programado y nivel de riesgo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terminar con un retraso mayor al 30 % del plazo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Estado de la obra:</w:t>
      </w:r>
      <w:r>
        <w:rPr>
          <w:rFonts w:ascii="Calibri" w:cs="Calibri" w:eastAsia="Calibri" w:hAnsi="Calibri"/>
          <w:sz w:val="22"/>
          <w:szCs w:val="22"/>
        </w:rPr>
        <w:t xml:space="preserve"> en ejecución, retraso ya consumado, finalizada o sin registros recientes.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72B4"/>
          <w:sz w:val="24"/>
          <w:szCs w:val="24"/>
        </w:rPr>
        <w:t xml:space="preserve">Cómo usarla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Pulse el nombre de una obra para abrir su ficha de cartera.</w:t>
      </w:r>
    </w:p>
    <w:p>
      <w:pPr>
        <w:spacing w:after="100"/>
      </w:pPr>
    </w:p>
    <w:tbl>
      <w:tblPr>
        <w:tblW w:type="dxa" w:w="9640"/>
        <w:tblBorders>
          <w:top w:val="single" w:color="1F72B4" w:sz="4"/>
          <w:left w:val="single" w:color="1F72B4" w:sz="24"/>
          <w:bottom w:val="single" w:color="1F72B4" w:sz="4"/>
          <w:right w:val="single" w:color="1F72B4" w:sz="4"/>
          <w:insideH w:val="single" w:color="1F72B4" w:sz="4"/>
          <w:insideV w:val="single" w:color="1F72B4" w:sz="4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shd w:fill="EFF6FC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1C30"/>
                <w:sz w:val="21"/>
                <w:szCs w:val="21"/>
              </w:rPr>
              <w:t xml:space="preserve">Qué decir al mostrarla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«El cuaderno digital solo cubre contratos desde 2024; la cartera amplía la vigilancia a todas las obras públicas del país.»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72B4"/>
          <w:sz w:val="24"/>
          <w:szCs w:val="24"/>
        </w:rPr>
        <w:t xml:space="preserve">Pestañas de la ficha de cartera</w:t>
      </w:r>
    </w:p>
    <w:tbl>
      <w:tblPr>
        <w:tblW w:type="dxa" w:w="9640"/>
        <w:tblBorders>
          <w:top w:val="single" w:color="C9D3DF" w:sz="4"/>
          <w:left w:val="single" w:color="C9D3DF" w:sz="4"/>
          <w:bottom w:val="single" w:color="C9D3DF" w:sz="4"/>
          <w:right w:val="single" w:color="C9D3DF" w:sz="4"/>
          <w:insideH w:val="single" w:color="C9D3DF" w:sz="4"/>
          <w:insideV w:val="single" w:color="C9D3DF" w:sz="4"/>
        </w:tblBorders>
        <w:tblLayout w:type="fixed"/>
      </w:tblPr>
      <w:tblGrid>
        <w:gridCol w:w="2313"/>
        <w:gridCol w:w="7327"/>
      </w:tblGrid>
      <w:tr>
        <w:trPr>
          <w:cantSplit/>
          <w:tblHeader/>
        </w:trPr>
        <w:tc>
          <w:tcPr>
            <w:tcW w:type="dxa" w:w="2313"/>
            <w:shd w:fill="0A1C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Pestaña</w:t>
            </w:r>
          </w:p>
        </w:tc>
        <w:tc>
          <w:tcPr>
            <w:tcW w:type="dxa" w:w="7327"/>
            <w:shd w:fill="0A1C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muestra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Factores</w:t>
            </w:r>
          </w:p>
        </w:tc>
        <w:tc>
          <w:tcPr>
            <w:tcW w:type="dxa" w:w="7327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Los datos de la obra que más influyen en su riesgo de terminar con retraso, en lenguaje claro.</w:t>
            </w:r>
          </w:p>
        </w:tc>
      </w:tr>
      <w:tr>
        <w:trPr>
          <w:cantSplit/>
        </w:trPr>
        <w:tc>
          <w:tcPr>
            <w:tcW w:type="dxa" w:w="231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Ejecución del gasto</w:t>
            </w:r>
          </w:p>
        </w:tc>
        <w:tc>
          <w:tcPr>
            <w:tcW w:type="dxa" w:w="7327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Arriba, la probabilidad estimada cada mes; abajo, el gasto devengado (dinero ejecutado) mensual de la inversión según el SIAF del MEF. Si el gasto se detiene, suele subir el riesgo.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Datos de la obra</w:t>
            </w:r>
          </w:p>
        </w:tc>
        <w:tc>
          <w:tcPr>
            <w:tcW w:type="dxa" w:w="7327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Datos oficiales de INFOBRAS y enlaces a las fuentes.</w:t>
            </w:r>
          </w:p>
        </w:tc>
      </w:tr>
    </w:tbl>
    <w:p>
      <w:pPr>
        <w:pStyle w:val="Heading1"/>
        <w:keepNext/>
        <w:pBdr>
          <w:bottom w:val="single" w:color="1F72B4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A1C30"/>
          <w:sz w:val="30"/>
          <w:szCs w:val="30"/>
        </w:rPr>
        <w:t xml:space="preserve">7. Comparador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Dónde está:</w:t>
      </w:r>
      <w:r>
        <w:rPr>
          <w:rFonts w:ascii="Calibri" w:cs="Calibri" w:eastAsia="Calibri" w:hAnsi="Calibri"/>
          <w:sz w:val="22"/>
          <w:szCs w:val="22"/>
        </w:rPr>
        <w:t xml:space="preserve"> Menú → Monitoreo → Comparador.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 qué sirve:</w:t>
      </w:r>
      <w:r>
        <w:rPr>
          <w:rFonts w:ascii="Calibri" w:cs="Calibri" w:eastAsia="Calibri" w:hAnsi="Calibri"/>
          <w:sz w:val="22"/>
          <w:szCs w:val="22"/>
        </w:rPr>
        <w:t xml:space="preserve"> Comparar departamentos o tipos de obra para ver dónde se concentran los retrasos.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72B4"/>
          <w:sz w:val="24"/>
          <w:szCs w:val="24"/>
        </w:rPr>
        <w:t xml:space="preserve">Qué se ve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Gráfico ordenado por tasa histórica de retraso</w:t>
      </w:r>
      <w:r>
        <w:rPr>
          <w:rFonts w:ascii="Calibri" w:cs="Calibri" w:eastAsia="Calibri" w:hAnsi="Calibri"/>
          <w:sz w:val="22"/>
          <w:szCs w:val="22"/>
        </w:rPr>
        <w:t xml:space="preserve"> de cada grupo (solo grupos con al menos 30 obras con resultado conocido, para no sacar conclusiones con pocos casos).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Tabla comparativa</w:t>
      </w:r>
      <w:r>
        <w:rPr>
          <w:rFonts w:ascii="Calibri" w:cs="Calibri" w:eastAsia="Calibri" w:hAnsi="Calibri"/>
          <w:sz w:val="22"/>
          <w:szCs w:val="22"/>
        </w:rPr>
        <w:t xml:space="preserve"> con las cifras de cada departamento o tipo de obra (se elige cómo agrupar).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72B4"/>
          <w:sz w:val="24"/>
          <w:szCs w:val="24"/>
        </w:rPr>
        <w:t xml:space="preserve">Cómo usarla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Pulse un encabezado de la tabla para ordenarla por esa columna.</w:t>
      </w:r>
    </w:p>
    <w:p>
      <w:pPr>
        <w:spacing w:after="100"/>
      </w:pPr>
    </w:p>
    <w:tbl>
      <w:tblPr>
        <w:tblW w:type="dxa" w:w="9640"/>
        <w:tblBorders>
          <w:top w:val="single" w:color="1F72B4" w:sz="4"/>
          <w:left w:val="single" w:color="1F72B4" w:sz="24"/>
          <w:bottom w:val="single" w:color="1F72B4" w:sz="4"/>
          <w:right w:val="single" w:color="1F72B4" w:sz="4"/>
          <w:insideH w:val="single" w:color="1F72B4" w:sz="4"/>
          <w:insideV w:val="single" w:color="1F72B4" w:sz="4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shd w:fill="EFF6FC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1C30"/>
                <w:sz w:val="21"/>
                <w:szCs w:val="21"/>
              </w:rPr>
              <w:t xml:space="preserve">Qué decir al mostrarla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«Esta pantalla ayuda a planificar: muestra qué regiones o tipos de obra tienen históricamente más obras con retraso.»</w:t>
            </w:r>
          </w:p>
        </w:tc>
      </w:tr>
    </w:tbl>
    <w:p>
      <w:pPr>
        <w:pStyle w:val="Heading1"/>
        <w:keepNext/>
        <w:pBdr>
          <w:bottom w:val="single" w:color="1F72B4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A1C30"/>
          <w:sz w:val="30"/>
          <w:szCs w:val="30"/>
        </w:rPr>
        <w:t xml:space="preserve">8. Validación del modelo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Dónde está:</w:t>
      </w:r>
      <w:r>
        <w:rPr>
          <w:rFonts w:ascii="Calibri" w:cs="Calibri" w:eastAsia="Calibri" w:hAnsi="Calibri"/>
          <w:sz w:val="22"/>
          <w:szCs w:val="22"/>
        </w:rPr>
        <w:t xml:space="preserve"> Menú → Evidencia → Validación del modelo.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 qué sirve:</w:t>
      </w:r>
      <w:r>
        <w:rPr>
          <w:rFonts w:ascii="Calibri" w:cs="Calibri" w:eastAsia="Calibri" w:hAnsi="Calibri"/>
          <w:sz w:val="22"/>
          <w:szCs w:val="22"/>
        </w:rPr>
        <w:t xml:space="preserve"> Demostrar, con datos pasados, que las predicciones funcionan y cuánto se puede confiar en ellas.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72B4"/>
          <w:sz w:val="24"/>
          <w:szCs w:val="24"/>
        </w:rPr>
        <w:t xml:space="preserve">Qué se ve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Tres preguntas respondidas en lenguaje simple: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«¿Distingue las obras que se atrasan?» → 77 de 100: al comparar una obra que tuvo atraso con otra que no, el modelo dio más riesgo a la primera en 77 de cada 100 pares (el azar sería 50).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«¿Son realistas las probabilidades?» → 20 % → 18 %: en el grupo de mayor riesgo el modelo estimó 20 % y ocurrió 18 %.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«¿Sirve para priorizar la supervisión?» → revisando el 10 % de obras con mayor riesgo se habría encontrado el 32 % de los atrasos.</w:t>
      </w:r>
    </w:p>
    <w:p>
      <w:pPr>
        <w:spacing w:after="100"/>
      </w:pPr>
    </w:p>
    <w:tbl>
      <w:tblPr>
        <w:tblW w:type="dxa" w:w="9640"/>
        <w:tblBorders>
          <w:top w:val="single" w:color="1F72B4" w:sz="4"/>
          <w:left w:val="single" w:color="1F72B4" w:sz="24"/>
          <w:bottom w:val="single" w:color="1F72B4" w:sz="4"/>
          <w:right w:val="single" w:color="1F72B4" w:sz="4"/>
          <w:insideH w:val="single" w:color="1F72B4" w:sz="4"/>
          <w:insideV w:val="single" w:color="1F72B4" w:sz="4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shd w:fill="EFF6FC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1C30"/>
                <w:sz w:val="21"/>
                <w:szCs w:val="21"/>
              </w:rPr>
              <w:t xml:space="preserve">Qué decir al mostrarla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«Aquí mostramos que no pedimos fe: el modelo se evaluó en meses que no conoció y sus probabilidades coinciden con lo que realmente ocurrió.»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72B4"/>
          <w:sz w:val="24"/>
          <w:szCs w:val="24"/>
        </w:rPr>
        <w:t xml:space="preserve">Pestañas de la validación</w:t>
      </w:r>
    </w:p>
    <w:tbl>
      <w:tblPr>
        <w:tblW w:type="dxa" w:w="9640"/>
        <w:tblBorders>
          <w:top w:val="single" w:color="C9D3DF" w:sz="4"/>
          <w:left w:val="single" w:color="C9D3DF" w:sz="4"/>
          <w:bottom w:val="single" w:color="C9D3DF" w:sz="4"/>
          <w:right w:val="single" w:color="C9D3DF" w:sz="4"/>
          <w:insideH w:val="single" w:color="C9D3DF" w:sz="4"/>
          <w:insideV w:val="single" w:color="C9D3DF" w:sz="4"/>
        </w:tblBorders>
        <w:tblLayout w:type="fixed"/>
      </w:tblPr>
      <w:tblGrid>
        <w:gridCol w:w="2313"/>
        <w:gridCol w:w="7327"/>
      </w:tblGrid>
      <w:tr>
        <w:trPr>
          <w:cantSplit/>
          <w:tblHeader/>
        </w:trPr>
        <w:tc>
          <w:tcPr>
            <w:tcW w:type="dxa" w:w="2313"/>
            <w:shd w:fill="0A1C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Pestaña</w:t>
            </w:r>
          </w:p>
        </w:tc>
        <w:tc>
          <w:tcPr>
            <w:tcW w:type="dxa" w:w="7327"/>
            <w:shd w:fill="0A1C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muestra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Alerta a 60 días</w:t>
            </w:r>
          </w:p>
        </w:tc>
        <w:tc>
          <w:tcPr>
            <w:tcW w:type="dxa" w:w="7327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 las probabilidades coinciden con lo ocurrido (barras y línea por grupos de riesgo), el resultado real de cada nivel (alto 17.6 %, medio 8.5 %, bajo 3.1 %), cuánto rinde revisar según el riesgo y la anticipación lograda en Arequipa.</w:t>
            </w:r>
          </w:p>
        </w:tc>
      </w:tr>
      <w:tr>
        <w:trPr>
          <w:cantSplit/>
        </w:trPr>
        <w:tc>
          <w:tcPr>
            <w:tcW w:type="dxa" w:w="231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Cartera INFOBRAS</w:t>
            </w:r>
          </w:p>
        </w:tc>
        <w:tc>
          <w:tcPr>
            <w:tcW w:type="dxa" w:w="7327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misma evaluación para el modelo de la cartera: al inicio de la obra y con el seguimiento mensual del gasto.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Por sector</w:t>
            </w:r>
          </w:p>
        </w:tc>
        <w:tc>
          <w:tcPr>
            <w:tcW w:type="dxa" w:w="7327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Qué tan bien funciona el modelo en cada sector (educación, salud, transporte, etc.).</w:t>
            </w:r>
          </w:p>
        </w:tc>
      </w:tr>
      <w:tr>
        <w:trPr>
          <w:cantSplit/>
        </w:trPr>
        <w:tc>
          <w:tcPr>
            <w:tcW w:type="dxa" w:w="231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Obra por obra</w:t>
            </w:r>
          </w:p>
        </w:tc>
        <w:tc>
          <w:tcPr>
            <w:tcW w:type="dxa" w:w="7327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 estimado frente a lo ocurrido en obras concretas de la cartera, para revisar aciertos y errores uno por uno.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Detalle técnico</w:t>
            </w:r>
          </w:p>
        </w:tc>
        <w:tc>
          <w:tcPr>
            <w:tcW w:type="dxa" w:w="7327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Diseño de la evaluación, matriz de confusión (aciertos y errores del nivel alto), el experimento central «¿aporta el texto de los asientos?» (modelo A frente a B), todos los experimentos y la trazabilidad del modelo en uso.</w:t>
            </w:r>
          </w:p>
        </w:tc>
      </w:tr>
    </w:tbl>
    <w:p>
      <w:pPr>
        <w:pStyle w:val="Heading1"/>
        <w:keepNext/>
        <w:pBdr>
          <w:bottom w:val="single" w:color="1F72B4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A1C30"/>
          <w:sz w:val="30"/>
          <w:szCs w:val="30"/>
        </w:rPr>
        <w:t xml:space="preserve">9. Datos y fuentes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Dónde está:</w:t>
      </w:r>
      <w:r>
        <w:rPr>
          <w:rFonts w:ascii="Calibri" w:cs="Calibri" w:eastAsia="Calibri" w:hAnsi="Calibri"/>
          <w:sz w:val="22"/>
          <w:szCs w:val="22"/>
        </w:rPr>
        <w:t xml:space="preserve"> Menú → Evidencia → Datos y fuentes.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 qué sirve:</w:t>
      </w:r>
      <w:r>
        <w:rPr>
          <w:rFonts w:ascii="Calibri" w:cs="Calibri" w:eastAsia="Calibri" w:hAnsi="Calibri"/>
          <w:sz w:val="22"/>
          <w:szCs w:val="22"/>
        </w:rPr>
        <w:t xml:space="preserve"> Mostrar de dónde vienen los datos, qué tan completos están y qué limitaciones tienen.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72B4"/>
          <w:sz w:val="24"/>
          <w:szCs w:val="24"/>
        </w:rPr>
        <w:t xml:space="preserve">Qué se ve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Integración de las fuentes:</w:t>
      </w:r>
      <w:r>
        <w:rPr>
          <w:rFonts w:ascii="Calibri" w:cs="Calibri" w:eastAsia="Calibri" w:hAnsi="Calibri"/>
          <w:sz w:val="22"/>
          <w:szCs w:val="22"/>
        </w:rPr>
        <w:t xml:space="preserve"> cuántas obras del cuaderno se enlazaron con su inversión (CUI), con INFOBRAS y con el gasto mensual del SIAF.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Auditoría de calidad de los datos:</w:t>
      </w:r>
      <w:r>
        <w:rPr>
          <w:rFonts w:ascii="Calibri" w:cs="Calibri" w:eastAsia="Calibri" w:hAnsi="Calibri"/>
          <w:sz w:val="22"/>
          <w:szCs w:val="22"/>
        </w:rPr>
        <w:t xml:space="preserve"> resultado de los 32 chequeos automáticos (sin hallazgos, avisos e informativos).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Disponibilidad de las fuentes y sincronización:</w:t>
      </w:r>
      <w:r>
        <w:rPr>
          <w:rFonts w:ascii="Calibri" w:cs="Calibri" w:eastAsia="Calibri" w:hAnsi="Calibri"/>
          <w:sz w:val="22"/>
          <w:szCs w:val="22"/>
        </w:rPr>
        <w:t xml:space="preserve"> fecha de cada fuente y de la próxima actualización.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Limitaciones conocidas:</w:t>
      </w:r>
      <w:r>
        <w:rPr>
          <w:rFonts w:ascii="Calibri" w:cs="Calibri" w:eastAsia="Calibri" w:hAnsi="Calibri"/>
          <w:sz w:val="22"/>
          <w:szCs w:val="22"/>
        </w:rPr>
        <w:t xml:space="preserve"> condiciones de las fuentes que limitan lo que el sistema puede afirmar (por ejemplo, obras sin coordenadas).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Linaje de los datos:</w:t>
      </w:r>
      <w:r>
        <w:rPr>
          <w:rFonts w:ascii="Calibri" w:cs="Calibri" w:eastAsia="Calibri" w:hAnsi="Calibri"/>
          <w:sz w:val="22"/>
          <w:szCs w:val="22"/>
        </w:rPr>
        <w:t xml:space="preserve"> el camino de cada dato desde el archivo oficial hasta la pantalla.</w:t>
      </w:r>
    </w:p>
    <w:p>
      <w:pPr>
        <w:spacing w:after="100"/>
      </w:pPr>
    </w:p>
    <w:tbl>
      <w:tblPr>
        <w:tblW w:type="dxa" w:w="9640"/>
        <w:tblBorders>
          <w:top w:val="single" w:color="1F72B4" w:sz="4"/>
          <w:left w:val="single" w:color="1F72B4" w:sz="24"/>
          <w:bottom w:val="single" w:color="1F72B4" w:sz="4"/>
          <w:right w:val="single" w:color="1F72B4" w:sz="4"/>
          <w:insideH w:val="single" w:color="1F72B4" w:sz="4"/>
          <w:insideV w:val="single" w:color="1F72B4" w:sz="4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shd w:fill="EFF6FC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1C30"/>
                <w:sz w:val="21"/>
                <w:szCs w:val="21"/>
              </w:rPr>
              <w:t xml:space="preserve">Qué decir al mostrarla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«Somos transparentes con los datos: mostramos qué fuentes usamos, qué tan completas están y qué problemas tienen, sin maquillarlos.»</w:t>
            </w:r>
          </w:p>
        </w:tc>
      </w:tr>
    </w:tbl>
    <w:p>
      <w:pPr>
        <w:pStyle w:val="Heading1"/>
        <w:keepNext/>
        <w:pBdr>
          <w:bottom w:val="single" w:color="1F72B4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A1C30"/>
          <w:sz w:val="30"/>
          <w:szCs w:val="30"/>
        </w:rPr>
        <w:t xml:space="preserve">10. Estado y monitoreo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Dónde está:</w:t>
      </w:r>
      <w:r>
        <w:rPr>
          <w:rFonts w:ascii="Calibri" w:cs="Calibri" w:eastAsia="Calibri" w:hAnsi="Calibri"/>
          <w:sz w:val="22"/>
          <w:szCs w:val="22"/>
        </w:rPr>
        <w:t xml:space="preserve"> Menú → Evidencia → Estado y monitoreo.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 qué sirve:</w:t>
      </w:r>
      <w:r>
        <w:rPr>
          <w:rFonts w:ascii="Calibri" w:cs="Calibri" w:eastAsia="Calibri" w:hAnsi="Calibri"/>
          <w:sz w:val="22"/>
          <w:szCs w:val="22"/>
        </w:rPr>
        <w:t xml:space="preserve"> Mostrar la salud del sistema y si el modelo sigue funcionando bien con datos nuevos.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72B4"/>
          <w:sz w:val="24"/>
          <w:szCs w:val="24"/>
        </w:rPr>
        <w:t xml:space="preserve">Qué se ve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Estado de la plataforma:</w:t>
      </w:r>
      <w:r>
        <w:rPr>
          <w:rFonts w:ascii="Calibri" w:cs="Calibri" w:eastAsia="Calibri" w:hAnsi="Calibri"/>
          <w:sz w:val="22"/>
          <w:szCs w:val="22"/>
        </w:rPr>
        <w:t xml:space="preserve"> operativo o con avisos, con la lista de avisos (por ejemplo, «8 variables cambiaron de distribución: conviene evaluar un reentrenamiento»).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Cuatro indicadores:</w:t>
      </w:r>
      <w:r>
        <w:rPr>
          <w:rFonts w:ascii="Calibri" w:cs="Calibri" w:eastAsia="Calibri" w:hAnsi="Calibri"/>
          <w:sz w:val="22"/>
          <w:szCs w:val="22"/>
        </w:rPr>
        <w:t xml:space="preserve"> datos al corte (31 ago. 2026), última actualización, chequeos sin hallazgos y fecha hasta la que se entrenó el modelo.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¿El modelo sigue anticipando los atrasos?:</w:t>
      </w:r>
      <w:r>
        <w:rPr>
          <w:rFonts w:ascii="Calibri" w:cs="Calibri" w:eastAsia="Calibri" w:hAnsi="Calibri"/>
          <w:sz w:val="22"/>
          <w:szCs w:val="22"/>
        </w:rPr>
        <w:t xml:space="preserve"> porcentaje de atrasos que ya estaban en nivel alto, mes a mes.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¿Es normal la cantidad de obras en nivel alto?:</w:t>
      </w:r>
      <w:r>
        <w:rPr>
          <w:rFonts w:ascii="Calibri" w:cs="Calibri" w:eastAsia="Calibri" w:hAnsi="Calibri"/>
          <w:sz w:val="22"/>
          <w:szCs w:val="22"/>
        </w:rPr>
        <w:t xml:space="preserve"> compara el mes actual con la mediana histórica y marca si es un valor atípico.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¿Cambiaron los datos de entrada del modelo?:</w:t>
      </w:r>
      <w:r>
        <w:rPr>
          <w:rFonts w:ascii="Calibri" w:cs="Calibri" w:eastAsia="Calibri" w:hAnsi="Calibri"/>
          <w:sz w:val="22"/>
          <w:szCs w:val="22"/>
        </w:rPr>
        <w:t xml:space="preserve"> las variables que más cambiaron respecto del entrenamiento.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Actualizaciones de datos:</w:t>
      </w:r>
      <w:r>
        <w:rPr>
          <w:rFonts w:ascii="Calibri" w:cs="Calibri" w:eastAsia="Calibri" w:hAnsi="Calibri"/>
          <w:sz w:val="22"/>
          <w:szCs w:val="22"/>
        </w:rPr>
        <w:t xml:space="preserve"> historial de cada carga (aplicada, rechazada o con error) con su detalle.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72B4"/>
          <w:sz w:val="24"/>
          <w:szCs w:val="24"/>
        </w:rPr>
        <w:t xml:space="preserve">Cómo usarla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Cada gráfico puede verse como tabla; pulse una actualización para ver su detalle.</w:t>
      </w:r>
    </w:p>
    <w:p>
      <w:pPr>
        <w:spacing w:after="100"/>
      </w:pPr>
    </w:p>
    <w:tbl>
      <w:tblPr>
        <w:tblW w:type="dxa" w:w="9640"/>
        <w:tblBorders>
          <w:top w:val="single" w:color="1F72B4" w:sz="4"/>
          <w:left w:val="single" w:color="1F72B4" w:sz="24"/>
          <w:bottom w:val="single" w:color="1F72B4" w:sz="4"/>
          <w:right w:val="single" w:color="1F72B4" w:sz="4"/>
          <w:insideH w:val="single" w:color="1F72B4" w:sz="4"/>
          <w:insideV w:val="single" w:color="1F72B4" w:sz="4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shd w:fill="EFF6FC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1C30"/>
                <w:sz w:val="21"/>
                <w:szCs w:val="21"/>
              </w:rPr>
              <w:t xml:space="preserve">Qué decir al mostrarla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«El sistema se vigila a sí mismo: si los datos cambian y el modelo empieza a envejecer, lo detecta y lo muestra.»</w:t>
            </w:r>
          </w:p>
        </w:tc>
      </w:tr>
    </w:tbl>
    <w:p>
      <w:pPr>
        <w:pStyle w:val="Heading1"/>
        <w:keepNext/>
        <w:pBdr>
          <w:bottom w:val="single" w:color="1F72B4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A1C30"/>
          <w:sz w:val="30"/>
          <w:szCs w:val="30"/>
        </w:rPr>
        <w:t xml:space="preserve">11. Guía y glosario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Dónde está:</w:t>
      </w:r>
      <w:r>
        <w:rPr>
          <w:rFonts w:ascii="Calibri" w:cs="Calibri" w:eastAsia="Calibri" w:hAnsi="Calibri"/>
          <w:sz w:val="22"/>
          <w:szCs w:val="22"/>
        </w:rPr>
        <w:t xml:space="preserve"> Menú → Ayuda → Guía y glosario.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 qué sirve:</w:t>
      </w:r>
      <w:r>
        <w:rPr>
          <w:rFonts w:ascii="Calibri" w:cs="Calibri" w:eastAsia="Calibri" w:hAnsi="Calibri"/>
          <w:sz w:val="22"/>
          <w:szCs w:val="22"/>
        </w:rPr>
        <w:t xml:space="preserve"> Explicar cómo leer el sistema y los términos técnicos.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72B4"/>
          <w:sz w:val="24"/>
          <w:szCs w:val="24"/>
        </w:rPr>
        <w:t xml:space="preserve">Qué se ve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Glosario:</w:t>
      </w:r>
      <w:r>
        <w:rPr>
          <w:rFonts w:ascii="Calibri" w:cs="Calibri" w:eastAsia="Calibri" w:hAnsi="Calibri"/>
          <w:sz w:val="22"/>
          <w:szCs w:val="22"/>
        </w:rPr>
        <w:t xml:space="preserve"> definiciones simples de términos como probabilidad, nivel de riesgo, atraso formal, CUI o factor.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Qué puede y qué no puede hacer:</w:t>
      </w:r>
      <w:r>
        <w:rPr>
          <w:rFonts w:ascii="Calibri" w:cs="Calibri" w:eastAsia="Calibri" w:hAnsi="Calibri"/>
          <w:sz w:val="22"/>
          <w:szCs w:val="22"/>
        </w:rPr>
        <w:t xml:space="preserve"> los alcances y los límites del sistema (por ejemplo, que no determina responsabilidades).</w:t>
      </w:r>
    </w:p>
    <w:p>
      <w:pPr>
        <w:spacing w:after="100"/>
      </w:pPr>
    </w:p>
    <w:tbl>
      <w:tblPr>
        <w:tblW w:type="dxa" w:w="9640"/>
        <w:tblBorders>
          <w:top w:val="single" w:color="1F72B4" w:sz="4"/>
          <w:left w:val="single" w:color="1F72B4" w:sz="24"/>
          <w:bottom w:val="single" w:color="1F72B4" w:sz="4"/>
          <w:right w:val="single" w:color="1F72B4" w:sz="4"/>
          <w:insideH w:val="single" w:color="1F72B4" w:sz="4"/>
          <w:insideV w:val="single" w:color="1F72B4" w:sz="4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shd w:fill="EFF6FC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1C30"/>
                <w:sz w:val="21"/>
                <w:szCs w:val="21"/>
              </w:rPr>
              <w:t xml:space="preserve">Qué decir al mostrarla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«Pensamos en usuarios sin formación técnica: todo término tiene una explicación a un clic.»</w:t>
            </w:r>
          </w:p>
        </w:tc>
      </w:tr>
    </w:tbl>
    <w:p>
      <w:pPr>
        <w:pStyle w:val="Heading1"/>
        <w:keepNext/>
        <w:pBdr>
          <w:bottom w:val="single" w:color="1F72B4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A1C30"/>
          <w:sz w:val="30"/>
          <w:szCs w:val="30"/>
        </w:rPr>
        <w:t xml:space="preserve">12. Funciones de la versión completa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Estas funciones necesitan un servidor con base de datos, por eso no están en la copia pública de solo lectura; sí funcionan en la versión completa instalada en una computadora.</w:t>
      </w:r>
    </w:p>
    <w:tbl>
      <w:tblPr>
        <w:tblW w:type="dxa" w:w="9640"/>
        <w:tblBorders>
          <w:top w:val="single" w:color="C9D3DF" w:sz="4"/>
          <w:left w:val="single" w:color="C9D3DF" w:sz="4"/>
          <w:bottom w:val="single" w:color="C9D3DF" w:sz="4"/>
          <w:right w:val="single" w:color="C9D3DF" w:sz="4"/>
          <w:insideH w:val="single" w:color="C9D3DF" w:sz="4"/>
          <w:insideV w:val="single" w:color="C9D3DF" w:sz="4"/>
        </w:tblBorders>
        <w:tblLayout w:type="fixed"/>
      </w:tblPr>
      <w:tblGrid>
        <w:gridCol w:w="2313"/>
        <w:gridCol w:w="7327"/>
      </w:tblGrid>
      <w:tr>
        <w:trPr>
          <w:cantSplit/>
          <w:tblHeader/>
        </w:trPr>
        <w:tc>
          <w:tcPr>
            <w:tcW w:type="dxa" w:w="2313"/>
            <w:shd w:fill="0A1C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7327"/>
            <w:shd w:fill="0A1C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Buscar</w:t>
            </w:r>
          </w:p>
        </w:tc>
        <w:tc>
          <w:tcPr>
            <w:tcW w:type="dxa" w:w="7327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Busca en todas las obras (cuaderno digital y cartera) por nombre, entidad, CUI o código INFOBRAS.</w:t>
            </w:r>
          </w:p>
        </w:tc>
      </w:tr>
      <w:tr>
        <w:trPr>
          <w:cantSplit/>
        </w:trPr>
        <w:tc>
          <w:tcPr>
            <w:tcW w:type="dxa" w:w="231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Recibir alertas</w:t>
            </w:r>
          </w:p>
        </w:tc>
        <w:tc>
          <w:tcPr>
            <w:tcW w:type="dxa" w:w="7327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Suscripción gratuita a un resumen semanal por correo con las obras de riesgo alto de un departamento o provincia; requiere confirmar el correo.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Ingresar</w:t>
            </w:r>
          </w:p>
        </w:tc>
        <w:tc>
          <w:tcPr>
            <w:tcW w:type="dxa" w:w="7327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Acceso de analistas autorizados para registrar revisiones de las alertas; todo queda en un registro de auditoría.</w:t>
            </w:r>
          </w:p>
        </w:tc>
      </w:tr>
      <w:tr>
        <w:trPr>
          <w:cantSplit/>
        </w:trPr>
        <w:tc>
          <w:tcPr>
            <w:tcW w:type="dxa" w:w="231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Revisión del analista</w:t>
            </w:r>
          </w:p>
        </w:tc>
        <w:tc>
          <w:tcPr>
            <w:tcW w:type="dxa" w:w="7327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Registrar si una alerta se revisó y qué se decidió, para evaluar con el tiempo la utilidad de las alertas.</w:t>
            </w:r>
          </w:p>
        </w:tc>
      </w:tr>
    </w:tbl>
    <w:p>
      <w:pPr>
        <w:pStyle w:val="Heading1"/>
        <w:keepNext/>
        <w:pBdr>
          <w:bottom w:val="single" w:color="1F72B4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A1C30"/>
          <w:sz w:val="30"/>
          <w:szCs w:val="30"/>
        </w:rPr>
        <w:t xml:space="preserve">13. Recorrido sugerido para mostrarlo (3 minutos)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Panorama:</w:t>
      </w:r>
      <w:r>
        <w:rPr>
          <w:rFonts w:ascii="Calibri" w:cs="Calibri" w:eastAsia="Calibri" w:hAnsi="Calibri"/>
          <w:sz w:val="22"/>
          <w:szCs w:val="22"/>
        </w:rPr>
        <w:t xml:space="preserve"> leer la frase de resumen y los cuatro indicadores; señalar el mapa.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Alertas del cuaderno:</w:t>
      </w:r>
      <w:r>
        <w:rPr>
          <w:rFonts w:ascii="Calibri" w:cs="Calibri" w:eastAsia="Calibri" w:hAnsi="Calibri"/>
          <w:sz w:val="22"/>
          <w:szCs w:val="22"/>
        </w:rPr>
        <w:t xml:space="preserve"> pulsar la tarjeta «Riesgo alto» y abrir la primera obra.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Ficha:</w:t>
      </w:r>
      <w:r>
        <w:rPr>
          <w:rFonts w:ascii="Calibri" w:cs="Calibri" w:eastAsia="Calibri" w:hAnsi="Calibri"/>
          <w:sz w:val="22"/>
          <w:szCs w:val="22"/>
        </w:rPr>
        <w:t xml:space="preserve"> leer el nivel, las veces sobre el promedio y la confiabilidad del nivel.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Factores y evidencia:</w:t>
      </w:r>
      <w:r>
        <w:rPr>
          <w:rFonts w:ascii="Calibri" w:cs="Calibri" w:eastAsia="Calibri" w:hAnsi="Calibri"/>
          <w:sz w:val="22"/>
          <w:szCs w:val="22"/>
        </w:rPr>
        <w:t xml:space="preserve"> pulsar «Ver evidencia» en un factor para mostrar el asiento oficial.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Informe técnico PDF:</w:t>
      </w:r>
      <w:r>
        <w:rPr>
          <w:rFonts w:ascii="Calibri" w:cs="Calibri" w:eastAsia="Calibri" w:hAnsi="Calibri"/>
          <w:sz w:val="22"/>
          <w:szCs w:val="22"/>
        </w:rPr>
        <w:t xml:space="preserve"> abrirlo y mostrar la portada y la escala de riesgo.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Validación del modelo:</w:t>
      </w:r>
      <w:r>
        <w:rPr>
          <w:rFonts w:ascii="Calibri" w:cs="Calibri" w:eastAsia="Calibri" w:hAnsi="Calibri"/>
          <w:sz w:val="22"/>
          <w:szCs w:val="22"/>
        </w:rPr>
        <w:t xml:space="preserve"> mostrar las tres preguntas respondidas.</w:t>
      </w:r>
    </w:p>
    <w:p>
      <w:pPr>
        <w:pStyle w:val="ListParagraph"/>
        <w:numPr>
          <w:ilvl w:val="0"/>
          <w:numId w:val="2"/>
        </w:numPr>
        <w:spacing w:after="50" w:line="264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Estado y monitoreo:</w:t>
      </w:r>
      <w:r>
        <w:rPr>
          <w:rFonts w:ascii="Calibri" w:cs="Calibri" w:eastAsia="Calibri" w:hAnsi="Calibri"/>
          <w:sz w:val="22"/>
          <w:szCs w:val="22"/>
        </w:rPr>
        <w:t xml:space="preserve"> mostrar que el sistema vigila su propio desempeño.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650" w:footer="6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3E4A5B"/>
        <w:sz w:val="17"/>
        <w:szCs w:val="17"/>
      </w:rPr>
      <w:t xml:space="preserve">Página </w:t>
    </w:r>
    <w:r>
      <w:rPr>
        <w:rFonts w:ascii="Calibri" w:cs="Calibri" w:eastAsia="Calibri" w:hAnsi="Calibri"/>
        <w:color w:val="3E4A5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3E4A5B"/>
        <w:sz w:val="17"/>
        <w:szCs w:val="17"/>
      </w:rPr>
      <w:t xml:space="preserve"> de </w:t>
    </w:r>
    <w:r>
      <w:rPr>
        <w:rFonts w:ascii="Calibri" w:cs="Calibri" w:eastAsia="Calibri" w:hAnsi="Calibri"/>
        <w:color w:val="3E4A5B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F" w:sz="4" w:space="4"/>
      </w:pBdr>
      <w:jc w:val="right"/>
    </w:pPr>
    <w:r>
      <w:rPr>
        <w:rFonts w:ascii="Calibri" w:cs="Calibri" w:eastAsia="Calibri" w:hAnsi="Calibri"/>
        <w:color w:val="3E4A5B"/>
        <w:sz w:val="17"/>
        <w:szCs w:val="17"/>
      </w:rPr>
      <w:t xml:space="preserve">SATO · Guía de uso de la plataforma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2xbg08vp1x28bmrg48znu" Type="http://schemas.openxmlformats.org/officeDocument/2006/relationships/hyperlink" Target="https://owerlopez.github.io/sato_peru_2026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uso de la plataforma SATO</dc:title>
  <dc:creator>Equipo SATO</dc:creator>
  <dc:description>Explicación de cada pantalla y pestaña</dc:description>
  <cp:lastModifiedBy>Equipo SATO</cp:lastModifiedBy>
  <cp:revision>1</cp:revision>
  <dcterms:created xsi:type="dcterms:W3CDTF">2026-09-30T05:25:13.740Z</dcterms:created>
  <dcterms:modified xsi:type="dcterms:W3CDTF">2026-09-30T05:25:13.741Z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