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отчет-о-преобразовании-координат"/>
    <w:p>
      <w:pPr>
        <w:pStyle w:val="Heading1"/>
      </w:pPr>
      <w:r>
        <w:t xml:space="preserve">Отчет о преобразовании координат</w:t>
      </w:r>
    </w:p>
    <w:bookmarkStart w:id="20" w:name="таблица-координат"/>
    <w:p>
      <w:pPr>
        <w:pStyle w:val="Heading2"/>
      </w:pPr>
      <w:r>
        <w:t xml:space="preserve">Таблица координат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3"/>
        <w:gridCol w:w="1377"/>
        <w:gridCol w:w="1377"/>
        <w:gridCol w:w="2180"/>
        <w:gridCol w:w="21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Точка</w:t>
            </w:r>
          </w:p>
        </w:tc>
        <w:tc>
          <w:tcPr/>
          <w:p>
            <w:pPr>
              <w:pStyle w:val="Compact"/>
            </w:pPr>
            <w:r>
              <w:t xml:space="preserve">Исходная X</w:t>
            </w:r>
          </w:p>
        </w:tc>
        <w:tc>
          <w:tcPr/>
          <w:p>
            <w:pPr>
              <w:pStyle w:val="Compact"/>
            </w:pPr>
            <w:r>
              <w:t xml:space="preserve">Исходная Y</w:t>
            </w:r>
          </w:p>
        </w:tc>
        <w:tc>
          <w:tcPr/>
          <w:p>
            <w:pPr>
              <w:pStyle w:val="Compact"/>
            </w:pPr>
            <w:r>
              <w:t xml:space="preserve">Преобразованная X’</w:t>
            </w:r>
          </w:p>
        </w:tc>
        <w:tc>
          <w:tcPr/>
          <w:p>
            <w:pPr>
              <w:pStyle w:val="Compact"/>
            </w:pPr>
            <w:r>
              <w:t xml:space="preserve">Преобразованная Y’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 1</w:t>
            </w:r>
          </w:p>
        </w:tc>
        <w:tc>
          <w:tcPr/>
          <w:p>
            <w:pPr>
              <w:pStyle w:val="Compact"/>
            </w:pPr>
            <w:r>
              <w:t xml:space="preserve">6.58</w:t>
            </w:r>
          </w:p>
        </w:tc>
        <w:tc>
          <w:tcPr/>
          <w:p>
            <w:pPr>
              <w:pStyle w:val="Compact"/>
            </w:pPr>
            <w:r>
              <w:t xml:space="preserve">5.14</w:t>
            </w:r>
          </w:p>
        </w:tc>
        <w:tc>
          <w:tcPr/>
          <w:p>
            <w:pPr>
              <w:pStyle w:val="Compact"/>
            </w:pPr>
            <w:r>
              <w:t xml:space="preserve">50.88</w:t>
            </w:r>
          </w:p>
        </w:tc>
        <w:tc>
          <w:tcPr/>
          <w:p>
            <w:pPr>
              <w:pStyle w:val="Compact"/>
            </w:pPr>
            <w:r>
              <w:t xml:space="preserve">-30.32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 2</w:t>
            </w:r>
          </w:p>
        </w:tc>
        <w:tc>
          <w:tcPr/>
          <w:p>
            <w:pPr>
              <w:pStyle w:val="Compact"/>
            </w:pPr>
            <w:r>
              <w:t xml:space="preserve">-8.06</w:t>
            </w:r>
          </w:p>
        </w:tc>
        <w:tc>
          <w:tcPr/>
          <w:p>
            <w:pPr>
              <w:pStyle w:val="Compact"/>
            </w:pPr>
            <w:r>
              <w:t xml:space="preserve">-4.12</w:t>
            </w:r>
          </w:p>
        </w:tc>
        <w:tc>
          <w:tcPr/>
          <w:p>
            <w:pPr>
              <w:pStyle w:val="Compact"/>
            </w:pPr>
            <w:r>
              <w:t xml:space="preserve">-54.70</w:t>
            </w:r>
          </w:p>
        </w:tc>
        <w:tc>
          <w:tcPr/>
          <w:p>
            <w:pPr>
              <w:pStyle w:val="Compact"/>
            </w:pPr>
            <w:r>
              <w:t xml:space="preserve">38.23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 3</w:t>
            </w:r>
          </w:p>
        </w:tc>
        <w:tc>
          <w:tcPr/>
          <w:p>
            <w:pPr>
              <w:pStyle w:val="Compact"/>
            </w:pPr>
            <w:r>
              <w:t xml:space="preserve">2.89</w:t>
            </w:r>
          </w:p>
        </w:tc>
        <w:tc>
          <w:tcPr/>
          <w:p>
            <w:pPr>
              <w:pStyle w:val="Compact"/>
            </w:pPr>
            <w:r>
              <w:t xml:space="preserve">-9.43</w:t>
            </w:r>
          </w:p>
        </w:tc>
        <w:tc>
          <w:tcPr/>
          <w:p>
            <w:pPr>
              <w:pStyle w:val="Compact"/>
            </w:pPr>
            <w:r>
              <w:t xml:space="preserve">-18.55</w:t>
            </w:r>
          </w:p>
        </w:tc>
        <w:tc>
          <w:tcPr/>
          <w:p>
            <w:pPr>
              <w:pStyle w:val="Compact"/>
            </w:pPr>
            <w:r>
              <w:t xml:space="preserve">-19.16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 4</w:t>
            </w:r>
          </w:p>
        </w:tc>
        <w:tc>
          <w:tcPr/>
          <w:p>
            <w:pPr>
              <w:pStyle w:val="Compact"/>
            </w:pPr>
            <w:r>
              <w:t xml:space="preserve">-0.05</w:t>
            </w:r>
          </w:p>
        </w:tc>
        <w:tc>
          <w:tcPr/>
          <w:p>
            <w:pPr>
              <w:pStyle w:val="Compact"/>
            </w:pPr>
            <w:r>
              <w:t xml:space="preserve">-2.52</w:t>
            </w:r>
          </w:p>
        </w:tc>
        <w:tc>
          <w:tcPr/>
          <w:p>
            <w:pPr>
              <w:pStyle w:val="Compact"/>
            </w:pPr>
            <w:r>
              <w:t xml:space="preserve">-9.05</w:t>
            </w:r>
          </w:p>
        </w:tc>
        <w:tc>
          <w:tcPr/>
          <w:p>
            <w:pPr>
              <w:pStyle w:val="Compact"/>
            </w:pPr>
            <w:r>
              <w:t xml:space="preserve">-1.03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Точка 5</w:t>
            </w:r>
          </w:p>
        </w:tc>
        <w:tc>
          <w:tcPr/>
          <w:p>
            <w:pPr>
              <w:pStyle w:val="Compact"/>
            </w:pPr>
            <w:r>
              <w:t xml:space="preserve">6.65</w:t>
            </w:r>
          </w:p>
        </w:tc>
        <w:tc>
          <w:tcPr/>
          <w:p>
            <w:pPr>
              <w:pStyle w:val="Compact"/>
            </w:pPr>
            <w:r>
              <w:t xml:space="preserve">-8.45</w:t>
            </w:r>
          </w:p>
        </w:tc>
        <w:tc>
          <w:tcPr/>
          <w:p>
            <w:pPr>
              <w:pStyle w:val="Compact"/>
            </w:pPr>
            <w:r>
              <w:t xml:space="preserve">3.69</w:t>
            </w:r>
          </w:p>
        </w:tc>
        <w:tc>
          <w:tcPr/>
          <w:p>
            <w:pPr>
              <w:pStyle w:val="Compact"/>
            </w:pPr>
            <w:r>
              <w:t xml:space="preserve">-37.49</w:t>
            </w:r>
          </w:p>
        </w:tc>
      </w:tr>
    </w:tbl>
    <w:bookmarkEnd w:id="20"/>
    <w:bookmarkStart w:id="24" w:name="параметры-преобразования"/>
    <w:p>
      <w:pPr>
        <w:pStyle w:val="Heading2"/>
      </w:pPr>
      <w:r>
        <w:t xml:space="preserve">Параметры преобразования</w:t>
      </w:r>
    </w:p>
    <w:p>
      <w:pPr>
        <w:pStyle w:val="FirstParagraph"/>
      </w:pPr>
      <w:r>
        <w:t xml:space="preserve">Матрица преобразования: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5.0</m:t>
                    </m:r>
                  </m:e>
                  <m:e>
                    <m:r>
                      <m:t>3.5</m:t>
                    </m:r>
                  </m:e>
                  <m:e>
                    <m:r>
                      <m:t>2.0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5.0</m:t>
                    </m:r>
                  </m:e>
                  <m:e>
                    <m:r>
                      <m:t>0.5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2.0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Система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r>
                      <m:t>5.0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3.5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2.0</m:t>
                    </m:r>
                  </m:e>
                </m:mr>
                <m:mr>
                  <m:e>
                    <m:sSup>
                      <m:e>
                        <m: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5.0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2.0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График преобразования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График преобразования" title="" id="22" name="Picture"/>
            <a:graphic>
              <a:graphicData uri="http://schemas.openxmlformats.org/drawingml/2006/picture">
                <pic:pic>
                  <pic:nvPicPr>
                    <pic:cNvPr descr="transformation_plot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преобразования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2025-04-02T09:26:29Z</dcterms:created>
  <dcterms:modified xsi:type="dcterms:W3CDTF">2025-04-02T09:26:29Z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