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отчёт-по-преобразованию-координат"/>
    <w:p>
      <w:pPr>
        <w:pStyle w:val="Heading1"/>
      </w:pPr>
      <w:r>
        <w:t xml:space="preserve">Отчёт по преобразованию координат</w:t>
      </w:r>
    </w:p>
    <w:bookmarkStart w:id="20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В этом отчёте представлены результаты процесса преобразования координат с использованием 7-параметрической модели.</w:t>
      </w:r>
    </w:p>
    <w:bookmarkEnd w:id="20"/>
    <w:bookmarkStart w:id="21" w:name="параметры-ввода"/>
    <w:p>
      <w:pPr>
        <w:pStyle w:val="Heading2"/>
      </w:pPr>
      <w:r>
        <w:t xml:space="preserve">Параметры ввода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Исходная таблица данных</w:t>
      </w:r>
      <w:r>
        <w:t xml:space="preserve">: 9 точек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Начальная система координат</w:t>
      </w:r>
      <w:r>
        <w:t xml:space="preserve">: СК-42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Конечная система координат</w:t>
      </w:r>
      <w:r>
        <w:t xml:space="preserve">: ГСК-2011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Параметры преобразования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ΔX: 23.56</w:t>
      </w:r>
    </w:p>
    <w:p>
      <w:pPr>
        <w:pStyle w:val="Compact"/>
        <w:numPr>
          <w:ilvl w:val="1"/>
          <w:numId w:val="1002"/>
        </w:numPr>
      </w:pPr>
      <w:r>
        <w:t xml:space="preserve">ΔY: -140.86</w:t>
      </w:r>
    </w:p>
    <w:p>
      <w:pPr>
        <w:pStyle w:val="Compact"/>
        <w:numPr>
          <w:ilvl w:val="1"/>
          <w:numId w:val="1002"/>
        </w:numPr>
      </w:pPr>
      <w:r>
        <w:t xml:space="preserve">ΔZ: -79.77</w:t>
      </w:r>
    </w:p>
    <w:p>
      <w:pPr>
        <w:pStyle w:val="Compact"/>
        <w:numPr>
          <w:ilvl w:val="1"/>
          <w:numId w:val="1002"/>
        </w:numPr>
      </w:pPr>
      <w:r>
        <w:t xml:space="preserve">ωx: -0.0017380000</w:t>
      </w:r>
    </w:p>
    <w:p>
      <w:pPr>
        <w:pStyle w:val="Compact"/>
        <w:numPr>
          <w:ilvl w:val="1"/>
          <w:numId w:val="1002"/>
        </w:numPr>
      </w:pPr>
      <w:r>
        <w:t xml:space="preserve">ωy: -0.3464410000</w:t>
      </w:r>
    </w:p>
    <w:p>
      <w:pPr>
        <w:pStyle w:val="Compact"/>
        <w:numPr>
          <w:ilvl w:val="1"/>
          <w:numId w:val="1002"/>
        </w:numPr>
      </w:pPr>
      <w:r>
        <w:t xml:space="preserve">ωz: -0.7942630000</w:t>
      </w:r>
    </w:p>
    <w:p>
      <w:pPr>
        <w:pStyle w:val="Compact"/>
        <w:numPr>
          <w:ilvl w:val="1"/>
          <w:numId w:val="1002"/>
        </w:numPr>
      </w:pPr>
      <w:r>
        <w:t xml:space="preserve">m: -0.0000002227</w:t>
      </w:r>
    </w:p>
    <w:bookmarkEnd w:id="21"/>
    <w:bookmarkStart w:id="22" w:name="общая-формула-преобразования"/>
    <w:p>
      <w:pPr>
        <w:pStyle w:val="Heading2"/>
      </w:pPr>
      <w:r>
        <w:t xml:space="preserve">Общая формула преобразования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  <m:mr>
                  <m:e>
                    <m:r>
                      <m:t>Z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Y</m:t>
                    </m:r>
                  </m:e>
                </m:mr>
                <m:mr>
                  <m:e>
                    <m:r>
                      <m:t>X</m:t>
                    </m:r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Z</m:t>
                    </m:r>
                  </m:e>
                </m:mr>
              </m:m>
            </m:e>
          </m:d>
        </m:oMath>
      </m:oMathPara>
    </w:p>
    <w:bookmarkEnd w:id="22"/>
    <w:bookmarkStart w:id="23" w:name="X97a34a3b43977d26e655d50bbe4aebe14d3340e"/>
    <w:p>
      <w:pPr>
        <w:pStyle w:val="Heading2"/>
      </w:pPr>
      <w:r>
        <w:t xml:space="preserve">Общая формула с подставленными параметрами перехода</w:t>
      </w:r>
    </w:p>
    <w:p>
      <w:pPr>
        <w:pStyle w:val="FirstParagraph"/>
      </w:pPr>
      <w:r>
        <w:t xml:space="preserve">$$X_{new} = 0.99999977726 X - 0.794262823085859 Y + 0.346440922833732 Z + 23.56,</w:t>
      </w:r>
    </w:p>
    <w:p>
      <w:pPr>
        <w:pStyle w:val="BodyText"/>
      </w:pPr>
      <w:r>
        <w:t xml:space="preserve">Y_{new} = 0.794262823085859 X + 0.99999977726 Y - 0.00173799961287788 Z - 140.86,</w:t>
      </w:r>
    </w:p>
    <w:p>
      <w:pPr>
        <w:pStyle w:val="BodyText"/>
      </w:pPr>
      <w:r>
        <w:t xml:space="preserve">Z_{new} = - 0.346440922833732 X + 0.00173799961287788 Y + 0.99999977726 Z - 79.77$$</w:t>
      </w:r>
    </w:p>
    <w:bookmarkEnd w:id="23"/>
    <w:bookmarkStart w:id="28" w:name="X4d117b612ca9a6b8a2a36bf98b4e16e45252012"/>
    <w:p>
      <w:pPr>
        <w:pStyle w:val="Heading2"/>
      </w:pPr>
      <w:r>
        <w:t xml:space="preserve">Пример последовательных преобразований для первой точки</w:t>
      </w:r>
    </w:p>
    <w:p>
      <w:pPr>
        <w:pStyle w:val="FirstParagraph"/>
      </w:pPr>
      <w:r>
        <w:t xml:space="preserve">Для точки Point1:</w:t>
      </w:r>
    </w:p>
    <w:bookmarkStart w:id="24" w:name="шаг-1-общая-формула"/>
    <w:p>
      <w:pPr>
        <w:pStyle w:val="Heading3"/>
      </w:pPr>
      <w:r>
        <w:t xml:space="preserve">Шаг 1: Общая формула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  <m:mr>
                  <m:e>
                    <m:r>
                      <m:t>Z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t>ω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Y</m:t>
                    </m:r>
                  </m:e>
                </m:mr>
                <m:mr>
                  <m:e>
                    <m:r>
                      <m:t>X</m:t>
                    </m:r>
                    <m:r>
                      <m:t>ω</m:t>
                    </m:r>
                    <m:r>
                      <m:t>y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t>ω</m:t>
                    </m:r>
                    <m:r>
                      <m:t>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m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Δ</m:t>
                    </m:r>
                    <m:r>
                      <m:t>Z</m:t>
                    </m:r>
                  </m:e>
                </m:mr>
              </m:m>
            </m:e>
          </m:d>
        </m:oMath>
      </m:oMathPara>
    </w:p>
    <w:bookmarkEnd w:id="24"/>
    <w:bookmarkStart w:id="25" w:name="шаг-2-подстановка-параметров-перехода"/>
    <w:p>
      <w:pPr>
        <w:pStyle w:val="Heading3"/>
      </w:pPr>
      <w:r>
        <w:t xml:space="preserve">Шаг 2: Подстановка параметров перехода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t>e</m:t>
              </m:r>
              <m:r>
                <m:t>w</m:t>
              </m:r>
            </m:sub>
          </m:sSub>
          <m:r>
            <m:rPr>
              <m:sty m:val="p"/>
            </m:rPr>
            <m:t>=</m:t>
          </m:r>
          <m:r>
            <m:t>0.99999977726</m:t>
          </m:r>
          <m:r>
            <m:t>X</m:t>
          </m:r>
          <m:r>
            <m:rPr>
              <m:sty m:val="p"/>
            </m:rPr>
            <m:t>−</m:t>
          </m:r>
          <m:r>
            <m:t>0.794262823085859</m:t>
          </m:r>
          <m:r>
            <m:t>Y</m:t>
          </m:r>
          <m:r>
            <m:rPr>
              <m:sty m:val="p"/>
            </m:rPr>
            <m:t>+</m:t>
          </m:r>
          <m:r>
            <m:t>0.346440922833732</m:t>
          </m:r>
          <m:r>
            <m:t>Z</m:t>
          </m:r>
          <m:r>
            <m:rPr>
              <m:sty m:val="p"/>
            </m:rPr>
            <m:t>+</m:t>
          </m:r>
          <m:r>
            <m:t>23.56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n</m:t>
              </m:r>
              <m:r>
                <m:t>e</m:t>
              </m:r>
              <m:r>
                <m:t>w</m:t>
              </m:r>
            </m:sub>
          </m:sSub>
          <m:r>
            <m:rPr>
              <m:sty m:val="p"/>
            </m:rPr>
            <m:t>=</m:t>
          </m:r>
          <m:r>
            <m:t>0.794262823085859</m:t>
          </m:r>
          <m:r>
            <m:t>X</m:t>
          </m:r>
          <m:r>
            <m:rPr>
              <m:sty m:val="p"/>
            </m:rPr>
            <m:t>+</m:t>
          </m:r>
          <m:r>
            <m:t>0.99999977726</m:t>
          </m:r>
          <m:r>
            <m:t>Y</m:t>
          </m:r>
          <m:r>
            <m:rPr>
              <m:sty m:val="p"/>
            </m:rPr>
            <m:t>−</m:t>
          </m:r>
          <m:r>
            <m:t>0.00173799961287788</m:t>
          </m:r>
          <m:r>
            <m:t>Z</m:t>
          </m:r>
          <m:r>
            <m:rPr>
              <m:sty m:val="p"/>
            </m:rPr>
            <m:t>−</m:t>
          </m:r>
          <m:r>
            <m:t>140.86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n</m:t>
              </m:r>
              <m:r>
                <m:t>e</m:t>
              </m:r>
              <m:r>
                <m:t>w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0.346440922833732</m:t>
          </m:r>
          <m:r>
            <m:t>X</m:t>
          </m:r>
          <m:r>
            <m:rPr>
              <m:sty m:val="p"/>
            </m:rPr>
            <m:t>+</m:t>
          </m:r>
          <m:r>
            <m:t>0.00173799961287788</m:t>
          </m:r>
          <m:r>
            <m:t>Y</m:t>
          </m:r>
          <m:r>
            <m:rPr>
              <m:sty m:val="p"/>
            </m:rPr>
            <m:t>+</m:t>
          </m:r>
          <m:r>
            <m:t>0.99999977726</m:t>
          </m:r>
          <m:r>
            <m:t>Z</m:t>
          </m:r>
          <m:r>
            <m:rPr>
              <m:sty m:val="p"/>
            </m:rPr>
            <m:t>−</m:t>
          </m:r>
          <m:r>
            <m:t>79.77</m:t>
          </m:r>
        </m:oMath>
      </m:oMathPara>
    </w:p>
    <w:bookmarkEnd w:id="25"/>
    <w:bookmarkStart w:id="26" w:name="шаг-3-подстановка-начальных-координат"/>
    <w:p>
      <w:pPr>
        <w:pStyle w:val="Heading3"/>
      </w:pPr>
      <w:r>
        <w:t xml:space="preserve">Шаг 3: Подстановка начальных координат</w:t>
      </w:r>
    </w:p>
    <w:p>
      <w:pPr>
        <w:pStyle w:val="FirstParagraph"/>
      </w:pPr>
      <w:r>
        <w:t xml:space="preserve">Начальные координаты: X = 2890.551698, Y = 162974.043594, Z = 102.74941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t>e</m:t>
              </m:r>
              <m:r>
                <m:t>w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126494.516300109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n</m:t>
              </m:r>
              <m:r>
                <m:t>e</m:t>
              </m:r>
              <m:r>
                <m:t>w</m:t>
              </m:r>
            </m:sub>
          </m:sSub>
          <m:r>
            <m:rPr>
              <m:sty m:val="p"/>
            </m:rPr>
            <m:t>=</m:t>
          </m:r>
          <m:r>
            <m:t>165128.826466656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n</m:t>
              </m:r>
              <m:r>
                <m:t>e</m:t>
              </m:r>
              <m:r>
                <m:t>w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695.177185964619</m:t>
          </m:r>
        </m:oMath>
      </m:oMathPara>
    </w:p>
    <w:bookmarkEnd w:id="26"/>
    <w:bookmarkStart w:id="27" w:name="шаг-4-вычисленные-конечные-координаты"/>
    <w:p>
      <w:pPr>
        <w:pStyle w:val="Heading3"/>
      </w:pPr>
      <w:r>
        <w:t xml:space="preserve">Шаг 4: Вычисленные конечные координаты</w:t>
      </w:r>
    </w:p>
    <w:p>
      <w:pPr>
        <w:pStyle w:val="Compact"/>
        <w:numPr>
          <w:ilvl w:val="0"/>
          <w:numId w:val="1003"/>
        </w:numPr>
      </w:pPr>
      <w:r>
        <w:t xml:space="preserve">X_new = -126494.51630010882</w:t>
      </w:r>
    </w:p>
    <w:p>
      <w:pPr>
        <w:pStyle w:val="Compact"/>
        <w:numPr>
          <w:ilvl w:val="0"/>
          <w:numId w:val="1003"/>
        </w:numPr>
      </w:pPr>
      <w:r>
        <w:t xml:space="preserve">Y_new = 165128.82646665582</w:t>
      </w:r>
    </w:p>
    <w:p>
      <w:pPr>
        <w:pStyle w:val="Compact"/>
        <w:numPr>
          <w:ilvl w:val="0"/>
          <w:numId w:val="1003"/>
        </w:numPr>
      </w:pPr>
      <w:r>
        <w:t xml:space="preserve">Z_new = -695.1771859646192</w:t>
      </w:r>
    </w:p>
    <w:bookmarkEnd w:id="27"/>
    <w:bookmarkEnd w:id="28"/>
    <w:bookmarkStart w:id="33" w:name="результаты-и-статистика"/>
    <w:p>
      <w:pPr>
        <w:pStyle w:val="Heading2"/>
      </w:pPr>
      <w:r>
        <w:t xml:space="preserve">Результаты и статистика</w:t>
      </w:r>
    </w:p>
    <w:bookmarkStart w:id="29" w:name="X65c9f799357fd0289f05f2f6f42bbc04f9843f9"/>
    <w:p>
      <w:pPr>
        <w:pStyle w:val="Heading3"/>
      </w:pPr>
      <w:r>
        <w:t xml:space="preserve">Таблица координат до и после преобразования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Начальная X</w:t>
            </w:r>
          </w:p>
        </w:tc>
        <w:tc>
          <w:tcPr/>
          <w:p>
            <w:pPr>
              <w:pStyle w:val="Compact"/>
            </w:pPr>
            <w:r>
              <w:t xml:space="preserve">Начальная Y</w:t>
            </w:r>
          </w:p>
        </w:tc>
        <w:tc>
          <w:tcPr/>
          <w:p>
            <w:pPr>
              <w:pStyle w:val="Compact"/>
            </w:pPr>
            <w:r>
              <w:t xml:space="preserve">Начальная Z</w:t>
            </w:r>
          </w:p>
        </w:tc>
        <w:tc>
          <w:tcPr/>
          <w:p>
            <w:pPr>
              <w:pStyle w:val="Compact"/>
            </w:pPr>
            <w:r>
              <w:t xml:space="preserve">Конечная X</w:t>
            </w:r>
          </w:p>
        </w:tc>
        <w:tc>
          <w:tcPr/>
          <w:p>
            <w:pPr>
              <w:pStyle w:val="Compact"/>
            </w:pPr>
            <w:r>
              <w:t xml:space="preserve">Конечная Y</w:t>
            </w:r>
          </w:p>
        </w:tc>
        <w:tc>
          <w:tcPr/>
          <w:p>
            <w:pPr>
              <w:pStyle w:val="Compact"/>
            </w:pPr>
            <w:r>
              <w:t xml:space="preserve">Конечная Z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Point1</w:t>
            </w:r>
          </w:p>
        </w:tc>
        <w:tc>
          <w:tcPr/>
          <w:p>
            <w:pPr>
              <w:pStyle w:val="Compact"/>
            </w:pPr>
            <w:r>
              <w:t xml:space="preserve">2890.551698</w:t>
            </w:r>
          </w:p>
        </w:tc>
        <w:tc>
          <w:tcPr/>
          <w:p>
            <w:pPr>
              <w:pStyle w:val="Compact"/>
            </w:pPr>
            <w:r>
              <w:t xml:space="preserve">162974.043594</w:t>
            </w:r>
          </w:p>
        </w:tc>
        <w:tc>
          <w:tcPr/>
          <w:p>
            <w:pPr>
              <w:pStyle w:val="Compact"/>
            </w:pPr>
            <w:r>
              <w:t xml:space="preserve">102.749410</w:t>
            </w:r>
          </w:p>
        </w:tc>
        <w:tc>
          <w:tcPr/>
          <w:p>
            <w:pPr>
              <w:pStyle w:val="Compact"/>
            </w:pPr>
            <w:r>
              <w:t xml:space="preserve">-126494.516300</w:t>
            </w:r>
          </w:p>
        </w:tc>
        <w:tc>
          <w:tcPr/>
          <w:p>
            <w:pPr>
              <w:pStyle w:val="Compact"/>
            </w:pPr>
            <w:r>
              <w:t xml:space="preserve">165128.826467</w:t>
            </w:r>
          </w:p>
        </w:tc>
        <w:tc>
          <w:tcPr/>
          <w:p>
            <w:pPr>
              <w:pStyle w:val="Compact"/>
            </w:pPr>
            <w:r>
              <w:t xml:space="preserve">-695.177186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Point2</w:t>
            </w:r>
          </w:p>
        </w:tc>
        <w:tc>
          <w:tcPr/>
          <w:p>
            <w:pPr>
              <w:pStyle w:val="Compact"/>
            </w:pPr>
            <w:r>
              <w:t xml:space="preserve">219215.085771</w:t>
            </w:r>
          </w:p>
        </w:tc>
        <w:tc>
          <w:tcPr/>
          <w:p>
            <w:pPr>
              <w:pStyle w:val="Compact"/>
            </w:pPr>
            <w:r>
              <w:t xml:space="preserve">115571.368417</w:t>
            </w:r>
          </w:p>
        </w:tc>
        <w:tc>
          <w:tcPr/>
          <w:p>
            <w:pPr>
              <w:pStyle w:val="Compact"/>
            </w:pPr>
            <w:r>
              <w:t xml:space="preserve">105.153865</w:t>
            </w:r>
          </w:p>
        </w:tc>
        <w:tc>
          <w:tcPr/>
          <w:p>
            <w:pPr>
              <w:pStyle w:val="Compact"/>
            </w:pPr>
            <w:r>
              <w:t xml:space="preserve">127480.985198</w:t>
            </w:r>
          </w:p>
        </w:tc>
        <w:tc>
          <w:tcPr/>
          <w:p>
            <w:pPr>
              <w:pStyle w:val="Compact"/>
            </w:pPr>
            <w:r>
              <w:t xml:space="preserve">289544.692805</w:t>
            </w:r>
          </w:p>
        </w:tc>
        <w:tc>
          <w:tcPr/>
          <w:p>
            <w:pPr>
              <w:pStyle w:val="Compact"/>
            </w:pPr>
            <w:r>
              <w:t xml:space="preserve">-75718.829778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Point3</w:t>
            </w:r>
          </w:p>
        </w:tc>
        <w:tc>
          <w:tcPr/>
          <w:p>
            <w:pPr>
              <w:pStyle w:val="Compact"/>
            </w:pPr>
            <w:r>
              <w:t xml:space="preserve">196718.559874</w:t>
            </w:r>
          </w:p>
        </w:tc>
        <w:tc>
          <w:tcPr/>
          <w:p>
            <w:pPr>
              <w:pStyle w:val="Compact"/>
            </w:pPr>
            <w:r>
              <w:t xml:space="preserve">116627.984466</w:t>
            </w:r>
          </w:p>
        </w:tc>
        <w:tc>
          <w:tcPr/>
          <w:p>
            <w:pPr>
              <w:pStyle w:val="Compact"/>
            </w:pPr>
            <w:r>
              <w:t xml:space="preserve">103.237302</w:t>
            </w:r>
          </w:p>
        </w:tc>
        <w:tc>
          <w:tcPr/>
          <w:p>
            <w:pPr>
              <w:pStyle w:val="Compact"/>
            </w:pPr>
            <w:r>
              <w:t xml:space="preserve">104144.569490</w:t>
            </w:r>
          </w:p>
        </w:tc>
        <w:tc>
          <w:tcPr/>
          <w:p>
            <w:pPr>
              <w:pStyle w:val="Compact"/>
            </w:pPr>
            <w:r>
              <w:t xml:space="preserve">272733.157781</w:t>
            </w:r>
          </w:p>
        </w:tc>
        <w:tc>
          <w:tcPr/>
          <w:p>
            <w:pPr>
              <w:pStyle w:val="Compact"/>
            </w:pPr>
            <w:r>
              <w:t xml:space="preserve">-67925.192750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Point4</w:t>
            </w:r>
          </w:p>
        </w:tc>
        <w:tc>
          <w:tcPr/>
          <w:p>
            <w:pPr>
              <w:pStyle w:val="Compact"/>
            </w:pPr>
            <w:r>
              <w:t xml:space="preserve">212530.882025</w:t>
            </w:r>
          </w:p>
        </w:tc>
        <w:tc>
          <w:tcPr/>
          <w:p>
            <w:pPr>
              <w:pStyle w:val="Compact"/>
            </w:pPr>
            <w:r>
              <w:t xml:space="preserve">115920.581717</w:t>
            </w:r>
          </w:p>
        </w:tc>
        <w:tc>
          <w:tcPr/>
          <w:p>
            <w:pPr>
              <w:pStyle w:val="Compact"/>
            </w:pPr>
            <w:r>
              <w:t xml:space="preserve">106.176720</w:t>
            </w:r>
          </w:p>
        </w:tc>
        <w:tc>
          <w:tcPr/>
          <w:p>
            <w:pPr>
              <w:pStyle w:val="Compact"/>
            </w:pPr>
            <w:r>
              <w:t xml:space="preserve">120519.770158</w:t>
            </w:r>
          </w:p>
        </w:tc>
        <w:tc>
          <w:tcPr/>
          <w:p>
            <w:pPr>
              <w:pStyle w:val="Compact"/>
            </w:pPr>
            <w:r>
              <w:t xml:space="preserve">284584.889712</w:t>
            </w:r>
          </w:p>
        </w:tc>
        <w:tc>
          <w:tcPr/>
          <w:p>
            <w:pPr>
              <w:pStyle w:val="Compact"/>
            </w:pPr>
            <w:r>
              <w:t xml:space="preserve">-73401.518277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Point5</w:t>
            </w:r>
          </w:p>
        </w:tc>
        <w:tc>
          <w:tcPr/>
          <w:p>
            <w:pPr>
              <w:pStyle w:val="Compact"/>
            </w:pPr>
            <w:r>
              <w:t xml:space="preserve">212594.066155</w:t>
            </w:r>
          </w:p>
        </w:tc>
        <w:tc>
          <w:tcPr/>
          <w:p>
            <w:pPr>
              <w:pStyle w:val="Compact"/>
            </w:pPr>
            <w:r>
              <w:t xml:space="preserve">115956.795416</w:t>
            </w:r>
          </w:p>
        </w:tc>
        <w:tc>
          <w:tcPr/>
          <w:p>
            <w:pPr>
              <w:pStyle w:val="Compact"/>
            </w:pPr>
            <w:r>
              <w:t xml:space="preserve">104.725702</w:t>
            </w:r>
          </w:p>
        </w:tc>
        <w:tc>
          <w:tcPr/>
          <w:p>
            <w:pPr>
              <w:pStyle w:val="Compact"/>
            </w:pPr>
            <w:r>
              <w:t xml:space="preserve">120553.688388</w:t>
            </w:r>
          </w:p>
        </w:tc>
        <w:tc>
          <w:tcPr/>
          <w:p>
            <w:pPr>
              <w:pStyle w:val="Compact"/>
            </w:pPr>
            <w:r>
              <w:t xml:space="preserve">284671.290730</w:t>
            </w:r>
          </w:p>
        </w:tc>
        <w:tc>
          <w:tcPr/>
          <w:p>
            <w:pPr>
              <w:pStyle w:val="Compact"/>
            </w:pPr>
            <w:r>
              <w:t xml:space="preserve">-73424.795923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Point6</w:t>
            </w:r>
          </w:p>
        </w:tc>
        <w:tc>
          <w:tcPr/>
          <w:p>
            <w:pPr>
              <w:pStyle w:val="Compact"/>
            </w:pPr>
            <w:r>
              <w:t xml:space="preserve">244108.068400</w:t>
            </w:r>
          </w:p>
        </w:tc>
        <w:tc>
          <w:tcPr/>
          <w:p>
            <w:pPr>
              <w:pStyle w:val="Compact"/>
            </w:pPr>
            <w:r>
              <w:t xml:space="preserve">132778.618338</w:t>
            </w:r>
          </w:p>
        </w:tc>
        <w:tc>
          <w:tcPr/>
          <w:p>
            <w:pPr>
              <w:pStyle w:val="Compact"/>
            </w:pPr>
            <w:r>
              <w:t xml:space="preserve">107.200385</w:t>
            </w:r>
          </w:p>
        </w:tc>
        <w:tc>
          <w:tcPr/>
          <w:p>
            <w:pPr>
              <w:pStyle w:val="Compact"/>
            </w:pPr>
            <w:r>
              <w:t xml:space="preserve">138707.592381</w:t>
            </w:r>
          </w:p>
        </w:tc>
        <w:tc>
          <w:tcPr/>
          <w:p>
            <w:pPr>
              <w:pStyle w:val="Compact"/>
            </w:pPr>
            <w:r>
              <w:t xml:space="preserve">326523.505994</w:t>
            </w:r>
          </w:p>
        </w:tc>
        <w:tc>
          <w:tcPr/>
          <w:p>
            <w:pPr>
              <w:pStyle w:val="Compact"/>
            </w:pPr>
            <w:r>
              <w:t xml:space="preserve">-84310.824939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Point7</w:t>
            </w:r>
          </w:p>
        </w:tc>
        <w:tc>
          <w:tcPr/>
          <w:p>
            <w:pPr>
              <w:pStyle w:val="Compact"/>
            </w:pPr>
            <w:r>
              <w:t xml:space="preserve">180192.106032</w:t>
            </w:r>
          </w:p>
        </w:tc>
        <w:tc>
          <w:tcPr/>
          <w:p>
            <w:pPr>
              <w:pStyle w:val="Compact"/>
            </w:pPr>
            <w:r>
              <w:t xml:space="preserve">101745.584946</w:t>
            </w:r>
          </w:p>
        </w:tc>
        <w:tc>
          <w:tcPr/>
          <w:p>
            <w:pPr>
              <w:pStyle w:val="Compact"/>
            </w:pPr>
            <w:r>
              <w:t xml:space="preserve">105.723702</w:t>
            </w:r>
          </w:p>
        </w:tc>
        <w:tc>
          <w:tcPr/>
          <w:p>
            <w:pPr>
              <w:pStyle w:val="Compact"/>
            </w:pPr>
            <w:r>
              <w:t xml:space="preserve">99439.517377</w:t>
            </w:r>
          </w:p>
        </w:tc>
        <w:tc>
          <w:tcPr/>
          <w:p>
            <w:pPr>
              <w:pStyle w:val="Compact"/>
            </w:pPr>
            <w:r>
              <w:t xml:space="preserve">244724.409370</w:t>
            </w:r>
          </w:p>
        </w:tc>
        <w:tc>
          <w:tcPr/>
          <w:p>
            <w:pPr>
              <w:pStyle w:val="Compact"/>
            </w:pPr>
            <w:r>
              <w:t xml:space="preserve">-62223.132035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Point8</w:t>
            </w:r>
          </w:p>
        </w:tc>
        <w:tc>
          <w:tcPr/>
          <w:p>
            <w:pPr>
              <w:pStyle w:val="Compact"/>
            </w:pPr>
            <w:r>
              <w:t xml:space="preserve">275701.045086</w:t>
            </w:r>
          </w:p>
        </w:tc>
        <w:tc>
          <w:tcPr/>
          <w:p>
            <w:pPr>
              <w:pStyle w:val="Compact"/>
            </w:pPr>
            <w:r>
              <w:t xml:space="preserve">154054.582600</w:t>
            </w:r>
          </w:p>
        </w:tc>
        <w:tc>
          <w:tcPr/>
          <w:p>
            <w:pPr>
              <w:pStyle w:val="Compact"/>
            </w:pPr>
            <w:r>
              <w:t xml:space="preserve">108.240500</w:t>
            </w:r>
          </w:p>
        </w:tc>
        <w:tc>
          <w:tcPr/>
          <w:p>
            <w:pPr>
              <w:pStyle w:val="Compact"/>
            </w:pPr>
            <w:r>
              <w:t xml:space="preserve">153402.214930</w:t>
            </w:r>
          </w:p>
        </w:tc>
        <w:tc>
          <w:tcPr/>
          <w:p>
            <w:pPr>
              <w:pStyle w:val="Compact"/>
            </w:pPr>
            <w:r>
              <w:t xml:space="preserve">372892.590562</w:t>
            </w:r>
          </w:p>
        </w:tc>
        <w:tc>
          <w:tcPr/>
          <w:p>
            <w:pPr>
              <w:pStyle w:val="Compact"/>
            </w:pPr>
            <w:r>
              <w:t xml:space="preserve">-95217.907205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Point9</w:t>
            </w:r>
          </w:p>
        </w:tc>
        <w:tc>
          <w:tcPr/>
          <w:p>
            <w:pPr>
              <w:pStyle w:val="Compact"/>
            </w:pPr>
            <w:r>
              <w:t xml:space="preserve">212214.952049</w:t>
            </w:r>
          </w:p>
        </w:tc>
        <w:tc>
          <w:tcPr/>
          <w:p>
            <w:pPr>
              <w:pStyle w:val="Compact"/>
            </w:pPr>
            <w:r>
              <w:t xml:space="preserve">113434.582071</w:t>
            </w:r>
          </w:p>
        </w:tc>
        <w:tc>
          <w:tcPr/>
          <w:p>
            <w:pPr>
              <w:pStyle w:val="Compact"/>
            </w:pPr>
            <w:r>
              <w:t xml:space="preserve">106.725702</w:t>
            </w:r>
          </w:p>
        </w:tc>
        <w:tc>
          <w:tcPr/>
          <w:p>
            <w:pPr>
              <w:pStyle w:val="Compact"/>
            </w:pPr>
            <w:r>
              <w:t xml:space="preserve">122178.567540</w:t>
            </w:r>
          </w:p>
        </w:tc>
        <w:tc>
          <w:tcPr/>
          <w:p>
            <w:pPr>
              <w:pStyle w:val="Compact"/>
            </w:pPr>
            <w:r>
              <w:t xml:space="preserve">281847.958231</w:t>
            </w:r>
          </w:p>
        </w:tc>
        <w:tc>
          <w:tcPr/>
          <w:p>
            <w:pPr>
              <w:pStyle w:val="Compact"/>
            </w:pPr>
            <w:r>
              <w:t xml:space="preserve">-73295.838889</w:t>
            </w:r>
          </w:p>
        </w:tc>
      </w:tr>
    </w:tbl>
    <w:bookmarkEnd w:id="29"/>
    <w:bookmarkStart w:id="32" w:name="общая-статистика"/>
    <w:p>
      <w:pPr>
        <w:pStyle w:val="Heading3"/>
      </w:pPr>
      <w:r>
        <w:t xml:space="preserve">Общая статистика</w:t>
      </w:r>
    </w:p>
    <w:bookmarkStart w:id="30" w:name="средние-значения-до-преобразования"/>
    <w:p>
      <w:pPr>
        <w:pStyle w:val="Heading4"/>
      </w:pPr>
      <w:r>
        <w:t xml:space="preserve">Средние значения до преобразования</w:t>
      </w:r>
    </w:p>
    <w:p>
      <w:pPr>
        <w:pStyle w:val="Compact"/>
        <w:numPr>
          <w:ilvl w:val="0"/>
          <w:numId w:val="1004"/>
        </w:numPr>
      </w:pPr>
      <w:r>
        <w:t xml:space="preserve">X: 195129.479677</w:t>
      </w:r>
    </w:p>
    <w:p>
      <w:pPr>
        <w:pStyle w:val="Compact"/>
        <w:numPr>
          <w:ilvl w:val="0"/>
          <w:numId w:val="1004"/>
        </w:numPr>
      </w:pPr>
      <w:r>
        <w:t xml:space="preserve">Y: 125451.571285</w:t>
      </w:r>
    </w:p>
    <w:p>
      <w:pPr>
        <w:pStyle w:val="Compact"/>
        <w:numPr>
          <w:ilvl w:val="0"/>
          <w:numId w:val="1004"/>
        </w:numPr>
      </w:pPr>
      <w:r>
        <w:t xml:space="preserve">Z: 105.548143</w:t>
      </w:r>
    </w:p>
    <w:bookmarkEnd w:id="30"/>
    <w:bookmarkStart w:id="31" w:name="средние-значения-после-преобразования"/>
    <w:p>
      <w:pPr>
        <w:pStyle w:val="Heading4"/>
      </w:pPr>
      <w:r>
        <w:t xml:space="preserve">Средние значения после преобразования</w:t>
      </w:r>
    </w:p>
    <w:p>
      <w:pPr>
        <w:pStyle w:val="Compact"/>
        <w:numPr>
          <w:ilvl w:val="0"/>
          <w:numId w:val="1005"/>
        </w:numPr>
      </w:pPr>
      <w:r>
        <w:t xml:space="preserve">X: 95548.043240</w:t>
      </w:r>
    </w:p>
    <w:p>
      <w:pPr>
        <w:pStyle w:val="Compact"/>
        <w:numPr>
          <w:ilvl w:val="0"/>
          <w:numId w:val="1005"/>
        </w:numPr>
      </w:pPr>
      <w:r>
        <w:t xml:space="preserve">Y: 280294.591295</w:t>
      </w:r>
    </w:p>
    <w:p>
      <w:pPr>
        <w:pStyle w:val="Compact"/>
        <w:numPr>
          <w:ilvl w:val="0"/>
          <w:numId w:val="1005"/>
        </w:numPr>
      </w:pPr>
      <w:r>
        <w:t xml:space="preserve">Z: -67357.024109</w:t>
      </w:r>
    </w:p>
    <w:bookmarkEnd w:id="31"/>
    <w:bookmarkEnd w:id="32"/>
    <w:bookmarkEnd w:id="33"/>
    <w:bookmarkStart w:id="34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Процесс преобразования координат из СК-42 в ГСК-2011 был успешно выполнен. Результаты и статистика представлены выше.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2025-04-02T06:11:09Z</dcterms:created>
  <dcterms:modified xsi:type="dcterms:W3CDTF">2025-04-02T06:11:09Z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