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Programmatūras prasību specifikācija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Programmatūras (idejas) apraksts</w:t>
      </w:r>
    </w:p>
    <w:p w:rsidR="00000000" w:rsidDel="00000000" w:rsidP="00000000" w:rsidRDefault="00000000" w:rsidRPr="00000000" w14:paraId="00000003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  <w:t xml:space="preserve">Mājas lapa “MoneyRain” ir vietne kurā var aprēķināt: savu budžētu(redzēt cik ilgi jākrāj, specifiski noteiktai naudas summai), kā arī valūtas pārveidotājs.</w:t>
      </w:r>
    </w:p>
    <w:p w:rsidR="00000000" w:rsidDel="00000000" w:rsidP="00000000" w:rsidRDefault="00000000" w:rsidRPr="00000000" w14:paraId="00000004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  <w:t xml:space="preserve">Mājas lapas galvenajā lapā ir divas pogas kuras novada uz izvēlēto aprēķina veidu.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Konkrētās prasības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Pogas kas atļauj pāriet no lapas uz lapu.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teksta lodziņi, kuros varēs ieraksīt naudas daudzumu.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Pogas kas izrēķinās ievietotos datus.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Datuma pārskats.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Iespēja ziedot: Ukrainai.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Iespēja kontaktēties ar mājas lapas lietotāju.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Ārējā saskarne</w:t>
      </w:r>
    </w:p>
    <w:p w:rsidR="00000000" w:rsidDel="00000000" w:rsidP="00000000" w:rsidRDefault="00000000" w:rsidRPr="00000000" w14:paraId="0000000D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  <w:t xml:space="preserve">Mājas lapas diznainā ir iesaistītas 3 dažādu zaļu krāsu toņi, reprezentējot naudas krāsu</w:t>
      </w:r>
    </w:p>
    <w:p w:rsidR="00000000" w:rsidDel="00000000" w:rsidP="00000000" w:rsidRDefault="00000000" w:rsidRPr="00000000" w14:paraId="0000000E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409575" cy="60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  <w:t xml:space="preserve">Kā arī 2 bildes ar krītošu naudu</w:t>
      </w:r>
    </w:p>
    <w:p w:rsidR="00000000" w:rsidDel="00000000" w:rsidP="00000000" w:rsidRDefault="00000000" w:rsidRPr="00000000" w14:paraId="00000011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1489710" cy="20423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924" l="5261" r="17113" t="12602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204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82601" cy="187567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601" cy="187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  <w:t xml:space="preserve">Redzams arī mājas lapas nosaukums</w:t>
      </w:r>
    </w:p>
    <w:p w:rsidR="00000000" w:rsidDel="00000000" w:rsidP="00000000" w:rsidRDefault="00000000" w:rsidRPr="00000000" w14:paraId="00000014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4332923" cy="102165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2923" cy="1021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  <w:t xml:space="preserve">Un 2 piedāvātas pogas ar rēķināšanas iespējām </w:t>
      </w:r>
    </w:p>
    <w:p w:rsidR="00000000" w:rsidDel="00000000" w:rsidP="00000000" w:rsidRDefault="00000000" w:rsidRPr="00000000" w14:paraId="00000019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2858453" cy="243228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43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  <w:t xml:space="preserve">Kājenē redzams datums, pogas kas novada uz citām lapām un autora informācija.</w:t>
      </w:r>
    </w:p>
    <w:p w:rsidR="00000000" w:rsidDel="00000000" w:rsidP="00000000" w:rsidRDefault="00000000" w:rsidRPr="00000000" w14:paraId="0000001C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2609850" cy="1266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2650" cy="12763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>
          <w:rtl w:val="0"/>
        </w:rPr>
        <w:t xml:space="preserve">budžeta lapā var ievadīt teksta lodziņos naudas daudzumu, kā arī poga kas izrēķina šo procesu.</w:t>
      </w:r>
    </w:p>
    <w:p w:rsidR="00000000" w:rsidDel="00000000" w:rsidP="00000000" w:rsidRDefault="00000000" w:rsidRPr="00000000" w14:paraId="0000001F">
      <w:pPr>
        <w:pBdr>
          <w:top w:color="1f497d" w:space="1" w:sz="12" w:val="single"/>
          <w:left w:color="1f497d" w:space="4" w:sz="12" w:val="single"/>
          <w:bottom w:color="1f497d" w:space="1" w:sz="12" w:val="single"/>
          <w:right w:color="1f497d" w:space="4" w:sz="12" w:val="single"/>
        </w:pBd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4599623" cy="277893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623" cy="2778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65hvuqc2xol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9hiay189shto" w:id="2"/>
      <w:bookmarkEnd w:id="2"/>
      <w:r w:rsidDel="00000000" w:rsidR="00000000" w:rsidRPr="00000000">
        <w:rPr/>
        <w:drawing>
          <wp:inline distB="114300" distT="114300" distL="114300" distR="114300">
            <wp:extent cx="5548489" cy="7402852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489" cy="740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59295" cy="7545727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9295" cy="7545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134" w:top="1134" w:left="1701" w:right="851" w:header="568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931"/>
        <w:tab w:val="right" w:leader="none" w:pos="935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9P_13_02_PPS.docx</w:t>
      <w:tab/>
      <w:t xml:space="preserve">Materiālu pārpublicēšanas gadījumā, likt atsauci uz Start (IT)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9356"/>
      </w:tabs>
      <w:spacing w:after="0" w:before="0" w:line="240" w:lineRule="auto"/>
      <w:ind w:left="0" w:right="0" w:firstLine="0"/>
      <w:jc w:val="left"/>
      <w:rPr>
        <w:rFonts w:ascii="Consolas" w:cs="Consolas" w:eastAsia="Consolas" w:hAnsi="Consolas"/>
        <w:b w:val="1"/>
        <w:i w:val="0"/>
        <w:smallCaps w:val="0"/>
        <w:strike w:val="0"/>
        <w:color w:val="f35957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nsolas" w:cs="Consolas" w:eastAsia="Consolas" w:hAnsi="Consolas"/>
        <w:b w:val="1"/>
        <w:i w:val="0"/>
        <w:smallCaps w:val="0"/>
        <w:strike w:val="0"/>
        <w:color w:val="f35957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nsolas" w:cs="Consolas" w:eastAsia="Consolas" w:hAnsi="Consolas"/>
        <w:b w:val="1"/>
        <w:i w:val="0"/>
        <w:smallCaps w:val="0"/>
        <w:strike w:val="0"/>
        <w:color w:val="f35957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52500" cy="400050"/>
          <wp:effectExtent b="0" l="0" r="0" t="0"/>
          <wp:docPr descr="datorika_logo_ramis_low.png" id="8" name="image1.png"/>
          <a:graphic>
            <a:graphicData uri="http://schemas.openxmlformats.org/drawingml/2006/picture">
              <pic:pic>
                <pic:nvPicPr>
                  <pic:cNvPr descr="datorika_logo_ramis_low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lv-LV"/>
      </w:rPr>
    </w:rPrDefault>
    <w:pPrDefault>
      <w:pPr>
        <w:spacing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</w:pPr>
    <w:rPr>
      <w:rFonts w:ascii="Cambria" w:cs="Cambria" w:eastAsia="Cambria" w:hAnsi="Cambria"/>
      <w:b w:val="1"/>
      <w:color w:val="17365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</w:pPr>
    <w:rPr>
      <w:rFonts w:ascii="Cambria" w:cs="Cambria" w:eastAsia="Cambria" w:hAnsi="Cambria"/>
      <w:b w:val="1"/>
      <w:color w:val="17365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="240" w:lineRule="auto"/>
    </w:pPr>
    <w:rPr>
      <w:rFonts w:ascii="Cambria" w:cs="Cambria" w:eastAsia="Cambria" w:hAnsi="Cambria"/>
      <w:b w:val="0"/>
      <w:color w:val="17365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120" w:line="240" w:lineRule="auto"/>
      <w:jc w:val="center"/>
    </w:pPr>
    <w:rPr>
      <w:rFonts w:ascii="Cambria" w:cs="Cambria" w:eastAsia="Cambria" w:hAnsi="Cambria"/>
      <w:color w:val="17365d"/>
      <w:sz w:val="32"/>
      <w:szCs w:val="32"/>
    </w:rPr>
  </w:style>
  <w:style w:type="paragraph" w:styleId="Subtitle">
    <w:name w:val="Subtitle"/>
    <w:basedOn w:val="Normal"/>
    <w:next w:val="Normal"/>
    <w:pPr>
      <w:pBdr>
        <w:bottom w:color="4f81bd" w:space="4" w:sz="8" w:val="single"/>
      </w:pBdr>
      <w:spacing w:after="120" w:line="240" w:lineRule="auto"/>
      <w:jc w:val="center"/>
    </w:pPr>
    <w:rPr>
      <w:rFonts w:ascii="Cambria" w:cs="Cambria" w:eastAsia="Cambria" w:hAnsi="Cambria"/>
      <w:color w:val="17365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jpg"/><Relationship Id="rId14" Type="http://schemas.openxmlformats.org/officeDocument/2006/relationships/image" Target="media/image10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