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1" w:lineRule="auto"/>
        <w:ind w:left="113" w:firstLine="0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color w:val="231f20"/>
          <w:sz w:val="24"/>
          <w:szCs w:val="24"/>
          <w:rtl w:val="0"/>
        </w:rPr>
        <w:t xml:space="preserve">Uzdevumi/vingrinājumi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70" w:lineRule="auto"/>
        <w:ind w:left="113" w:firstLine="0"/>
        <w:rPr>
          <w:rFonts w:ascii="Gilroy" w:cs="Gilroy" w:eastAsia="Gilroy" w:hAnsi="Gilroy"/>
          <w:b w:val="1"/>
          <w:sz w:val="16"/>
          <w:szCs w:val="16"/>
        </w:rPr>
        <w:sectPr>
          <w:headerReference r:id="rId6" w:type="default"/>
          <w:footerReference r:id="rId7" w:type="default"/>
          <w:pgSz w:h="16840" w:w="11910" w:orient="portrait"/>
          <w:pgMar w:bottom="760" w:top="680" w:left="1020" w:right="1020" w:header="0" w:footer="562"/>
          <w:pgNumType w:start="1"/>
          <w:cols w:equalWidth="0" w:num="2">
            <w:col w:space="1521" w:w="4174.5"/>
            <w:col w:space="0" w:w="4174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Gilroy" w:cs="Gilroy" w:eastAsia="Gilroy" w:hAnsi="Gilroy"/>
          <w:b w:val="1"/>
          <w:color w:val="231f20"/>
          <w:sz w:val="16"/>
          <w:szCs w:val="16"/>
          <w:rtl w:val="0"/>
        </w:rPr>
        <w:t xml:space="preserve">Datorika. 9.2. Kā programmējot radīt sabiedrībai derīgu digitālu risinājumu?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roy" w:cs="Gilroy" w:eastAsia="Gilroy" w:hAnsi="Gilro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09" w:lineRule="auto"/>
        <w:ind w:left="519" w:firstLine="1.0000000000000142"/>
        <w:jc w:val="left"/>
        <w:rPr/>
      </w:pPr>
      <w:r w:rsidDel="00000000" w:rsidR="00000000" w:rsidRPr="00000000">
        <w:rPr>
          <w:color w:val="231f20"/>
          <w:rtl w:val="0"/>
        </w:rPr>
        <w:t xml:space="preserve">Programmēšanas projekta, kurš risina paša izvēlētu problēmu, izstrāde tekstuālā programmēšanas vidē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282" w:lineRule="auto"/>
        <w:ind w:left="113" w:firstLine="0"/>
        <w:rPr/>
      </w:pPr>
      <w:bookmarkStart w:colFirst="0" w:colLast="0" w:name="_gjdgxs" w:id="0"/>
      <w:bookmarkEnd w:id="0"/>
      <w:r w:rsidDel="00000000" w:rsidR="00000000" w:rsidRPr="00000000">
        <w:rPr>
          <w:color w:val="231f20"/>
          <w:rtl w:val="0"/>
        </w:rPr>
        <w:t xml:space="preserve">Sasniedzamais rezultāts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8.00000000000006" w:lineRule="auto"/>
        <w:ind w:left="113" w:right="1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Tekstuālā programmēšanas vidē izstrādāju un prezentēju programmēšanas projektu, kurš risina paša izvēlētu problēmu.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tabs>
          <w:tab w:val="left" w:leader="none" w:pos="398"/>
        </w:tabs>
        <w:ind w:left="397" w:hanging="285"/>
        <w:rPr/>
      </w:pPr>
      <w:r w:rsidDel="00000000" w:rsidR="00000000" w:rsidRPr="00000000">
        <w:rPr>
          <w:color w:val="231f20"/>
          <w:rtl w:val="0"/>
        </w:rPr>
        <w:t xml:space="preserve">uzdevums. Vajadzību un iespēju apzināšana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157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Veic lietotāju vajadzību izpēti, izveidojot aptauju vai veicot interviju!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44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Analizē iegūtos rezultātus un identificē vismaz 3 problēmas, kuras varētu risināt!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0"/>
        </w:tabs>
        <w:spacing w:after="0" w:before="164" w:line="240" w:lineRule="auto"/>
        <w:ind w:left="3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u w:val="single"/>
          <w:rtl w:val="0"/>
        </w:rPr>
        <w:t xml:space="preserve">naudas ietaupīšana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0"/>
        </w:tabs>
        <w:spacing w:after="0" w:before="164" w:line="240" w:lineRule="auto"/>
        <w:ind w:left="3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single"/>
          <w:shd w:fill="auto" w:val="clear"/>
          <w:vertAlign w:val="baseline"/>
          <w:rtl w:val="0"/>
        </w:rPr>
        <w:t xml:space="preserve"> budžeta plānošana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0"/>
        </w:tabs>
        <w:spacing w:after="0" w:before="164" w:line="240" w:lineRule="auto"/>
        <w:ind w:left="3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single"/>
          <w:shd w:fill="auto" w:val="clear"/>
          <w:vertAlign w:val="baseline"/>
          <w:rtl w:val="0"/>
        </w:rPr>
        <w:t xml:space="preserve"> budžeta pārskats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tabs>
          <w:tab w:val="left" w:leader="none" w:pos="398"/>
        </w:tabs>
        <w:spacing w:before="90" w:lineRule="auto"/>
        <w:ind w:left="397" w:hanging="285"/>
        <w:rPr/>
      </w:pPr>
      <w:r w:rsidDel="00000000" w:rsidR="00000000" w:rsidRPr="00000000">
        <w:rPr>
          <w:color w:val="231f20"/>
          <w:rtl w:val="0"/>
        </w:rPr>
        <w:t xml:space="preserve">uzdevums. Ideju meklēšana un risinājuma izvēle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157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Izvēlies vienu no risināmajām problēmām, kas tev ir vissaistošākā!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44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Atrodi līdzīgus jau esošus risinājumus!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44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Salīdzini 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44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Aizpildi tabulu!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407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2336"/>
        <w:gridCol w:w="2336"/>
        <w:gridCol w:w="2336"/>
        <w:gridCol w:w="2336"/>
        <w:tblGridChange w:id="0">
          <w:tblGrid>
            <w:gridCol w:w="2336"/>
            <w:gridCol w:w="2336"/>
            <w:gridCol w:w="2336"/>
            <w:gridCol w:w="2336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shd w:fill="dc1e3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Risinājums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7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Kas kopīgs?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1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Kas atšķirīgs?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35" w:lineRule="auto"/>
              <w:ind w:left="374" w:right="328" w:hanging="3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Kam obligāti jābūt manā risinājumā?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https://www.moneyhelper.org.uk/en/savings/how-to-save/use-our-savings-calculator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Izreķina naudas ietaupīšanu, pēc noteiktā datuma, daudzuma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naudas ietaupīšanu, naudas tērēšanu,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naudas pelnīšanu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https://moneysmart.gov.au/saving/savings-goals-calculator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Izreķina naudas tērēšanu, pēc noteiktā datuma, daudzuma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0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Uzraksti, kādas tehnoloģijas izmantosi savam risinājumam!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  <w:rtl w:val="0"/>
        </w:rPr>
        <w:t xml:space="preserve">       </w:t>
      </w:r>
      <w:r w:rsidDel="00000000" w:rsidR="00000000" w:rsidRPr="00000000">
        <w:rPr>
          <w:sz w:val="21"/>
          <w:szCs w:val="21"/>
          <w:rtl w:val="0"/>
        </w:rPr>
        <w:t xml:space="preserve">     Skolas datoru, Mājas datoru, Intereneta resursus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90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Kāda papildu funkcionalitāte ir nepieciešama?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5"/>
          <w:szCs w:val="15"/>
          <w:rtl w:val="0"/>
        </w:rPr>
        <w:t xml:space="preserve">              </w:t>
      </w:r>
      <w:r w:rsidDel="00000000" w:rsidR="00000000" w:rsidRPr="00000000">
        <w:rPr>
          <w:sz w:val="23"/>
          <w:szCs w:val="23"/>
          <w:rtl w:val="0"/>
        </w:rPr>
        <w:t xml:space="preserve">Mājaslapa: kas izreiķina manus naudas ietaupijumus, tēriņus, pelnīšanu.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  <w:sectPr>
          <w:type w:val="continuous"/>
          <w:pgSz w:h="16840" w:w="11910" w:orient="portrait"/>
          <w:pgMar w:bottom="760" w:top="1060" w:left="1020" w:right="1020" w:header="0" w:footer="562"/>
        </w:sectPr>
      </w:pPr>
      <w:r w:rsidDel="00000000" w:rsidR="00000000" w:rsidRPr="00000000">
        <w:rPr>
          <w:sz w:val="23"/>
          <w:szCs w:val="23"/>
          <w:rtl w:val="0"/>
        </w:rPr>
        <w:t xml:space="preserve">Pec mana naudas daudzuma.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leader="none" w:pos="398"/>
        </w:tabs>
        <w:ind w:left="397" w:hanging="285"/>
        <w:rPr/>
      </w:pPr>
      <w:r w:rsidDel="00000000" w:rsidR="00000000" w:rsidRPr="00000000">
        <w:rPr>
          <w:color w:val="231f20"/>
          <w:rtl w:val="0"/>
        </w:rPr>
        <w:t xml:space="preserve">uzdevums. Plānošana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157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Uzraksti, kas ir nepieciešams, lai izveidotu risinājumu (dati, formulas, cenas u. tml.)!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Naudas Dati, formulas, grafiki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90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Izstrādā vērtēšanas kritērijus savam risinājumam (5. uzdevuma tabula)!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44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Balstoties lietotāju vajadzību izpētē, apraksti nepieciešamo funkcionalitāti!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Lietotājs varēs ievadīt naudas tagadējo summu un izvēlēties starp naudas patēriņu vai krāšanas metodi, un iegūt izreķinātus datus cik šis cilvēks var nopelnīt vai pataupīt naudu, no sava tagadējā budžeta.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82773" y="3779365"/>
                          <a:ext cx="5926455" cy="1270"/>
                        </a:xfrm>
                        <a:custGeom>
                          <a:rect b="b" l="l" r="r" t="t"/>
                          <a:pathLst>
                            <a:path extrusionOk="0" h="120000" w="9333">
                              <a:moveTo>
                                <a:pt x="0" y="0"/>
                              </a:moveTo>
                              <a:lnTo>
                                <a:pt x="933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221E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92645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4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90" w:line="240" w:lineRule="auto"/>
        <w:ind w:left="567" w:right="0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Izstrādā projekta realizācijas plānu, norādot nedēļas vai datumus!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6.0" w:type="dxa"/>
        <w:jc w:val="left"/>
        <w:tblInd w:w="123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786"/>
        <w:gridCol w:w="6315"/>
        <w:gridCol w:w="1525"/>
        <w:tblGridChange w:id="0">
          <w:tblGrid>
            <w:gridCol w:w="1786"/>
            <w:gridCol w:w="6315"/>
            <w:gridCol w:w="1525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dc1e3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83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Nedēļa/Datums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872" w:right="2861" w:firstLine="0"/>
              <w:jc w:val="center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Darbs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74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Vai paveikts?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Veikt šo darba lapu, saplānot darbus, ideju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</w:tabs>
        <w:spacing w:after="0" w:before="0" w:line="278.00000000000006" w:lineRule="auto"/>
        <w:ind w:left="567" w:right="293" w:hanging="171"/>
        <w:jc w:val="left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Izveido sava risinājuma skices! Vērsies ar tām pie lietotājiem un noskaidro, ko nepieciešams uzlabot!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tabs>
          <w:tab w:val="left" w:leader="none" w:pos="398"/>
        </w:tabs>
        <w:ind w:left="397" w:hanging="285"/>
        <w:rPr/>
      </w:pPr>
      <w:r w:rsidDel="00000000" w:rsidR="00000000" w:rsidRPr="00000000">
        <w:rPr>
          <w:color w:val="231f20"/>
          <w:rtl w:val="0"/>
        </w:rPr>
        <w:t xml:space="preserve">uzdevums. Izstrāde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78.00000000000006" w:lineRule="auto"/>
        <w:ind w:left="113" w:right="3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Veic sava darba izstrādi, balstoties lietotāju vajadzībās un iepriekš aprakstītajā funkcionalitātē! Ja nepieciešams papildini funkcionalitātes aprakstu un uzlabo savu darbu!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tabs>
          <w:tab w:val="left" w:leader="none" w:pos="398"/>
        </w:tabs>
        <w:ind w:left="397" w:hanging="285"/>
        <w:rPr/>
      </w:pPr>
      <w:r w:rsidDel="00000000" w:rsidR="00000000" w:rsidRPr="00000000">
        <w:rPr>
          <w:color w:val="231f20"/>
          <w:rtl w:val="0"/>
        </w:rPr>
        <w:t xml:space="preserve">uzdevums. Vērtēšana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Atbilstoši vērtēšanas kritērijiem novērtē savu programmu. Iegūtos rezultātus ieraksti tabulā!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7.0" w:type="dxa"/>
        <w:jc w:val="left"/>
        <w:tblInd w:w="123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3209"/>
        <w:gridCol w:w="3209"/>
        <w:gridCol w:w="3209"/>
        <w:tblGridChange w:id="0">
          <w:tblGrid>
            <w:gridCol w:w="3209"/>
            <w:gridCol w:w="3209"/>
            <w:gridCol w:w="320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shd w:fill="dc1e35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3" w:right="1133" w:firstLine="0"/>
              <w:jc w:val="center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Kritērijs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0" w:right="0" w:firstLine="0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Vēlamais rezultāts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1e35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35" w:lineRule="auto"/>
              <w:ind w:left="1019" w:right="261" w:hanging="735"/>
              <w:jc w:val="left"/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roy" w:cs="Gilroy" w:eastAsia="Gilroy" w:hAnsi="Gilroy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Sasniegtais (atbilst/neatbilst, pamatojums)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6840" w:w="1191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ilroy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10185400</wp:posOffset>
              </wp:positionV>
              <wp:extent cx="4589780" cy="1936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055873" y="3687925"/>
                        <a:ext cx="45802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ilroy-Light" w:cs="Gilroy-Light" w:eastAsia="Gilroy-Light" w:hAnsi="Gilroy-Light"/>
                              <w:b w:val="0"/>
                              <w:i w:val="0"/>
                              <w:smallCaps w:val="0"/>
                              <w:strike w:val="0"/>
                              <w:color w:val="231f20"/>
                              <w:sz w:val="14"/>
                              <w:vertAlign w:val="baseline"/>
                            </w:rPr>
                            <w:t xml:space="preserve">© Valsts izglītības satura centrs | ESF projekts Nr.8.3.1.1/16/I/002 Kompetenču pieeja mācību saturā	</w:t>
                          </w:r>
                          <w:r w:rsidDel="00000000" w:rsidR="00000000" w:rsidRPr="00000000">
                            <w:rPr>
                              <w:rFonts w:ascii="Gilroy" w:cs="Gilroy" w:eastAsia="Gilroy" w:hAnsi="Gilroy"/>
                              <w:b w:val="1"/>
                              <w:i w:val="0"/>
                              <w:smallCaps w:val="0"/>
                              <w:strike w:val="0"/>
                              <w:color w:val="231f2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10185400</wp:posOffset>
              </wp:positionV>
              <wp:extent cx="4589780" cy="1936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9780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10185400</wp:posOffset>
              </wp:positionV>
              <wp:extent cx="4589780" cy="19367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055873" y="3687925"/>
                        <a:ext cx="45802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ilroy-Light" w:cs="Gilroy-Light" w:eastAsia="Gilroy-Light" w:hAnsi="Gilroy-Light"/>
                              <w:b w:val="0"/>
                              <w:i w:val="0"/>
                              <w:smallCaps w:val="0"/>
                              <w:strike w:val="0"/>
                              <w:color w:val="231f20"/>
                              <w:sz w:val="14"/>
                              <w:vertAlign w:val="baseline"/>
                            </w:rPr>
                            <w:t xml:space="preserve">© Valsts izglītības satura centrs | ESF projekts Nr.8.3.1.1/16/I/002 Kompetenču pieeja mācību saturā	</w:t>
                          </w:r>
                          <w:r w:rsidDel="00000000" w:rsidR="00000000" w:rsidRPr="00000000">
                            <w:rPr>
                              <w:rFonts w:ascii="Gilroy" w:cs="Gilroy" w:eastAsia="Gilroy" w:hAnsi="Gilroy"/>
                              <w:b w:val="1"/>
                              <w:i w:val="0"/>
                              <w:smallCaps w:val="0"/>
                              <w:strike w:val="0"/>
                              <w:color w:val="231f2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10185400</wp:posOffset>
              </wp:positionV>
              <wp:extent cx="4589780" cy="19367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9780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3235008</wp:posOffset>
              </wp:positionH>
              <wp:positionV relativeFrom="page">
                <wp:posOffset>531178</wp:posOffset>
              </wp:positionV>
              <wp:extent cx="3622675" cy="1619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539425" y="3703800"/>
                        <a:ext cx="36131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ilroy" w:cs="Gilroy" w:eastAsia="Gilroy" w:hAnsi="Gilroy"/>
                              <w:b w:val="1"/>
                              <w:i w:val="0"/>
                              <w:smallCaps w:val="0"/>
                              <w:strike w:val="0"/>
                              <w:color w:val="231f20"/>
                              <w:sz w:val="16"/>
                              <w:vertAlign w:val="baseline"/>
                            </w:rPr>
                            <w:t xml:space="preserve">Datorika. 9.2. Kā programmējot radīt sabiedrībai derīgu digitālu risinājumu?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3235008</wp:posOffset>
              </wp:positionH>
              <wp:positionV relativeFrom="page">
                <wp:posOffset>531178</wp:posOffset>
              </wp:positionV>
              <wp:extent cx="3622675" cy="16192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2267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283.99999999999994"/>
      </w:pPr>
      <w:rPr>
        <w:rFonts w:ascii="Times New Roman" w:cs="Times New Roman" w:eastAsia="Times New Roman" w:hAnsi="Times New Roman"/>
        <w:b w:val="1"/>
        <w:i w:val="0"/>
        <w:color w:val="231f20"/>
        <w:sz w:val="24"/>
        <w:szCs w:val="24"/>
      </w:rPr>
    </w:lvl>
    <w:lvl w:ilvl="1">
      <w:start w:val="0"/>
      <w:numFmt w:val="bullet"/>
      <w:lvlText w:val="●"/>
      <w:lvlJc w:val="left"/>
      <w:pPr>
        <w:ind w:left="567" w:hanging="171"/>
      </w:pPr>
      <w:rPr>
        <w:rFonts w:ascii="Times New Roman" w:cs="Times New Roman" w:eastAsia="Times New Roman" w:hAnsi="Times New Roman"/>
        <w:b w:val="0"/>
        <w:i w:val="0"/>
        <w:color w:val="231f20"/>
        <w:sz w:val="18"/>
        <w:szCs w:val="18"/>
        <w:vertAlign w:val="baseline"/>
      </w:rPr>
    </w:lvl>
    <w:lvl w:ilvl="2">
      <w:start w:val="0"/>
      <w:numFmt w:val="bullet"/>
      <w:lvlText w:val="•"/>
      <w:lvlJc w:val="left"/>
      <w:pPr>
        <w:ind w:left="1593" w:hanging="170.99999999999977"/>
      </w:pPr>
      <w:rPr/>
    </w:lvl>
    <w:lvl w:ilvl="3">
      <w:start w:val="0"/>
      <w:numFmt w:val="bullet"/>
      <w:lvlText w:val="•"/>
      <w:lvlJc w:val="left"/>
      <w:pPr>
        <w:ind w:left="2627" w:hanging="171"/>
      </w:pPr>
      <w:rPr/>
    </w:lvl>
    <w:lvl w:ilvl="4">
      <w:start w:val="0"/>
      <w:numFmt w:val="bullet"/>
      <w:lvlText w:val="•"/>
      <w:lvlJc w:val="left"/>
      <w:pPr>
        <w:ind w:left="3661" w:hanging="171"/>
      </w:pPr>
      <w:rPr/>
    </w:lvl>
    <w:lvl w:ilvl="5">
      <w:start w:val="0"/>
      <w:numFmt w:val="bullet"/>
      <w:lvlText w:val="•"/>
      <w:lvlJc w:val="left"/>
      <w:pPr>
        <w:ind w:left="4695" w:hanging="171"/>
      </w:pPr>
      <w:rPr/>
    </w:lvl>
    <w:lvl w:ilvl="6">
      <w:start w:val="0"/>
      <w:numFmt w:val="bullet"/>
      <w:lvlText w:val="•"/>
      <w:lvlJc w:val="left"/>
      <w:pPr>
        <w:ind w:left="5729" w:hanging="171"/>
      </w:pPr>
      <w:rPr/>
    </w:lvl>
    <w:lvl w:ilvl="7">
      <w:start w:val="0"/>
      <w:numFmt w:val="bullet"/>
      <w:lvlText w:val="•"/>
      <w:lvlJc w:val="left"/>
      <w:pPr>
        <w:ind w:left="6763" w:hanging="171.0000000000009"/>
      </w:pPr>
      <w:rPr/>
    </w:lvl>
    <w:lvl w:ilvl="8">
      <w:start w:val="0"/>
      <w:numFmt w:val="bullet"/>
      <w:lvlText w:val="•"/>
      <w:lvlJc w:val="left"/>
      <w:pPr>
        <w:ind w:left="7797" w:hanging="17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5" w:lineRule="auto"/>
      <w:ind w:left="150"/>
      <w:jc w:val="center"/>
    </w:pPr>
    <w:rPr>
      <w:rFonts w:ascii="Gilroy" w:cs="Gilroy" w:eastAsia="Gilroy" w:hAnsi="Gilroy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397" w:hanging="28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eysmart.gov.au/saving/savings-goals-calculato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moneyhelper.org.uk/en/savings/how-to-save/use-our-savings-calcul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