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4E05"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Договор подряда</w:t>
      </w:r>
      <w:r>
        <w:rPr>
          <w:rFonts w:ascii="Times New Roman" w:eastAsia="Times New Roman" w:hAnsi="Times New Roman" w:cs="Times New Roman"/>
          <w:color w:val="000000"/>
          <w:sz w:val="22"/>
          <w:szCs w:val="22"/>
        </w:rPr>
        <w:br/>
      </w:r>
    </w:p>
    <w:tbl>
      <w:tblPr>
        <w:tblStyle w:val="aff8"/>
        <w:tblW w:w="103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50"/>
        <w:gridCol w:w="5150"/>
      </w:tblGrid>
      <w:tr w:rsidR="0076115B" w:rsidRPr="00A61F3F" w14:paraId="2CA7C81B" w14:textId="77777777">
        <w:tc>
          <w:tcPr>
            <w:tcW w:w="5150" w:type="dxa"/>
          </w:tcPr>
          <w:p w14:paraId="7C61CFF5" w14:textId="77777777" w:rsidR="0076115B" w:rsidRPr="00A61F3F" w:rsidRDefault="00F92D18">
            <w:pPr>
              <w:tabs>
                <w:tab w:val="left" w:pos="709"/>
              </w:tabs>
              <w:ind w:firstLine="0"/>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г. Санкт-Петербург</w:t>
            </w:r>
          </w:p>
        </w:tc>
        <w:tc>
          <w:tcPr>
            <w:tcW w:w="5150" w:type="dxa"/>
          </w:tcPr>
          <w:p w14:paraId="4F73E868" w14:textId="00D4C024" w:rsidR="0076115B" w:rsidRPr="00A61F3F" w:rsidRDefault="00A61F3F">
            <w:pPr>
              <w:tabs>
                <w:tab w:val="left" w:pos="709"/>
              </w:tabs>
              <w:ind w:firstLine="0"/>
              <w:jc w:val="right"/>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 xml:space="preserve">27.05.2022</w:t>
            </w:r>
          </w:p>
        </w:tc>
      </w:tr>
    </w:tbl>
    <w:p w14:paraId="3BB483FC" w14:textId="0F9BBC10" w:rsidR="0076115B" w:rsidRDefault="00DA0A87">
      <w:pPr>
        <w:tabs>
          <w:tab w:val="left" w:pos="709"/>
        </w:tabs>
        <w:ind w:firstLine="142"/>
        <w:rPr>
          <w:rFonts w:ascii="Times New Roman" w:eastAsia="Times New Roman" w:hAnsi="Times New Roman" w:cs="Times New Roman"/>
          <w:sz w:val="22"/>
          <w:szCs w:val="22"/>
        </w:rPr>
      </w:pPr>
      <w:r w:rsidRPr="00DA0A87">
        <w:rPr>
          <w:rFonts w:ascii="Times New Roman" w:eastAsia="Times New Roman" w:hAnsi="Times New Roman" w:cs="Times New Roman"/>
          <w:b/>
          <w:sz w:val="22"/>
          <w:szCs w:val="22"/>
        </w:rPr>
        <w:t xml:space="preserve">Фокич Альберт Константинов</w:t>
      </w:r>
      <w:r w:rsidR="00F92D18">
        <w:rPr>
          <w:rFonts w:ascii="Times New Roman" w:eastAsia="Times New Roman" w:hAnsi="Times New Roman" w:cs="Times New Roman"/>
          <w:b/>
          <w:sz w:val="22"/>
          <w:szCs w:val="22"/>
        </w:rPr>
        <w:t xml:space="preserve"> ,</w:t>
      </w:r>
      <w:r w:rsidR="00F92D18">
        <w:rPr>
          <w:rFonts w:ascii="Times New Roman" w:eastAsia="Times New Roman" w:hAnsi="Times New Roman" w:cs="Times New Roman"/>
          <w:sz w:val="22"/>
          <w:szCs w:val="22"/>
        </w:rPr>
        <w:t xml:space="preserve"> именуемый (-ая) в дальнейшем "Подрядчик", с одной стороны и</w:t>
      </w:r>
    </w:p>
    <w:p w14:paraId="17381BA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b/>
          <w:sz w:val="22"/>
          <w:szCs w:val="22"/>
        </w:rPr>
        <w:t>Индивидуальный предприниматель Нечитайло Фёдор Константинович</w:t>
      </w:r>
      <w:r>
        <w:rPr>
          <w:rFonts w:ascii="Times New Roman" w:eastAsia="Times New Roman" w:hAnsi="Times New Roman" w:cs="Times New Roman"/>
          <w:sz w:val="22"/>
          <w:szCs w:val="22"/>
        </w:rPr>
        <w:t>, именуемый в дальнейшем "Заказчик", в лице Барковой Людмилы Сергеевны, действующей на основании доверенности №21/7-1 от 01.07.2021, с другой стороны, совместно далее именуемые «Стороны», заключили договор о нижеследующем:</w:t>
      </w:r>
    </w:p>
    <w:p w14:paraId="5E89F650"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0" w:name="bookmark=id.gjdgxs" w:colFirst="0" w:colLast="0"/>
      <w:bookmarkEnd w:id="0"/>
      <w:r>
        <w:rPr>
          <w:rFonts w:ascii="Times New Roman" w:eastAsia="Times New Roman" w:hAnsi="Times New Roman" w:cs="Times New Roman"/>
          <w:color w:val="000000"/>
          <w:sz w:val="22"/>
          <w:szCs w:val="22"/>
        </w:rPr>
        <w:t>1. Предмет договора</w:t>
      </w:r>
    </w:p>
    <w:p w14:paraId="6DBB45A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r>
    </w:p>
    <w:p w14:paraId="446D369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1.2. Работа выполняется иждивением Подрядчика - из его материалов, его силами и средствами.</w:t>
      </w:r>
    </w:p>
    <w:p w14:paraId="2CD548E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1.3. Работа выполняется Подрядчиком лично. Привлечение субподрядчиков не допускается.</w:t>
      </w:r>
    </w:p>
    <w:p w14:paraId="0D5AA947" w14:textId="77777777" w:rsidR="0076115B" w:rsidRDefault="00F92D18">
      <w:pPr>
        <w:tabs>
          <w:tab w:val="left" w:pos="709"/>
        </w:tabs>
        <w:ind w:firstLine="142"/>
        <w:rPr>
          <w:rFonts w:ascii="Times New Roman" w:eastAsia="Times New Roman" w:hAnsi="Times New Roman" w:cs="Times New Roman"/>
          <w:sz w:val="22"/>
          <w:szCs w:val="22"/>
        </w:rPr>
      </w:pPr>
      <w:bookmarkStart w:id="1" w:name="bookmark=id.30j0zll" w:colFirst="0" w:colLast="0"/>
      <w:bookmarkEnd w:id="1"/>
      <w:r>
        <w:rPr>
          <w:rFonts w:ascii="Times New Roman" w:eastAsia="Times New Roman" w:hAnsi="Times New Roman" w:cs="Times New Roman"/>
          <w:sz w:val="22"/>
          <w:szCs w:val="22"/>
        </w:rPr>
        <w:t>1.4. Работа должна быть выполнена в срок, согласованный сторонами в приложениях к настоящему договору. Работа может быть выполнена и сдана досрочно</w:t>
      </w:r>
    </w:p>
    <w:p w14:paraId="6A1CB6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1.5. Работа считается выполненной после подписания Сторонами акта приема-сдачи выполненных работ.</w:t>
      </w:r>
    </w:p>
    <w:p w14:paraId="6A9ABE4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color w:val="000000"/>
          <w:sz w:val="22"/>
          <w:szCs w:val="22"/>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отчуждает Заказчику вместе с передачей РИД. Под отчуждением исключительного права в настоящем Договоре понимается передача всех исключительных прав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исключительные прав на РИД включено в стоимость </w:t>
      </w:r>
      <w:r>
        <w:rPr>
          <w:rFonts w:ascii="Times New Roman" w:eastAsia="Times New Roman" w:hAnsi="Times New Roman" w:cs="Times New Roman"/>
          <w:sz w:val="22"/>
          <w:szCs w:val="22"/>
        </w:rPr>
        <w:t xml:space="preserve">работ </w:t>
      </w:r>
      <w:r>
        <w:rPr>
          <w:rFonts w:ascii="Times New Roman" w:eastAsia="Times New Roman" w:hAnsi="Times New Roman" w:cs="Times New Roman"/>
          <w:color w:val="000000"/>
          <w:sz w:val="22"/>
          <w:szCs w:val="22"/>
        </w:rPr>
        <w:t>по Договору</w:t>
      </w:r>
    </w:p>
    <w:p w14:paraId="4D83B424"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2" w:name="bookmark=id.1fob9te" w:colFirst="0" w:colLast="0"/>
      <w:bookmarkEnd w:id="2"/>
      <w:r>
        <w:rPr>
          <w:rFonts w:ascii="Times New Roman" w:eastAsia="Times New Roman" w:hAnsi="Times New Roman" w:cs="Times New Roman"/>
          <w:color w:val="000000"/>
          <w:sz w:val="22"/>
          <w:szCs w:val="22"/>
        </w:rPr>
        <w:t>2. Обязанности Сторон договора</w:t>
      </w:r>
    </w:p>
    <w:p w14:paraId="50A2A1F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 Подрядчик обязуется:</w:t>
      </w:r>
    </w:p>
    <w:p w14:paraId="0A2B84B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2.1.1. Выполнить предусмотренные настоящим договором работы лично в соответствии с заданием Заказчика, определяющим объем, содержание работ, цену работ.</w:t>
      </w:r>
    </w:p>
    <w:p w14:paraId="428F95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2.1.2. Представлять по требованию Заказчика информацию о ходе исполнения выполняемых работ.</w:t>
      </w:r>
    </w:p>
    <w:p w14:paraId="1972EF8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2.1.3. Выполнить работу надлежащим образом.</w:t>
      </w:r>
    </w:p>
    <w:p w14:paraId="695CEDC1" w14:textId="77777777" w:rsidR="0076115B" w:rsidRDefault="00F92D18">
      <w:pPr>
        <w:tabs>
          <w:tab w:val="left" w:pos="709"/>
        </w:tabs>
        <w:ind w:firstLine="142"/>
        <w:rPr>
          <w:rFonts w:ascii="Times New Roman" w:eastAsia="Times New Roman" w:hAnsi="Times New Roman" w:cs="Times New Roman"/>
          <w:sz w:val="22"/>
          <w:szCs w:val="22"/>
        </w:rPr>
      </w:pPr>
      <w:bookmarkStart w:id="3" w:name="bookmark=id.3znysh7" w:colFirst="0" w:colLast="0"/>
      <w:bookmarkEnd w:id="3"/>
      <w:r>
        <w:rPr>
          <w:rFonts w:ascii="Times New Roman" w:eastAsia="Times New Roman" w:hAnsi="Times New Roman" w:cs="Times New Roman"/>
          <w:sz w:val="22"/>
          <w:szCs w:val="22"/>
        </w:rPr>
        <w:t>2.1.4. Немедленно предупредить Заказчика и до получения от него указаний приостановить работу при обнаружении:</w:t>
      </w:r>
    </w:p>
    <w:p w14:paraId="2D19F6C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непригодности или недоброкачественности технической документации, задания;</w:t>
      </w:r>
    </w:p>
    <w:p w14:paraId="581D1F3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возможных неблагоприятных для Заказчика последствий его указаний о способе исполнения работы;</w:t>
      </w:r>
    </w:p>
    <w:p w14:paraId="704247A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r>
    </w:p>
    <w:p w14:paraId="39C4D6D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2.1.5. Передать результат выполненной работы Заказчику по акту приема-сдачи выполненных работ.</w:t>
      </w:r>
    </w:p>
    <w:p w14:paraId="4F730764"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2.1.6. Передать Заказчику вместе с результатом работы информацию, касающуюся использования результата работ.</w:t>
      </w:r>
    </w:p>
    <w:p w14:paraId="0AEF68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2.1.7. В случае обнаружения в выполненной работе недостатков устранить их в течение трёх календарных дней.</w:t>
      </w:r>
    </w:p>
    <w:p w14:paraId="1D9792F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 Подрядчик вправе:</w:t>
      </w:r>
    </w:p>
    <w:p w14:paraId="5AEE315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2.2.1. Самостоятельно определять способы выполнения работы по настоящему договору.</w:t>
      </w:r>
    </w:p>
    <w:p w14:paraId="7EE8FE5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 Заказчик обязуется:</w:t>
      </w:r>
    </w:p>
    <w:p w14:paraId="4B7196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2.3.1. Предоставлять Подрядчику все документы и информацию, необходимые для выполнения Подрядчиком своих обязательств по настоящему договору.</w:t>
      </w:r>
    </w:p>
    <w:p w14:paraId="5FB3695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2.3.2. Принять результат выполненной работы по акту приема-сдачи выполненных работ.</w:t>
      </w:r>
    </w:p>
    <w:p w14:paraId="00DC851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2.3.3. Своевременно оплатить выполненные работы в порядке, предусмотренном </w:t>
      </w:r>
      <w:hyperlink w:anchor="bookmark=id.2et92p0">
        <w:r>
          <w:rPr>
            <w:rFonts w:ascii="Times New Roman" w:eastAsia="Times New Roman" w:hAnsi="Times New Roman" w:cs="Times New Roman"/>
            <w:color w:val="000000"/>
            <w:sz w:val="22"/>
            <w:szCs w:val="22"/>
          </w:rPr>
          <w:t>разделом 3</w:t>
        </w:r>
      </w:hyperlink>
      <w:r>
        <w:rPr>
          <w:rFonts w:ascii="Times New Roman" w:eastAsia="Times New Roman" w:hAnsi="Times New Roman" w:cs="Times New Roman"/>
          <w:sz w:val="22"/>
          <w:szCs w:val="22"/>
        </w:rPr>
        <w:t xml:space="preserve"> настоящего договора.</w:t>
      </w:r>
    </w:p>
    <w:p w14:paraId="26EAD1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 Заказчик вправе:</w:t>
      </w:r>
    </w:p>
    <w:p w14:paraId="197F3E0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2.4.1. В любое время проверять ход и качество работы, выполняемой Подрядчиком, не вмешиваясь в его </w:t>
      </w:r>
      <w:r>
        <w:rPr>
          <w:rFonts w:ascii="Times New Roman" w:eastAsia="Times New Roman" w:hAnsi="Times New Roman" w:cs="Times New Roman"/>
          <w:sz w:val="22"/>
          <w:szCs w:val="22"/>
        </w:rPr>
        <w:lastRenderedPageBreak/>
        <w:t>деятельность.</w:t>
      </w:r>
    </w:p>
    <w:p w14:paraId="417C4DE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8C48811"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4" w:name="bookmark=id.2et92p0" w:colFirst="0" w:colLast="0"/>
      <w:bookmarkEnd w:id="4"/>
      <w:r>
        <w:rPr>
          <w:rFonts w:ascii="Times New Roman" w:eastAsia="Times New Roman" w:hAnsi="Times New Roman" w:cs="Times New Roman"/>
          <w:color w:val="000000"/>
          <w:sz w:val="22"/>
          <w:szCs w:val="22"/>
        </w:rPr>
        <w:t>3. Цена работы и порядок оплаты</w:t>
      </w:r>
    </w:p>
    <w:p w14:paraId="06A4D5B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r>
    </w:p>
    <w:p w14:paraId="7CA853CD"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3.2. По настоящему договору цена работы считается твердой.</w:t>
      </w:r>
    </w:p>
    <w:p w14:paraId="60A3DC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3.3. Заказчик оплачивает результат выполненной работы в течение 50 дней с момента подписания акта приема-сдачи выполненных работ.</w:t>
      </w:r>
    </w:p>
    <w:p w14:paraId="0958A69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вправе оплачивать работы полностью или частично до момента их сдачи. Указанное авансирование работ не является обязательным и производится по усмотрению Заказчика.</w:t>
      </w:r>
    </w:p>
    <w:p w14:paraId="28FAC2F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r>
    </w:p>
    <w:p w14:paraId="37168A12" w14:textId="77777777" w:rsidR="0076115B" w:rsidRDefault="00F92D18">
      <w:pPr>
        <w:tabs>
          <w:tab w:val="left" w:pos="709"/>
        </w:tabs>
        <w:ind w:firstLine="142"/>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3.6. Обязанность Заказчика по оплате выполненных работ считается исполненной с даты </w:t>
      </w:r>
      <w:r>
        <w:rPr>
          <w:rFonts w:ascii="Times New Roman" w:eastAsia="Times New Roman" w:hAnsi="Times New Roman" w:cs="Times New Roman"/>
          <w:color w:val="000000"/>
          <w:sz w:val="22"/>
          <w:szCs w:val="22"/>
        </w:rPr>
        <w:t>списания денежных средств с корреспондентского счета Заказчика/даты передачи наличных денежных средств</w:t>
      </w:r>
      <w:r>
        <w:rPr>
          <w:rFonts w:ascii="Times New Roman" w:eastAsia="Times New Roman" w:hAnsi="Times New Roman" w:cs="Times New Roman"/>
          <w:b/>
          <w:sz w:val="22"/>
          <w:szCs w:val="22"/>
        </w:rPr>
        <w:t>.</w:t>
      </w:r>
    </w:p>
    <w:p w14:paraId="76BBB68B"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1A56E2D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12482A3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избежании двойного налогообложения между Российской Федерацией и таким иностранным государством</w:t>
      </w:r>
    </w:p>
    <w:p w14:paraId="7587717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если выплата вознаграждения производится на счёт Подрядчика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6818D00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r>
    </w:p>
    <w:p w14:paraId="1AF06DE3"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5" w:name="bookmark=id.tyjcwt" w:colFirst="0" w:colLast="0"/>
      <w:bookmarkEnd w:id="5"/>
      <w:r>
        <w:rPr>
          <w:rFonts w:ascii="Times New Roman" w:eastAsia="Times New Roman" w:hAnsi="Times New Roman" w:cs="Times New Roman"/>
          <w:color w:val="000000"/>
          <w:sz w:val="22"/>
          <w:szCs w:val="22"/>
        </w:rPr>
        <w:t>4. Порядок приема-сдачи работы</w:t>
      </w:r>
    </w:p>
    <w:p w14:paraId="14B467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r>
    </w:p>
    <w:p w14:paraId="67FEB7C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4.2. Недостатки, обнаруженные в работе при ее приемке, должны быть отражены в акте приема-сдачи выполненных работ.</w:t>
      </w:r>
    </w:p>
    <w:p w14:paraId="31DD2F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0D7DA62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w:t>
      </w:r>
      <w:r>
        <w:rPr>
          <w:rFonts w:ascii="Times New Roman" w:eastAsia="Times New Roman" w:hAnsi="Times New Roman" w:cs="Times New Roman"/>
          <w:color w:val="000000"/>
          <w:sz w:val="22"/>
          <w:szCs w:val="22"/>
        </w:rPr>
        <w:t xml:space="preserve">0 </w:t>
      </w:r>
      <w:r>
        <w:rPr>
          <w:rFonts w:ascii="Times New Roman" w:eastAsia="Times New Roman" w:hAnsi="Times New Roman" w:cs="Times New Roman"/>
          <w:sz w:val="22"/>
          <w:szCs w:val="22"/>
        </w:rPr>
        <w:t>дней со дня обнаружения известить об этом Подрядчика.</w:t>
      </w:r>
    </w:p>
    <w:p w14:paraId="285BF1F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5F9695"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6" w:name="bookmark=id.3dy6vkm" w:colFirst="0" w:colLast="0"/>
      <w:bookmarkEnd w:id="6"/>
      <w:r>
        <w:rPr>
          <w:rFonts w:ascii="Times New Roman" w:eastAsia="Times New Roman" w:hAnsi="Times New Roman" w:cs="Times New Roman"/>
          <w:color w:val="000000"/>
          <w:sz w:val="22"/>
          <w:szCs w:val="22"/>
        </w:rPr>
        <w:t>5. Качество работы</w:t>
      </w:r>
    </w:p>
    <w:p w14:paraId="7020AE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30E235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7133CC6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безвозмездного устранения недостатков в разумный срок;</w:t>
      </w:r>
    </w:p>
    <w:p w14:paraId="6B356F3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соразмерного уменьшения установленной за работу цены.</w:t>
      </w:r>
    </w:p>
    <w:p w14:paraId="7BF8B57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0F55CB3B"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7" w:name="bookmark=id.1t3h5sf" w:colFirst="0" w:colLast="0"/>
      <w:bookmarkEnd w:id="7"/>
      <w:r>
        <w:rPr>
          <w:rFonts w:ascii="Times New Roman" w:eastAsia="Times New Roman" w:hAnsi="Times New Roman" w:cs="Times New Roman"/>
          <w:color w:val="000000"/>
          <w:sz w:val="22"/>
          <w:szCs w:val="22"/>
        </w:rPr>
        <w:t>6. Прочие условия</w:t>
      </w:r>
    </w:p>
    <w:p w14:paraId="696250C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r>
          <w:rPr>
            <w:rFonts w:ascii="Times New Roman" w:eastAsia="Times New Roman" w:hAnsi="Times New Roman" w:cs="Times New Roman"/>
            <w:color w:val="000000"/>
            <w:sz w:val="22"/>
            <w:szCs w:val="22"/>
          </w:rPr>
          <w:t>законодательством</w:t>
        </w:r>
      </w:hyperlink>
      <w:r>
        <w:rPr>
          <w:rFonts w:ascii="Times New Roman" w:eastAsia="Times New Roman" w:hAnsi="Times New Roman" w:cs="Times New Roman"/>
          <w:color w:val="000000"/>
          <w:sz w:val="22"/>
          <w:szCs w:val="22"/>
        </w:rPr>
        <w:t xml:space="preserve"> Российской Федерации.</w:t>
      </w:r>
    </w:p>
    <w:p w14:paraId="7BC2B56A"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r>
    </w:p>
    <w:p w14:paraId="77B6A7C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354E87E2"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20BFAAD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Настоящий договор вступает в силу с момента его подписания и действует до полного исполнения обязательств сторонами. </w:t>
      </w:r>
    </w:p>
    <w:p w14:paraId="7408D2D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118E584E"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r>
    </w:p>
    <w:p w14:paraId="1CDE7118"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w:t>
      </w:r>
      <w:r>
        <w:rPr>
          <w:rFonts w:ascii="Times New Roman" w:eastAsia="Times New Roman" w:hAnsi="Times New Roman" w:cs="Times New Roman"/>
          <w:color w:val="000000"/>
          <w:sz w:val="22"/>
          <w:szCs w:val="22"/>
        </w:rPr>
        <w:lastRenderedPageBreak/>
        <w:t>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1CA56782"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Применимым правом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1080AC23"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bookmarkStart w:id="8" w:name="_heading=h.4d34og8" w:colFirst="0" w:colLast="0"/>
      <w:bookmarkEnd w:id="8"/>
      <w:r>
        <w:rPr>
          <w:rFonts w:ascii="Times New Roman" w:eastAsia="Times New Roman" w:hAnsi="Times New Roman" w:cs="Times New Roman"/>
          <w:color w:val="000000"/>
          <w:sz w:val="22"/>
          <w:szCs w:val="22"/>
        </w:rPr>
        <w:t>Подрядчик обязуется не разглашать конфиденциальную информацию, полученную в результате совместной деятельности, равно как и обязуется не использовать такую информацию в целях конкуренции друг с другом или в личных целях. Конфиденциальная информация – научно-техническая, технологическая, производственная, финансово-экономическая или иная информация, включая информацию о творческой деятельности, предпринимательской деятельности и организации работы Заказчика, которая имеет действительную или потенциальную коммерческую ценность в силу неизвестности ее третьим лицам. Стороны в том числе считают конфиденциальной информацией задание Заказчика, процесс работ и результат работ Подрядчика (до момента их обнародования Заказчиком в отношении неограниченного круга лиц).</w:t>
      </w:r>
    </w:p>
    <w:p w14:paraId="33588040" w14:textId="77777777" w:rsidR="0076115B" w:rsidRDefault="00F92D18">
      <w:pPr>
        <w:tabs>
          <w:tab w:val="left" w:pos="709"/>
          <w:tab w:val="left" w:pos="851"/>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нарушения Подрядчиком обязательств, предусмотренных настоящим пунктом, Заказчик вправе потребовать возмещения убытков, причиненных подобным нарушением, а также штрафа в размере 50 000 рублей за каждый факт нарушения.</w:t>
      </w:r>
    </w:p>
    <w:p w14:paraId="653CE04E" w14:textId="77777777" w:rsidR="0076115B" w:rsidRDefault="00F92D18">
      <w:pPr>
        <w:widowControl/>
        <w:numPr>
          <w:ilvl w:val="0"/>
          <w:numId w:val="2"/>
        </w:numPr>
        <w:pBdr>
          <w:top w:val="nil"/>
          <w:left w:val="nil"/>
          <w:bottom w:val="nil"/>
          <w:right w:val="nil"/>
          <w:between w:val="nil"/>
        </w:pBdr>
        <w:tabs>
          <w:tab w:val="left" w:pos="709"/>
          <w:tab w:val="left" w:pos="851"/>
        </w:tabs>
        <w:ind w:left="0" w:firstLine="28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в соответствии с положениями Федерального закона от 27.07.2006 N 152-ФЗ "О персональных данных" даёт согласие Заказчику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извлечение, использование, передачу, обезличивание, блокирование, удаление, уничтожение персональных данных) в документальной (на материальных, в том числе бумажных носителях) и электронной форме предоставленных Подрядчиком Заказчику персональных данных, в целях: обеспечение соблюдения требований гражданского законодательства, включая законодательства в области персональных данных; обеспечение исполнения обязательств по настоящему договору (включая коммуникацию с Подрядчиком, передачу информации контрагентам и контролирующим структурам, контроль за качеством работы Подрядчика). Срок действия настоящего согласия начинается с даты его подписания. Настоящее согласие выдано бессрочно. Настоящее согласие может быть отозвано в любой момент путём направления по адресу Заказчика письменного отзыва согласия, либо иным предусмотренным действующим законодательством способом.</w:t>
      </w:r>
    </w:p>
    <w:p w14:paraId="6B75EDFE"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bookmarkStart w:id="9" w:name="bookmark=id.2s8eyo1" w:colFirst="0" w:colLast="0"/>
      <w:bookmarkEnd w:id="9"/>
      <w:r>
        <w:rPr>
          <w:rFonts w:ascii="Times New Roman" w:eastAsia="Times New Roman" w:hAnsi="Times New Roman" w:cs="Times New Roman"/>
          <w:color w:val="000000"/>
          <w:sz w:val="22"/>
          <w:szCs w:val="22"/>
        </w:rPr>
        <w:t>7. Адреса и реквизиты Сторон</w:t>
      </w:r>
    </w:p>
    <w:tbl>
      <w:tblPr>
        <w:tblStyle w:val="aff9"/>
        <w:tblW w:w="1008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040"/>
        <w:gridCol w:w="5040"/>
      </w:tblGrid>
      <w:tr w:rsidR="0076115B" w14:paraId="35388398" w14:textId="77777777">
        <w:tc>
          <w:tcPr>
            <w:tcW w:w="5040" w:type="dxa"/>
            <w:tcBorders>
              <w:top w:val="single" w:sz="4" w:space="0" w:color="000000"/>
              <w:bottom w:val="single" w:sz="4" w:space="0" w:color="000000"/>
              <w:right w:val="single" w:sz="4" w:space="0" w:color="000000"/>
            </w:tcBorders>
          </w:tcPr>
          <w:p w14:paraId="26382B6D"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Подрядчик</w:t>
            </w:r>
          </w:p>
          <w:p w14:paraId="3E8B37B5" w14:textId="1E78E874" w:rsidR="0076115B" w:rsidRPr="00A61F3F" w:rsidRDefault="00036836">
            <w:pPr>
              <w:tabs>
                <w:tab w:val="left" w:pos="709"/>
              </w:tabs>
              <w:ind w:firstLine="0"/>
              <w:rPr>
                <w:rFonts w:ascii="Times New Roman" w:eastAsia="Times New Roman" w:hAnsi="Times New Roman" w:cs="Times New Roman"/>
                <w:bCs/>
                <w:sz w:val="22"/>
                <w:szCs w:val="22"/>
                <w:highlight w:val="white"/>
              </w:rPr>
            </w:pPr>
            <w:r w:rsidRPr="00036836">
              <w:rPr>
                <w:rFonts w:ascii="Times New Roman" w:eastAsia="Times New Roman" w:hAnsi="Times New Roman" w:cs="Times New Roman"/>
                <w:bCs/>
                <w:sz w:val="22"/>
                <w:szCs w:val="22"/>
                <w:lang w:val="en-US"/>
              </w:rPr>
              <w:t xml:space="preserve">Фокич Альберт Константинов</w:t>
              <w:br/>
              <w:t xml:space="preserve">ИНН 112452842455</w:t>
            </w:r>
            <w:r>
              <w:rPr>
                <w:rFonts w:ascii="Times New Roman" w:eastAsia="Times New Roman" w:hAnsi="Times New Roman" w:cs="Times New Roman"/>
                <w:bCs/>
                <w:sz w:val="22"/>
                <w:szCs w:val="22"/>
                <w:highlight w:val="white"/>
              </w:rPr>
              <w:tab/>
            </w:r>
            <w:r>
              <w:rPr>
                <w:rFonts w:ascii="Times New Roman" w:eastAsia="Times New Roman" w:hAnsi="Times New Roman" w:cs="Times New Roman"/>
                <w:bCs/>
                <w:sz w:val="22"/>
                <w:szCs w:val="22"/>
                <w:highlight w:val="white"/>
              </w:rPr>
              <w:t xml:space="preserve">ОГРН 9648521452144</w:t>
              <w:br/>
              <w:t xml:space="preserve">Паспорт гражданина РФ</w:t>
              <w:br/>
              <w:t xml:space="preserve">25-06 754128</w:t>
              <w:br/>
              <w:t xml:space="preserve">Выдан ГУ МВД ПО ГОР, САНКТ_ПЕТЕРБУРГ 2008-02-07</w:t>
              <w:br/>
              <w:t xml:space="preserve">Код подразделения 345-984</w:t>
              <w:br/>
              <w:t xml:space="preserve">Адрес: г.Москва, ул. Коломётова, д.53</w:t>
              <w:br/>
              <w:t xml:space="preserve">Номер счёта 7706-9647-2202-0022</w:t>
              <w:br/>
              <w:t xml:space="preserve">Банк получателя Sberbank</w:t>
              <w:br/>
              <w:t xml:space="preserve"> БИК: 044525225. Корсчет 30101810400000000225 </w:t>
              <w:br/>
              <w:t xml:space="preserve">prolom359@gmail.com</w:t>
            </w:r>
          </w:p>
        </w:tc>
        <w:tc>
          <w:tcPr>
            <w:tcW w:w="5040" w:type="dxa"/>
            <w:tcBorders>
              <w:top w:val="single" w:sz="4" w:space="0" w:color="000000"/>
              <w:left w:val="single" w:sz="4" w:space="0" w:color="000000"/>
              <w:bottom w:val="single" w:sz="4" w:space="0" w:color="000000"/>
            </w:tcBorders>
          </w:tcPr>
          <w:p w14:paraId="7DE4FF9B"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Заказчик</w:t>
            </w:r>
          </w:p>
          <w:p w14:paraId="552EC9E1"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Индивидуальный предприниматель</w:t>
            </w:r>
          </w:p>
          <w:p w14:paraId="7F039E37"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Нечитайло Фёдор Константинович</w:t>
            </w:r>
          </w:p>
          <w:p w14:paraId="48D9B03F"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ИНН 616616300580 ОГРН 318619600017594</w:t>
            </w:r>
          </w:p>
          <w:p w14:paraId="624B3BEC"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Адрес: 344065, Ростовская обл., г. Ростов-на-Дону, ул. Вятская, д. 63/1, кв. 77</w:t>
            </w:r>
          </w:p>
          <w:p w14:paraId="7B46C12B"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р/с 40802810000000405802 в АО «Тинькофф Банк»</w:t>
            </w:r>
          </w:p>
          <w:p w14:paraId="646D9929"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кор/сч 30101810145250000974</w:t>
            </w:r>
          </w:p>
          <w:p w14:paraId="5B99B48D"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БИК 044525974</w:t>
            </w:r>
          </w:p>
          <w:p w14:paraId="32B06C53"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fedorcomixvideo@gmail.com</w:t>
            </w:r>
          </w:p>
        </w:tc>
      </w:tr>
    </w:tbl>
    <w:p w14:paraId="541D3715" w14:textId="77777777" w:rsidR="0076115B" w:rsidRDefault="0076115B">
      <w:pPr>
        <w:tabs>
          <w:tab w:val="left" w:pos="709"/>
        </w:tabs>
        <w:ind w:firstLine="0"/>
        <w:rPr>
          <w:rFonts w:ascii="Times New Roman" w:eastAsia="Times New Roman" w:hAnsi="Times New Roman" w:cs="Times New Roman"/>
          <w:sz w:val="22"/>
          <w:szCs w:val="22"/>
        </w:rPr>
      </w:pPr>
    </w:p>
    <w:p w14:paraId="58D0228E" w14:textId="1039F287" w:rsidR="0076115B" w:rsidRPr="00487ED7" w:rsidRDefault="0076115B" w:rsidP="00487ED7">
      <w:pPr>
        <w:widowControl/>
        <w:tabs>
          <w:tab w:val="left" w:pos="709"/>
        </w:tabs>
        <w:spacing w:after="160" w:line="259" w:lineRule="auto"/>
        <w:ind w:firstLine="0"/>
        <w:jc w:val="left"/>
        <w:rPr>
          <w:rFonts w:ascii="Times New Roman" w:eastAsia="Times New Roman" w:hAnsi="Times New Roman" w:cs="Times New Roman"/>
          <w:sz w:val="22"/>
          <w:szCs w:val="22"/>
        </w:rPr>
      </w:pPr>
    </w:p>
    <w:sectPr w:rsidR="0076115B" w:rsidRPr="00487ED7">
      <w:headerReference w:type="default" r:id="rId9"/>
      <w:footerReference w:type="default" r:id="rId10"/>
      <w:pgSz w:w="11900" w:h="16800"/>
      <w:pgMar w:top="1440" w:right="800" w:bottom="1440" w:left="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2939" w14:textId="77777777" w:rsidR="00475261" w:rsidRDefault="00475261">
      <w:r>
        <w:separator/>
      </w:r>
    </w:p>
  </w:endnote>
  <w:endnote w:type="continuationSeparator" w:id="0">
    <w:p w14:paraId="118BEDFC" w14:textId="77777777" w:rsidR="00475261" w:rsidRDefault="00475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CC22" w14:textId="77777777" w:rsidR="0076115B" w:rsidRDefault="0076115B">
    <w:pPr>
      <w:pBdr>
        <w:top w:val="nil"/>
        <w:left w:val="nil"/>
        <w:bottom w:val="nil"/>
        <w:right w:val="nil"/>
        <w:between w:val="nil"/>
      </w:pBdr>
      <w:spacing w:line="276" w:lineRule="auto"/>
      <w:ind w:firstLine="0"/>
      <w:jc w:val="left"/>
      <w:rPr>
        <w:rFonts w:ascii="Times" w:hAnsi="Times" w:cs="Times"/>
        <w:color w:val="000000"/>
      </w:rPr>
    </w:pPr>
  </w:p>
  <w:tbl>
    <w:tblPr>
      <w:tblStyle w:val="affe"/>
      <w:tblW w:w="10300" w:type="dxa"/>
      <w:tblInd w:w="0" w:type="dxa"/>
      <w:tblLayout w:type="fixed"/>
      <w:tblLook w:val="0000" w:firstRow="0" w:lastRow="0" w:firstColumn="0" w:lastColumn="0" w:noHBand="0" w:noVBand="0"/>
    </w:tblPr>
    <w:tblGrid>
      <w:gridCol w:w="5154"/>
      <w:gridCol w:w="5146"/>
    </w:tblGrid>
    <w:tr w:rsidR="0076115B" w14:paraId="74BE8F3D" w14:textId="77777777">
      <w:trPr>
        <w:trHeight w:val="492"/>
      </w:trPr>
      <w:tc>
        <w:tcPr>
          <w:tcW w:w="5154" w:type="dxa"/>
        </w:tcPr>
        <w:p w14:paraId="36F30905"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Печенкина Елизавета Сергеевна</w:t>
          </w:r>
        </w:p>
        <w:p w14:paraId="24ADE866"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c>
        <w:tcPr>
          <w:tcW w:w="5146" w:type="dxa"/>
        </w:tcPr>
        <w:p w14:paraId="3EB953E4"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ИП Нечитайло Ф.К. в лице Барковой Л.С.</w:t>
          </w:r>
        </w:p>
        <w:p w14:paraId="66D42C90"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r>
  </w:tbl>
  <w:p w14:paraId="4D8A0BD3" w14:textId="77777777" w:rsidR="0076115B" w:rsidRDefault="0076115B">
    <w:pPr>
      <w:pBdr>
        <w:top w:val="nil"/>
        <w:left w:val="nil"/>
        <w:bottom w:val="nil"/>
        <w:right w:val="nil"/>
        <w:between w:val="nil"/>
      </w:pBdr>
      <w:spacing w:line="276" w:lineRule="auto"/>
      <w:ind w:firstLine="0"/>
      <w:jc w:val="left"/>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7F99" w14:textId="77777777" w:rsidR="00475261" w:rsidRDefault="00475261">
      <w:r>
        <w:separator/>
      </w:r>
    </w:p>
  </w:footnote>
  <w:footnote w:type="continuationSeparator" w:id="0">
    <w:p w14:paraId="1B62070C" w14:textId="77777777" w:rsidR="00475261" w:rsidRDefault="00475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60BC" w14:textId="7D53432D" w:rsidR="0076115B" w:rsidRDefault="00F92D18">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Договор подряда от </w:t>
    </w:r>
    <w:r w:rsidR="00A61F3F" w:rsidRPr="009C4ECC">
      <w:rPr>
        <w:rFonts w:ascii="Times New Roman" w:hAnsi="Times New Roman" w:cs="Times New Roman"/>
        <w:sz w:val="16"/>
        <w:szCs w:val="16"/>
        <w:lang w:val="en-US"/>
      </w:rPr>
      <w:t xml:space="preserve">27.05.2022</w:t>
    </w:r>
  </w:p>
  <w:tbl>
    <w:tblPr>
      <w:tblStyle w:val="affd"/>
      <w:tblW w:w="1030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300"/>
    </w:tblGrid>
    <w:tr w:rsidR="0076115B" w14:paraId="106B2626" w14:textId="77777777">
      <w:tc>
        <w:tcPr>
          <w:tcW w:w="10300" w:type="dxa"/>
          <w:tcBorders>
            <w:top w:val="nil"/>
            <w:left w:val="nil"/>
            <w:bottom w:val="nil"/>
            <w:right w:val="nil"/>
          </w:tcBorders>
        </w:tcPr>
        <w:p w14:paraId="0CE6E1A5" w14:textId="77777777" w:rsidR="0076115B" w:rsidRDefault="0076115B">
          <w:pPr>
            <w:jc w:val="right"/>
            <w:rPr>
              <w:rFonts w:ascii="Times New Roman" w:eastAsia="Times New Roman" w:hAnsi="Times New Roman" w:cs="Times New Roman"/>
              <w:sz w:val="16"/>
              <w:szCs w:val="16"/>
            </w:rPr>
          </w:pPr>
        </w:p>
      </w:tc>
    </w:tr>
  </w:tbl>
  <w:p w14:paraId="79A343E9" w14:textId="77777777" w:rsidR="0076115B" w:rsidRDefault="0076115B">
    <w:pPr>
      <w:pBdr>
        <w:top w:val="nil"/>
        <w:left w:val="nil"/>
        <w:bottom w:val="nil"/>
        <w:right w:val="nil"/>
        <w:between w:val="nil"/>
      </w:pBdr>
      <w:tabs>
        <w:tab w:val="center" w:pos="4677"/>
        <w:tab w:val="right" w:pos="9355"/>
      </w:tabs>
      <w:ind w:firstLine="0"/>
      <w:rPr>
        <w:rFonts w:ascii="Times" w:hAnsi="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1B01"/>
    <w:multiLevelType w:val="multilevel"/>
    <w:tmpl w:val="7870E21C"/>
    <w:lvl w:ilvl="0">
      <w:start w:val="1"/>
      <w:numFmt w:val="decimal"/>
      <w:lvlText w:val="6.%1."/>
      <w:lvlJc w:val="left"/>
      <w:pPr>
        <w:ind w:left="862" w:hanging="360"/>
      </w:pPr>
    </w:lvl>
    <w:lvl w:ilvl="1">
      <w:start w:val="3"/>
      <w:numFmt w:val="decimal"/>
      <w:lvlText w:val="%1.%2."/>
      <w:lvlJc w:val="left"/>
      <w:pPr>
        <w:ind w:left="946" w:hanging="444"/>
      </w:pPr>
    </w:lvl>
    <w:lvl w:ilvl="2">
      <w:start w:val="1"/>
      <w:numFmt w:val="decimal"/>
      <w:lvlText w:val="%1.%2.%3."/>
      <w:lvlJc w:val="left"/>
      <w:pPr>
        <w:ind w:left="1222" w:hanging="720"/>
      </w:pPr>
    </w:lvl>
    <w:lvl w:ilvl="3">
      <w:start w:val="1"/>
      <w:numFmt w:val="decimal"/>
      <w:lvlText w:val="%1.%2.%3.%4."/>
      <w:lvlJc w:val="left"/>
      <w:pPr>
        <w:ind w:left="1222" w:hanging="720"/>
      </w:pPr>
    </w:lvl>
    <w:lvl w:ilvl="4">
      <w:start w:val="1"/>
      <w:numFmt w:val="decimal"/>
      <w:lvlText w:val="%1.%2.%3.%4.%5."/>
      <w:lvlJc w:val="left"/>
      <w:pPr>
        <w:ind w:left="1582" w:hanging="1080"/>
      </w:pPr>
    </w:lvl>
    <w:lvl w:ilvl="5">
      <w:start w:val="1"/>
      <w:numFmt w:val="decimal"/>
      <w:lvlText w:val="%1.%2.%3.%4.%5.%6."/>
      <w:lvlJc w:val="left"/>
      <w:pPr>
        <w:ind w:left="1582" w:hanging="1080"/>
      </w:pPr>
    </w:lvl>
    <w:lvl w:ilvl="6">
      <w:start w:val="1"/>
      <w:numFmt w:val="decimal"/>
      <w:lvlText w:val="%1.%2.%3.%4.%5.%6.%7."/>
      <w:lvlJc w:val="left"/>
      <w:pPr>
        <w:ind w:left="1582" w:hanging="1080"/>
      </w:pPr>
    </w:lvl>
    <w:lvl w:ilvl="7">
      <w:start w:val="1"/>
      <w:numFmt w:val="decimal"/>
      <w:lvlText w:val="%1.%2.%3.%4.%5.%6.%7.%8."/>
      <w:lvlJc w:val="left"/>
      <w:pPr>
        <w:ind w:left="1942" w:hanging="1440"/>
      </w:pPr>
    </w:lvl>
    <w:lvl w:ilvl="8">
      <w:start w:val="1"/>
      <w:numFmt w:val="decimal"/>
      <w:lvlText w:val="%1.%2.%3.%4.%5.%6.%7.%8.%9."/>
      <w:lvlJc w:val="left"/>
      <w:pPr>
        <w:ind w:left="1942" w:hanging="1440"/>
      </w:pPr>
    </w:lvl>
  </w:abstractNum>
  <w:abstractNum w:abstractNumId="1" w15:restartNumberingAfterBreak="0">
    <w:nsid w:val="6B6013C2"/>
    <w:multiLevelType w:val="multilevel"/>
    <w:tmpl w:val="67D4AB8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6B987B10"/>
    <w:multiLevelType w:val="multilevel"/>
    <w:tmpl w:val="CCA67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5B"/>
    <w:rsid w:val="00036836"/>
    <w:rsid w:val="002B7887"/>
    <w:rsid w:val="00475261"/>
    <w:rsid w:val="00487ED7"/>
    <w:rsid w:val="0076115B"/>
    <w:rsid w:val="00A61F3F"/>
    <w:rsid w:val="00DA0A87"/>
    <w:rsid w:val="00F92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E00"/>
  <w15:docId w15:val="{218EC507-40D6-4E6F-B5E2-CA52012C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ru-RU" w:eastAsia="ru-RU" w:bidi="ar-SA"/>
      </w:rPr>
    </w:rPrDefault>
    <w:pPrDefault>
      <w:pPr>
        <w:widowControl w:val="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CYR" w:hAnsi="Times New Roman CYR" w:cs="Times New Roman CYR"/>
    </w:rPr>
  </w:style>
  <w:style w:type="paragraph" w:styleId="1">
    <w:name w:val="heading 1"/>
    <w:basedOn w:val="a"/>
    <w:next w:val="a"/>
    <w:link w:val="10"/>
    <w:uiPriority w:val="9"/>
    <w:qFormat/>
    <w:pPr>
      <w:spacing w:before="108" w:after="108"/>
      <w:ind w:firstLine="0"/>
      <w:jc w:val="center"/>
      <w:outlineLvl w:val="0"/>
    </w:pPr>
    <w:rPr>
      <w:b/>
      <w:bCs/>
      <w:color w:val="26282F"/>
    </w:rPr>
  </w:style>
  <w:style w:type="paragraph" w:styleId="2">
    <w:name w:val="heading 2"/>
    <w:basedOn w:val="a"/>
    <w:next w:val="a"/>
    <w:link w:val="20"/>
    <w:uiPriority w:val="9"/>
    <w:semiHidden/>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semiHidden/>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No Spacing"/>
    <w:uiPriority w:val="1"/>
    <w:qFormat/>
  </w:style>
  <w:style w:type="character" w:customStyle="1" w:styleId="a4">
    <w:name w:val="Заголовок Знак"/>
    <w:basedOn w:val="a0"/>
    <w:link w:val="a3"/>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b">
    <w:name w:val="Hyperlink"/>
    <w:uiPriority w:val="99"/>
    <w:unhideWhenUsed/>
    <w:rPr>
      <w:color w:val="0563C1" w:themeColor="hyperlink"/>
      <w:u w:val="single"/>
    </w:r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ind w:firstLine="0"/>
    </w:pPr>
  </w:style>
  <w:style w:type="paragraph" w:styleId="24">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2">
    <w:name w:val="TOC Heading"/>
    <w:uiPriority w:val="39"/>
    <w:unhideWhenUsed/>
  </w:style>
  <w:style w:type="paragraph" w:styleId="af3">
    <w:name w:val="table of figures"/>
    <w:basedOn w:val="a"/>
    <w:next w:val="a"/>
    <w:uiPriority w:val="99"/>
    <w:unhideWhenUsed/>
  </w:style>
  <w:style w:type="character" w:customStyle="1" w:styleId="af4">
    <w:name w:val="Цветовое выделение"/>
    <w:uiPriority w:val="99"/>
    <w:rPr>
      <w:b/>
      <w:bCs/>
      <w:color w:val="26282F"/>
    </w:rPr>
  </w:style>
  <w:style w:type="character" w:customStyle="1" w:styleId="af5">
    <w:name w:val="Гипертекстовая ссылка"/>
    <w:basedOn w:val="af4"/>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sz w:val="32"/>
      <w:szCs w:val="32"/>
    </w:rPr>
  </w:style>
  <w:style w:type="paragraph" w:customStyle="1" w:styleId="af6">
    <w:name w:val="Текст (справка)"/>
    <w:basedOn w:val="a"/>
    <w:next w:val="a"/>
    <w:uiPriority w:val="99"/>
    <w:pPr>
      <w:ind w:left="170" w:right="170" w:firstLine="0"/>
      <w:jc w:val="left"/>
    </w:pPr>
  </w:style>
  <w:style w:type="paragraph" w:customStyle="1" w:styleId="af7">
    <w:name w:val="Комментарий"/>
    <w:basedOn w:val="af6"/>
    <w:next w:val="a"/>
    <w:uiPriority w:val="99"/>
    <w:pPr>
      <w:spacing w:before="75"/>
      <w:ind w:right="0"/>
      <w:jc w:val="both"/>
    </w:pPr>
    <w:rPr>
      <w:color w:val="353842"/>
    </w:rPr>
  </w:style>
  <w:style w:type="paragraph" w:customStyle="1" w:styleId="af8">
    <w:name w:val="Нормальный (таблица)"/>
    <w:basedOn w:val="a"/>
    <w:next w:val="a"/>
    <w:uiPriority w:val="99"/>
    <w:pPr>
      <w:ind w:firstLine="0"/>
    </w:pPr>
  </w:style>
  <w:style w:type="paragraph" w:customStyle="1" w:styleId="af9">
    <w:name w:val="Прижатый влево"/>
    <w:basedOn w:val="a"/>
    <w:next w:val="a"/>
    <w:uiPriority w:val="99"/>
    <w:pPr>
      <w:ind w:firstLine="0"/>
      <w:jc w:val="left"/>
    </w:pPr>
  </w:style>
  <w:style w:type="character" w:customStyle="1" w:styleId="afa">
    <w:name w:val="Цветовое выделение для Текст"/>
    <w:uiPriority w:val="99"/>
    <w:rPr>
      <w:rFonts w:ascii="Times New Roman CYR" w:hAnsi="Times New Roman CYR" w:cs="Times New Roman CYR"/>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ascii="Times New Roman CYR" w:hAnsi="Times New Roman CYR" w:cs="Times New Roman CYR"/>
      <w:sz w:val="24"/>
      <w:szCs w:val="24"/>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ascii="Times New Roman CYR" w:hAnsi="Times New Roman CYR" w:cs="Times New Roman CYR"/>
      <w:sz w:val="24"/>
      <w:szCs w:val="24"/>
    </w:rPr>
  </w:style>
  <w:style w:type="character" w:styleId="aff">
    <w:name w:val="annotation reference"/>
    <w:basedOn w:val="a0"/>
    <w:uiPriority w:val="99"/>
    <w:semiHidden/>
    <w:unhideWhenUsed/>
    <w:rPr>
      <w:sz w:val="16"/>
      <w:szCs w:val="16"/>
    </w:rPr>
  </w:style>
  <w:style w:type="paragraph" w:styleId="aff0">
    <w:name w:val="annotation text"/>
    <w:basedOn w:val="a"/>
    <w:link w:val="aff1"/>
    <w:uiPriority w:val="99"/>
    <w:semiHidden/>
    <w:unhideWhenUsed/>
    <w:rPr>
      <w:sz w:val="20"/>
      <w:szCs w:val="20"/>
    </w:rPr>
  </w:style>
  <w:style w:type="character" w:customStyle="1" w:styleId="aff1">
    <w:name w:val="Текст примечания Знак"/>
    <w:basedOn w:val="a0"/>
    <w:link w:val="aff0"/>
    <w:uiPriority w:val="99"/>
    <w:semiHidden/>
    <w:rPr>
      <w:rFonts w:ascii="Times New Roman CYR" w:hAnsi="Times New Roman CYR" w:cs="Times New Roman CYR"/>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CYR" w:hAnsi="Times New Roman CYR" w:cs="Times New Roman CYR"/>
      <w:b/>
      <w:bCs/>
      <w:sz w:val="20"/>
      <w:szCs w:val="20"/>
    </w:rPr>
  </w:style>
  <w:style w:type="paragraph" w:styleId="aff4">
    <w:name w:val="Balloon Text"/>
    <w:basedOn w:val="a"/>
    <w:link w:val="aff5"/>
    <w:uiPriority w:val="99"/>
    <w:semiHidden/>
    <w:unhideWhenUsed/>
    <w:rPr>
      <w:rFonts w:ascii="Segoe UI" w:hAnsi="Segoe UI" w:cs="Segoe UI"/>
      <w:sz w:val="18"/>
      <w:szCs w:val="18"/>
    </w:rPr>
  </w:style>
  <w:style w:type="character" w:customStyle="1" w:styleId="aff5">
    <w:name w:val="Текст выноски Знак"/>
    <w:basedOn w:val="a0"/>
    <w:link w:val="aff4"/>
    <w:uiPriority w:val="99"/>
    <w:semiHidden/>
    <w:rPr>
      <w:rFonts w:ascii="Segoe UI" w:hAnsi="Segoe UI" w:cs="Segoe UI"/>
      <w:sz w:val="18"/>
      <w:szCs w:val="18"/>
    </w:rPr>
  </w:style>
  <w:style w:type="table" w:styleId="aff6">
    <w:name w:val="Table Grid"/>
    <w:basedOn w:val="a1"/>
    <w:uiPriority w:val="39"/>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List Paragraph"/>
    <w:basedOn w:val="a"/>
    <w:uiPriority w:val="34"/>
    <w:qFormat/>
    <w:pPr>
      <w:widowControl/>
      <w:ind w:left="720" w:firstLine="0"/>
      <w:contextualSpacing/>
      <w:jc w:val="left"/>
    </w:pPr>
    <w:rPr>
      <w:rFonts w:ascii="academy" w:hAnsi="academy" w:cs="Times New Roman"/>
      <w:sz w:val="20"/>
      <w:szCs w:val="20"/>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go">
    <w:name w:val="go"/>
    <w:basedOn w:val="a0"/>
  </w:style>
  <w:style w:type="table" w:customStyle="1" w:styleId="aff8">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b">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c">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31971">
      <w:bodyDiv w:val="1"/>
      <w:marLeft w:val="0"/>
      <w:marRight w:val="0"/>
      <w:marTop w:val="0"/>
      <w:marBottom w:val="0"/>
      <w:divBdr>
        <w:top w:val="none" w:sz="0" w:space="0" w:color="auto"/>
        <w:left w:val="none" w:sz="0" w:space="0" w:color="auto"/>
        <w:bottom w:val="none" w:sz="0" w:space="0" w:color="auto"/>
        <w:right w:val="none" w:sz="0" w:space="0" w:color="auto"/>
      </w:divBdr>
      <w:divsChild>
        <w:div w:id="2145150121">
          <w:marLeft w:val="0"/>
          <w:marRight w:val="0"/>
          <w:marTop w:val="0"/>
          <w:marBottom w:val="0"/>
          <w:divBdr>
            <w:top w:val="none" w:sz="0" w:space="0" w:color="auto"/>
            <w:left w:val="none" w:sz="0" w:space="0" w:color="auto"/>
            <w:bottom w:val="none" w:sz="0" w:space="0" w:color="auto"/>
            <w:right w:val="none" w:sz="0" w:space="0" w:color="auto"/>
          </w:divBdr>
          <w:divsChild>
            <w:div w:id="1166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rzYFgKvZEmyY3IHagmAHLgRTA==">AMUW2mWyk/8qxkkhbbS0UPR1BszPqf+Z0t++7yVkjtvNQtIIJoCWEfCFq4cJ4N5K2x/5zq+1bZCz9OaAybRifzdigFCbZPXNgpkG235RD+1CKutyPzBqy79GQte42cSH3uBfA8LL0obiTf9jxRQEcAv8Ph4zmlCOQNZyBFtxItShb6Fif+jmD8T4E49r2CdvptDDgwGHAEvDVmmjuI4I2zdq4rmsqlj4toDVfszKb4/gUnMd/ceIUqgBRobwzcR4HyhAaiRiEvSZ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2449</Words>
  <Characters>13965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cp:lastModifiedBy>Антипов Николай</cp:lastModifiedBy>
  <cp:revision>5</cp:revision>
  <dcterms:created xsi:type="dcterms:W3CDTF">2022-05-11T10:34:00Z</dcterms:created>
  <dcterms:modified xsi:type="dcterms:W3CDTF">2022-05-27T07:09:00Z</dcterms:modified>
</cp:coreProperties>
</file>