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Functional Requirements</w:t>
      </w:r>
    </w:p>
    <w:p>
      <w:pPr>
        <w:spacing w:after="60" w:before="0" w:line="260"/>
      </w:pPr>
      <w:r>
        <w:rPr>
          <w:rFonts w:ascii="Calibri" w:cs="Calibri" w:eastAsia="Calibri" w:hAnsi="Calibri"/>
          <w:color w:val="444444"/>
          <w:sz w:val="22"/>
          <w:szCs w:val="22"/>
        </w:rPr>
        <w:t xml:space="preserve">Document no. QACR-APP-FR-01   ·   Revision 1.25 (Draft)</w:t>
      </w:r>
    </w:p>
    <w:p>
      <w:pPr>
        <w:spacing w:after="500" w:before="0" w:line="260"/>
      </w:pPr>
      <w:r>
        <w:rPr>
          <w:rFonts w:ascii="Calibri" w:cs="Calibri" w:eastAsia="Calibri" w:hAnsi="Calibri"/>
          <w:i/>
          <w:iCs/>
          <w:color w:val="666666"/>
          <w:sz w:val="20"/>
          <w:szCs w:val="20"/>
        </w:rPr>
        <w:t xml:space="preserve">Derived from QACR-RA-01 Risk Analysis Rev 1 (draft), SRS Application – QACR Rev 1.0 and SRS Backend – QACR Rev 1.0; terminology aligned to the QACR System Component Glossary, July 2026; configuration reconciled against the minuteful_kidney_us configuration set; implementation priorities tied to development milestones; security requirements derived from the Security and Privacy Threat Analysis; each requirement mapped to its feature in QACR-APP-EPIC-01 Epic and Feature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Functional Requirements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1.25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yet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Development, test and regulatory</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 items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See the Review Register, immediately after the Contents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Delivery view</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Epic and Feature Map, derived from this document. See section 2.4</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Approved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Software safety class</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Class B per IEC 62304:2006+A1:2015</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Review Register</w:t>
      </w:r>
    </w:p>
    <w:p>
      <w:pPr>
        <w:spacing w:after="100" w:before="0" w:line="260"/>
      </w:pPr>
      <w:r>
        <w:rPr>
          <w:rFonts w:ascii="Calibri" w:cs="Calibri" w:eastAsia="Calibri" w:hAnsi="Calibri"/>
          <w:sz w:val="20"/>
          <w:szCs w:val="20"/>
        </w:rPr>
        <w:t xml:space="preserve">Everything still outstanding, gathered here so that a review pass can be made without reading the whole document to find it. The register carries open items only; once an item is decided it moves to the Decision Log appendix. Nothing here is a requirement; each row points at the requirement, appendix or source document where the item lives. References of the form Q-nn are stable, so a closed item keeps its number in the log and is not reissued.</w:t>
      </w:r>
    </w:p>
    <w:p>
      <w:pPr>
        <w:spacing w:after="100" w:before="0" w:line="260"/>
      </w:pPr>
      <w:r>
        <w:rPr>
          <w:rFonts w:ascii="Calibri" w:cs="Calibri" w:eastAsia="Calibri" w:hAnsi="Calibri"/>
          <w:sz w:val="20"/>
          <w:szCs w:val="20"/>
        </w:rPr>
        <w:t xml:space="preserve">Six groups follow. Undecided priorities, taken straight from the requirement tables. Parameter values not yet set. Conflicts between this document and one of its sources. Scope questions. Edits the Risk Analysis needs as a consequence of decisions taken here. And consequences of deferral, which are not questions but are things worth knowing before the document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8"/>
        <w:gridCol w:w="1402"/>
        <w:gridCol w:w="1560"/>
      </w:tblGrid>
      <w:tr>
        <w:trPr>
          <w:tblHeader/>
        </w:trPr>
        <w:tc>
          <w:tcPr>
            <w:tcW w:type="dxa" w:w="711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R.1 Priorities not assigned</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R.2 Parameter values not set</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R.3 Conflicts between documents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R.4 Scope questions</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R.5 Risk Analysis edits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R.6 Consequences of deferral</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groups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20" w:before="0" w:line="2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1F3864"/>
          <w:sz w:val="23"/>
          <w:szCs w:val="23"/>
        </w:rPr>
        <w:t xml:space="preserve">R.1 Priorities Not Yet Assigned</w:t>
      </w:r>
    </w:p>
    <w:p>
      <w:pPr>
        <w:spacing w:after="100" w:before="0" w:line="260"/>
      </w:pPr>
      <w:r>
        <w:rPr>
          <w:rFonts w:ascii="Calibri" w:cs="Calibri" w:eastAsia="Calibri" w:hAnsi="Calibri"/>
          <w:sz w:val="20"/>
          <w:szCs w:val="20"/>
        </w:rPr>
        <w:t xml:space="preserve">Requirements marked TBD in the body. Every other requirement carries a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32"/>
        <w:gridCol w:w="3380"/>
        <w:gridCol w:w="1859"/>
        <w:gridCol w:w="2349"/>
        <w:gridCol w:w="1560"/>
      </w:tblGrid>
      <w:tr>
        <w:trPr>
          <w:tblHeader/>
        </w:trPr>
        <w:tc>
          <w:tcPr>
            <w:tcW w:type="dxa" w:w="9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33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Section</w:t>
            </w:r>
          </w:p>
        </w:tc>
        <w:tc>
          <w:tcPr>
            <w:tcW w:type="dxa" w:w="234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apply the camera adjustments defined by the IVTS specification in response to a raised boundary condition, including white-balance adjustment on devices that support it an…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 Camera Control and Image Acquisition</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validate that the mobile algorithm version and the backend algorithm version assigned to an exam are an approved combination, and shall prevent analysis where either versio…</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system shall detect that the urine sample was not introduced into the buffer, and shall detect that insufficient fluid reached the Detection Wells, and shall block the reporting of a res…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 shall state, for each partner, whether doctor-to-patient engagement takes place within the application or outside it, and the software shall present the corresponding post-…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 Result Routing and Provider Communication</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FR-ALG-008 is the one to settle first, since it carries the only software control for RA 3.8 and RA 7.36, recorded as Q-27.</w:t>
      </w:r>
    </w:p>
    <w:p>
      <w:pPr>
        <w:pStyle w:val="Heading2"/>
        <w:spacing w:after="120" w:before="240"/>
      </w:pPr>
      <w:r>
        <w:rPr>
          <w:rFonts w:ascii="Calibri" w:cs="Calibri" w:eastAsia="Calibri" w:hAnsi="Calibri"/>
          <w:b/>
          <w:bCs/>
          <w:color w:val="1F3864"/>
          <w:sz w:val="23"/>
          <w:szCs w:val="23"/>
        </w:rPr>
        <w:t xml:space="preserve">R.2 Parameter Values Not Yet Set</w:t>
      </w:r>
    </w:p>
    <w:p>
      <w:pPr>
        <w:spacing w:after="100" w:before="0" w:line="260"/>
      </w:pPr>
      <w:r>
        <w:rPr>
          <w:rFonts w:ascii="Calibri" w:cs="Calibri" w:eastAsia="Calibri" w:hAnsi="Calibri"/>
          <w:sz w:val="20"/>
          <w:szCs w:val="20"/>
        </w:rPr>
        <w:t xml:space="preserve">Each of these is a number a requirement depends upon. The requirement states the behaviour; the value does not yet exist, so the requirement cannot be verified. Appendix B carries the full parameter list, including those now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045"/>
        <w:gridCol w:w="1741"/>
        <w:gridCol w:w="4074"/>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04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17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0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kit-identifier template: what constitutes a well-formed identifier</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 presumes one defined template. The two current clients enforce different rules, so a code one accepts the other rejects, and SPEC-03 D2 requires one rule on both. The value itself needs kit manufacturing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Q-01</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battery level below which a test cannot start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Q-02</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available storage below which a test cannot start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 Unlinked from staticData.lowDiskSpaceSize at this review, so the previous value of 80 is now only a starting point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Q-03</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 operating-system range, iOS and Android</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FR-PLT-002, FR-PLT-003, FR-RDY-003,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constraints apply and the higher governs: the IVTS device qualification, and SPTA 2.5, which bars versions no longer receiving vendor security updates. Configuration currently admits iOS 13.0.0 and Android 8.0.0, below the 15.0 and 9.0 the application SRS states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hardware specification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derived from the analytical studies. Realised by staticData.supportedHardwareConfig, which the backend schema comments as Android-only — confirm whether iOS is enforced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Q-05</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residence time, release-button window, colour-evolution period and scanning window</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to FR-TIM-011,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established by the timing-flex study. Confirmed at review that the study completes before milestone 3 and is not needed for milestones 1 and 2, so the milestone-1 build enforces these windows against provisional values. A date for the study is still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Q-06</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limit from sample collection to Sample Pod connection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Currently specified as 30 minutes; to be confirmed and fixed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Q-09</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IVTS acceptance thresholds and minimum valid frames</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in the IVTS specification and fixed in the application. Unlinked from minValidFrames at this review, so the shared configuration default no longer applies and the IVTS value governs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Q-37</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Period after which the user is told how a result will reach them rather than continuing to wait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New with FR-COM-011. The requirement holds a waiting state until a result arrives; the point at which it stops waiting and explains instead needs a value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R.3 Conflicts Between Documents</w:t>
      </w:r>
    </w:p>
    <w:p>
      <w:pPr>
        <w:spacing w:after="100" w:before="0" w:line="260"/>
      </w:pPr>
      <w:r>
        <w:rPr>
          <w:rFonts w:ascii="Calibri" w:cs="Calibri" w:eastAsia="Calibri" w:hAnsi="Calibri"/>
          <w:sz w:val="20"/>
          <w:szCs w:val="20"/>
        </w:rPr>
        <w:t xml:space="preserve">Places where this document and one of its sources say different things. Each needs a decision about which is right, not simply an edit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2"/>
        <w:gridCol w:w="2315"/>
        <w:gridCol w:w="1977"/>
        <w:gridCol w:w="3566"/>
        <w:gridCol w:w="1560"/>
      </w:tblGrid>
      <w:tr>
        <w:trPr>
          <w:tblHeader/>
        </w:trPr>
        <w:tc>
          <w:tcPr>
            <w:tcW w:type="dxa" w:w="6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3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Conflict</w:t>
            </w:r>
          </w:p>
        </w:tc>
        <w:tc>
          <w:tcPr>
            <w:tcW w:type="dxa" w:w="19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356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requires the software to prevent the user from completing a scan where the QR code is missing or damaged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against the product</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does this and nothing can: the identifier is printed on the Test Board and is read during the scan, so a scan with no readable code completes and the test is refused afterwards. Raised at the SPEC-03 review; the requirement was left as written at Guy's direction, and the manual route was taken out into FR-KIT-009 at milestone 5 rather than folded in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Q-15</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states the software prevents a used Test Board being reused; the application can only detect reuse at the point of scanning</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7.1 against FR-KIT-004</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 FR-KIT-004 is now milestone 3, so the detection and the alert that complements it sit at the same milestone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Q-16</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uses a component name the glossary does not define</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says “Urine Collection Tool”; the glossary says Sample Collection Tool</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Q-17</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Risk Analysis mitigation line is incomplete</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7.20, second mitigation line: “The the user not to use the kit if any component appears soiled”</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session-token expiry period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states 24 hours and the requirement quotes it. Flagged at review as incorrect for this application. Researched at the SPEC-02 review: no expiry or lifetime is held client-side at all, so the period is enforced entirely by the backend and the question cannot be settled from the application. A value is needed, and the backend SRS aligned to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Q-81</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 prevention against saving the results letter to the photo library</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 against FR-SHR-015 and FR-SHR-016</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For the security officer. FR-SEC-007 prevents the user screenshotting any screen carrying result information, on the strength of SPTA 4.14. One of the deferred sharing options saves the results letter into the device photo library, where every application can read it. Both cannot be right as they stand: either the letter is an approved export and the screenshot rule is about something narrower, or saving to the gallery is not an acceptable route. Raised from the predecessor application's sharing screens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Q-18</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user-facing name exists for the Peel-Off Seal</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 Appendix A.2</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regulatory to choose a name; the instructional copy cannot be drafted without it. Candidates considered were Pull Tab, Sticker and Cover. The Transfer Valve is settled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R.4 Scope Questions</w:t>
      </w:r>
    </w:p>
    <w:p>
      <w:pPr>
        <w:spacing w:after="100" w:before="0" w:line="260"/>
      </w:pPr>
      <w:r>
        <w:rPr>
          <w:rFonts w:ascii="Calibri" w:cs="Calibri" w:eastAsia="Calibri" w:hAnsi="Calibri"/>
          <w:sz w:val="20"/>
          <w:szCs w:val="20"/>
        </w:rPr>
        <w:t xml:space="preserve">Questions whose answer changes what is in the document rather than how something is worded.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146"/>
        <w:gridCol w:w="1572"/>
        <w:gridCol w:w="4141"/>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14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1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Q-107</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conformance to WCAG AA add beyond the accessibility requirements now written, and does ADA raise anything further?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FR-TXT-022, FR-TXT-023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Guy's direction is that the product should be accessible to WCAG AA. FR-TXT-022 and FR-TXT-023 cover text scaling and the screen reader; the rest of AA — contrast, focus order, target sizes, motion — is unscoped and is deliberately not claimed by either requirement. ADA is a separate question and is not yet assessed. To be scoped as its own piece of work</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Q-21</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doctor-to-patient engagement take place within the application?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decision per partner. It determines whether the deferred chat and consultation entries apply at all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Q-22</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grade-6 reading level apply to mandated regulatory wording?</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against FR-PRT-003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Regulatory to confirm. Some required wording may not be reducible to grade 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Q-23</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the results center contain?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questions: whether invalidated tests appear, and whether results belonging to another registered user on the same phone number are excluded. The second bears on RA 6.4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Q-64</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demonstration build need real quantitation?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moved to milestone 3 at review; FR-RES-006 at milestone 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 at review when FR-ALG-001 moved to milestone 3. If the demonstration presents a fixed payload per FR-RES-006 then it does not, and the move is right. Confirm, because it is the difference between the demonstration needing the analysis pipeline or not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Q-65</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steps of the guided flow are conditional, and on what parameter?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FR-FLW-006</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mechanism is now a requirement. The list of conditional steps and the parameter governing each is needed before design verification. The Date of Birth confirmation is the first known case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Q-66</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gesture reveals the demonstration navigation controls?</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FR-FLW-007</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sustained press on the start control and a device shake were both suggested. It has to be something a user cannot reach accidentally. Widened at the SPEC-04 review: there are two controls, a section navigator and a fast-forward to the end of the current section, so the question is whether one gesture reveals both or each has its own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Q-24</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Will a raw or raw-equivalent image representation be used, and where?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FR-IMG-016</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localLearnedRawEnabled flag and its requirement are removed, and it is settled that the mechanism will not be the same. Whether raw is used at all, and whether normalisation happens on the device or in the backend, is still open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Q-39</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results center be delivered in time for milestone 3?</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at milestone 3 against the whole of section 18 at milestone 4</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Whatever is decided, the results center and the six controls that protect access to it are to carry the same milestone, so that the screen is never committed without its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Q-40</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FR-ALG-002 move to milestone 1 as well?</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at 1, FR-ALG-002 at 3, FR-RES-006 new at 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review recorded a priority change against this conflict and also accepted the recommendation, which was not to move it. FR-RES-006 should remove the need, because a demonstration build presents a fixed payload and exercises no algorithm version. Confirm that FR-ALG-002 stays at 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Q-41</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provider integration testing need to be milestone 3?</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FR-LCM-016 at milestone 4 against FR-SHR-001 to FR-SHR-008, all at milestone 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Left open when FR-LCM-006 moved to 3. Provider routing is committed for the study; the integration test that proves a result reaches the right provider is not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Q-99</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capture guidance recorded, as the instructional flow is?</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against FR-FLW-008</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is settled as recorded audio. The capture guidance changes in real time and is drawn from a finite set of messages, so recording it per message is feasible, but it has not been confirmed. It decides whether the guidance wording is authored in the content set alongside its recording or generated from the displayed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R.5 Edits the Risk Analysis Needs</w:t>
      </w:r>
    </w:p>
    <w:p>
      <w:pPr>
        <w:spacing w:after="100" w:before="0" w:line="260"/>
      </w:pPr>
      <w:r>
        <w:rPr>
          <w:rFonts w:ascii="Calibri" w:cs="Calibri" w:eastAsia="Calibri" w:hAnsi="Calibri"/>
          <w:sz w:val="20"/>
          <w:szCs w:val="20"/>
        </w:rPr>
        <w:t xml:space="preserve">Consequences in the Risk Analysis of decisions recorded in this document. Appendix D gives the full assessment for each requirement not included; these are the items where an RA edit is still outstanding.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231"/>
        <w:gridCol w:w="1808"/>
        <w:gridCol w:w="3820"/>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Item</w:t>
            </w:r>
          </w:p>
        </w:tc>
        <w:tc>
          <w:tcPr>
            <w:tcW w:type="dxa" w:w="18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rows</w:t>
            </w:r>
          </w:p>
        </w:tc>
        <w:tc>
          <w:tcPr>
            <w:tcW w:type="dxa" w:w="38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still name the in-app instructional flow for component inspection</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1.6 and RA 3.6</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leaving the User Manual clause. The corresponding requirement is not included; see Appendix 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still names the in-app instructional flow for Sample Pod seating</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7.22</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The corresponding requirement is not included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depend solely on a requirement whose priority is undecided</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3.8 (pre 12, post 2) and RA 7.36 (pre 18, post 3), both relying on FR-ALG-008</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cleared in the next Risk Analysis revision. Either assign FR-ALG-008 a milestone of 1 to 3, or re-examine those two rows. They are the only rows in the analysis with no requirement at milestone 1 to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Q-28</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has no software control in this version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7.21 (pre 6, post 4, severity 1), relying on FR-ACC-003, FR-ACC-007 and FR-ACC-008, all deferred</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 the residual, or bring one of the three into scope. A user who forgets their PIN currently has no recovery path</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Q-29</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comprehension has no stated verification activity</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7.6 and 7.20 cite usability testing of the instruction; the requirement that verified it is not included</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 the Usability Engineering Plan covers it, otherwise those three clauses have no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Q-67</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trace for the specular-reflection boundary</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FR-IMG-021, new at review</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Specular reflection is a lighting condition, so RA 7.11 and RA 7.15 are the candidates. Confirm which rows it belongs to, or add a row,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Q-42</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rests on an application control that does not exist until milestone 3</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against FR-RDY-004, the sole remaining software control after FR-PLT-007 was withdrawn</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Confirmed at review that the version check alone carries the clause. The Risk Analysis should drop any reference to automatic update, and should record that the application-side control arrives at milestone 3 while the backend validation carries the risk until then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Q-43</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 of Birth is no longer requested at login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FR-AUT-009 withdrawn</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now traces to FR-AUT-010, FR-AUT-012, FR-AUT-013, FR-AUT-014 and FR-SHR-003, all at milestone 3. If the Risk Analysis names a login-time Date of Birth check, that clause should be removed when it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R.6 Consequences of Deferral</w:t>
      </w:r>
    </w:p>
    <w:p>
      <w:pPr>
        <w:spacing w:after="100" w:before="0" w:line="260"/>
      </w:pPr>
      <w:r>
        <w:rPr>
          <w:rFonts w:ascii="Calibri" w:cs="Calibri" w:eastAsia="Calibri" w:hAnsi="Calibri"/>
          <w:sz w:val="20"/>
          <w:szCs w:val="20"/>
        </w:rPr>
        <w:t xml:space="preserve">Not questions, and not defects. Each is a capability that a source document assumes exists but which is future development at milestone 5, so the assumption does not hold in this version. They are listed because they are easy to lose sight of once an item carries no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231"/>
        <w:gridCol w:w="1572"/>
        <w:gridCol w:w="4057"/>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Consequence</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Deferred item</w:t>
            </w:r>
          </w:p>
        </w:tc>
        <w:tc>
          <w:tcPr>
            <w:tcW w:type="dxa" w:w="405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affected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Q-30</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Elapsed time can be derived from a source the user can alter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FR-TIM-004, milestone 5</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Until implemented, the timing windows in section 12 can be defeated by changing the device clock. RA 4.18 assumes the timers are enforceable, and those windows are the only remaining software control on RA 3.9 and 3.10. The FR-KIT-007 window between tests is judged against the same alterable clock. Settled at the SPEC-03 review: an alterable clock is accepted there and no requirement is wanted for it, so FR-TIM-004 stays scoped to elapsed time within a test, which is what RA 4.18 relies 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Q-31</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enforcement of demonstration behaviour is deferred</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now milestone 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FR-CFG-004 came into scope at milestone 1, so enforcement is no longer deferred. FR-RES-006 remains the application-side control alongside it. Retained here until the register is next reconciled, so the closure is visible rather than silent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Q-33</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 defined behaviour for a configured blocked state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 now milestone 3</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FR-CFG-006 came into scope and defines the response: no test starts, the user is told the reason and given a route to support. Retained here until the register is next reconciled, so the closure is visible rather than silent. What blockFlow, appDownTime and checkPatientEndOfService may each return is the subject of the SPEC-01 proposal to define the refusal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events will reach the provider directly rather than through the proxy</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 milestone 5</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FR-ANL-002 and FR-ANL-003 still bar personal and health information, so the exposure is limited to event metadata</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Q-36</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SRS carries requirements that are no longer in force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AUT.9 is withdrawn with FR-AUT-009; TSM.16 and PER.1 are not included; CON.3, CON.5, TSM.35 to TSM.39, TSM.41 to TSM.43, TSM.46, EX.2 and OTH.1 are deferred; TSM.44 is scoped to FR-SHR-016</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Mark them accordingly when the application SRS is next revised, so it does not read as though they are all still required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Five requirement identifiers are unaccounted for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FR-IMG-018, FR-IMG-019, FR-SHR-009, FR-SHR-010, FR-TIM-013 appear in none of the three places an identifier may live</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now records the gap. Before the document is finalised, confirm whether these ever carried text; if they did, each needs a withdrawal row of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endpoint contract and the invalid-reason enumeration have no owner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FR-RES-001, FR-ALG-012, FR-TXT-021</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application-side request is now a requirement, but the route, the authentication scheme, the payload schema and the enumeration of invalid reasons still need a named owner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Development Plan has no owner and no date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FR-LCM-017, and the Appendix D exclusion of FR-LCM-001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obligations rest on it: the scope of release testing, and the IEC 62304 Class B development standards. A question to put to RAQA accompanies this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Appendix D claim about readiness thresholds is broader than the requirements support</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FR-CFG-005 row</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until the configuration decisions are implemented. FR-RDY-008 is now fixed in the application, so the claim is closer to true; FR-RDY-002 and FR-RDY-004 still name configuration keys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00" w:before="0" w:line="260"/>
      </w:pPr>
      <w:r>
        <w:rPr>
          <w:rFonts w:ascii="Calibri" w:cs="Calibri" w:eastAsia="Calibri" w:hAnsi="Calibri"/>
          <w:sz w:val="20"/>
          <w:szCs w:val="20"/>
        </w:rPr>
        <w:t xml:space="preserve">This document establishes the functional requirements for the QACR – Kidney Check mobile application. It is the foundation document from which the Software Requirements Specification, the software architecture and design specifications, and the verification protocols are derived.</w:t>
      </w:r>
    </w:p>
    <w:p>
      <w:pPr>
        <w:spacing w:after="100" w:before="0" w:line="260"/>
      </w:pPr>
      <w:r>
        <w:rPr>
          <w:rFonts w:ascii="Calibri" w:cs="Calibri" w:eastAsia="Calibri" w:hAnsi="Calibri"/>
          <w:sz w:val="20"/>
          <w:szCs w:val="20"/>
        </w:rPr>
        <w:t xml:space="preserve">The requirements have been derived from four sources. The first is the QACR Risk Analysis (QACR-RA-01, Rev 1 draft): every risk-control measure in that document that is realised in software, or that depends on the application to convey information for safety, has been translated into one or more requirements here. The second is the pair of Software Requirements Specifications, for the application and for the backend (SRS Application – QACR and SRS Backend – QACR, both Rev 1.0), whose requirements have been carried forward and restated. Where the two describe the same control from opposite sides, one requirement states it and cites both. The third is the Security and Privacy Threat Analysis, from which every threat control realised in the application has been translated into a requirement; Appendix G records that mapping.</w:t>
      </w:r>
    </w:p>
    <w:p>
      <w:pPr>
        <w:spacing w:after="100" w:before="0" w:line="260"/>
      </w:pPr>
      <w:r>
        <w:rPr>
          <w:rFonts w:ascii="Calibri" w:cs="Calibri" w:eastAsia="Calibri" w:hAnsi="Calibri"/>
          <w:sz w:val="20"/>
          <w:szCs w:val="20"/>
        </w:rPr>
        <w:t xml:space="preserve">A note on the threat analysis used. The document reviewed is the Minuteful – Kidney Test Security and Privacy Threat Analysis, MNT-KT-US-SPTA-01 Rev 6.0 of 14 November 2024. Its device description refers to a reagent strip and a Color-Board, so it describes the predecessor product rather than QACR, while the SRS cites a separate Q-ACR-US-SPTA-01 Rev 1.0. The two products share their application and backend architecture, and every threat in Rev 6.0 concerns that shared architecture rather than the kit, so it has been treated as the applicable threat model. When the QACR threat analysis is issued, the mapping in Appendix G should be re-run against it and any threat unique to QACR added.</w:t>
      </w:r>
    </w:p>
    <w:p>
      <w:pPr>
        <w:spacing w:after="100" w:before="0" w:line="260"/>
      </w:pPr>
      <w:r>
        <w:rPr>
          <w:rFonts w:ascii="Calibri" w:cs="Calibri" w:eastAsia="Calibri" w:hAnsi="Calibri"/>
          <w:sz w:val="20"/>
          <w:szCs w:val="20"/>
        </w:rPr>
        <w:t xml:space="preserve">Component terminology follows the QACR System Component Glossary (July 2026), which is the authority and is not reproduced here. Two rules from it are stated as requirements because they bind the software: the grade-6 reading level for all user-facing text, and the restriction of displayed component names to the approved user-facing set. Both are in section 10. Where the earlier documents use a different name for the same component, Appendix A maps them.</w:t>
      </w:r>
    </w:p>
    <w:p>
      <w:pPr>
        <w:pStyle w:val="Heading1"/>
        <w:spacing w:after="160" w:before="320"/>
      </w:pPr>
      <w:r>
        <w:rPr>
          <w:rFonts w:ascii="Calibri" w:cs="Calibri" w:eastAsia="Calibri" w:hAnsi="Calibri"/>
          <w:b/>
          <w:bCs/>
          <w:color w:val="1F3864"/>
          <w:sz w:val="28"/>
          <w:szCs w:val="28"/>
        </w:rPr>
        <w:t xml:space="preserve">2. How to Read This Document</w:t>
      </w:r>
    </w:p>
    <w:p>
      <w:pPr>
        <w:spacing w:after="100" w:before="0" w:line="260"/>
      </w:pPr>
      <w:r>
        <w:rPr>
          <w:rFonts w:ascii="Calibri" w:cs="Calibri" w:eastAsia="Calibri" w:hAnsi="Calibri"/>
          <w:sz w:val="20"/>
          <w:szCs w:val="20"/>
        </w:rPr>
        <w:t xml:space="preserve">Requirements are grouped into functional areas and ordered to follow the user's path through a test: what must be true of the device before a test can begin, who the user is, what kit they are holding, how they are guided through the procedure, how time and image quality are controlled, how data is transmitted and analysed, and how the result is presented and shared. Cross-cutting concerns — security, and the lifecycle controls that risk analysis places on the development process — are placed at the end.</w:t>
      </w:r>
    </w:p>
    <w:p>
      <w:pPr>
        <w:spacing w:after="100" w:before="0" w:line="260"/>
      </w:pPr>
      <w:r>
        <w:rPr>
          <w:rFonts w:ascii="Calibri" w:cs="Calibri" w:eastAsia="Calibri" w:hAnsi="Calibri"/>
          <w:sz w:val="20"/>
          <w:szCs w:val="20"/>
        </w:rPr>
        <w:t xml:space="preserve">Each requirement is stated as a single testable obligation using “shall”. Where a requirement is conditional, the condition precedes the obligation.</w:t>
      </w:r>
    </w:p>
    <w:p>
      <w:pPr>
        <w:pStyle w:val="Heading2"/>
        <w:spacing w:after="120" w:before="240"/>
      </w:pPr>
      <w:r>
        <w:rPr>
          <w:rFonts w:ascii="Calibri" w:cs="Calibri" w:eastAsia="Calibri" w:hAnsi="Calibri"/>
          <w:b/>
          <w:bCs/>
          <w:color w:val="1F3864"/>
          <w:sz w:val="23"/>
          <w:szCs w:val="23"/>
        </w:rPr>
        <w:t xml:space="preserve">2.1 Requirement Identifiers</w:t>
      </w:r>
    </w:p>
    <w:p>
      <w:pPr>
        <w:spacing w:after="100" w:before="0" w:line="260"/>
      </w:pPr>
      <w:r>
        <w:rPr>
          <w:rFonts w:ascii="Calibri" w:cs="Calibri" w:eastAsia="Calibri" w:hAnsi="Calibri"/>
          <w:sz w:val="20"/>
          <w:szCs w:val="20"/>
        </w:rPr>
        <w:t xml:space="preserve">Identifiers take the form FR-XXX-nnn, where XXX denotes the functional area. Identifiers are permanent: a requirement that is withdrawn is marked as such and its identifier is not reissued.</w:t>
      </w:r>
    </w:p>
    <w:p>
      <w:pPr>
        <w:spacing w:after="100" w:before="0" w:line="260"/>
      </w:pPr>
      <w:r>
        <w:rPr>
          <w:rFonts w:ascii="Calibri" w:cs="Calibri" w:eastAsia="Calibri" w:hAnsi="Calibri"/>
          <w:sz w:val="20"/>
          <w:szCs w:val="20"/>
        </w:rPr>
        <w:t xml:space="preserve">From this revision that rule is enforced rather than merely stated. Every identifier ever issued is recorded in a manifest, and each build checks the manifest against the four places an identifier may live — the requirement tables, Appendix D, Appendix E, or a “formerly” note in Appendix E. An identifier that disappears from all four, or that returns to the body after being withdrawn, fails the build. The same rule and the same check apply to the BL references in Appendix E, which were renumbered between earlier revisions and are stable from here. Five identifiers were already unaccounted for when the check was introduced; they are listed in Appendix D.4 rather than quietly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2"/>
        <w:gridCol w:w="6998"/>
        <w:gridCol w:w="1560"/>
      </w:tblGrid>
      <w:tr>
        <w:trPr>
          <w:tblHeader/>
        </w:trPr>
        <w:tc>
          <w:tcPr>
            <w:tcW w:type="dxa" w:w="152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699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Functional area</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Platform, distribution and compatibility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readiness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identification and authentication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and privacy acknowledgement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validation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 structure and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content — what the application says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state retention, interruption and cancellation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Image capture and validation (IVTS)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control and image acquisition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transmission and backend communication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Analysis, quality control and algorithm version management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access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and application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provider communication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and help</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and instrumentation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data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configuration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lifecycle and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2.2 Implementation Priority</w:t>
      </w:r>
    </w:p>
    <w:p>
      <w:pPr>
        <w:spacing w:after="100" w:before="0" w:line="260"/>
      </w:pPr>
      <w:r>
        <w:rPr>
          <w:rFonts w:ascii="Calibri" w:cs="Calibri" w:eastAsia="Calibri" w:hAnsi="Calibri"/>
          <w:sz w:val="20"/>
          <w:szCs w:val="20"/>
        </w:rPr>
        <w:t xml:space="preserve">Each requirement carries the milestone at which it is first needed. The number in the Pri. column is the milestone number. The scale is cumulative: a requirement marked 1 is not less important than one marked 3, it simply has to exist earlier. Everything marked 1, 2 or 3 is required for the clinical study and the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6"/>
        <w:gridCol w:w="2482"/>
        <w:gridCol w:w="1489"/>
        <w:gridCol w:w="3753"/>
        <w:gridCol w:w="1560"/>
      </w:tblGrid>
      <w:tr>
        <w:trPr>
          <w:tblHeader/>
        </w:trPr>
        <w:tc>
          <w:tcPr>
            <w:tcW w:type="dxa" w:w="79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Priority</w:t>
            </w:r>
          </w:p>
        </w:tc>
        <w:tc>
          <w:tcPr>
            <w:tcW w:type="dxa" w:w="248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148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Date</w:t>
            </w:r>
          </w:p>
        </w:tc>
        <w:tc>
          <w:tcPr>
            <w:tcW w:type="dxa" w:w="37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app</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mid-October 2026</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to demonstrate the product. The shortest path through a working test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December 2026</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before an intended user attempts the test unaided. A checkpoint rather than a delivery gate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and submission — must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Mandatory for the study and the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Wanted for the study but not gating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Agreed in principle and not in scope for this version. Held in the body, with its section and its traceability, so that a later revision has somewhere to start rather than a list to reconstruct. No date, and no verification obligation for this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yet decided</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milestone and therefore no owner. Listed in the Review Register at R.1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Milestones 3 and 4 share a date; the difference between them is commitment rather than timing. Two consequences follow and are applied throughout this document. A requirement at milestone 3 may not depend on one at milestone 4, because if milestone 4 is not delivered the milestone-3 obligation cannot be met. And there is no milestone between the clinical study and the submission: everything required for the submission is required for the study. Where behaviour is required for the submission but should not be shown to study participants, it is held behind a feature flag at milestone 3 rather than deferred, which is why FR-AUT-010 and FR-AUT-012 sit at 3.</w:t>
      </w:r>
    </w:p>
    <w:p>
      <w:pPr>
        <w:spacing w:after="200" w:before="0" w:line="260"/>
      </w:pPr>
      <w:r>
        <w:rPr>
          <w:rFonts w:ascii="Calibri" w:cs="Calibri" w:eastAsia="Calibri" w:hAnsi="Calibri"/>
          <w:sz w:val="20"/>
          <w:szCs w:val="20"/>
        </w:rPr>
        <w:t xml:space="preserve">Every requirement in the body carries a milestone or is marked TBD. Milestone 5 is future development: agreed, held in its own section with its traceability, and carrying no date and no verification obligation for this submission. Requirements identified as not to be implemented are in Appendix D and carry no milestone at all. The Priority Summary appendix gives the distribution by section, and the Review Register lists the requirements whose milestone is undecided.</w:t>
      </w:r>
    </w:p>
    <w:p>
      <w:pPr>
        <w:spacing w:after="100" w:before="0" w:line="260"/>
      </w:pPr>
      <w:r>
        <w:rPr>
          <w:rFonts w:ascii="Calibri" w:cs="Calibri" w:eastAsia="Calibri" w:hAnsi="Calibri"/>
          <w:sz w:val="20"/>
          <w:szCs w:val="20"/>
        </w:rPr>
        <w:t xml:space="preserve">The Source column records where the requirement came from, so that the traceability matrices in the Risk Analysis and the SRS can be completed without re-deriving the linkage. “RA n.n” refers to a risk row in QACR-RA-01. “SPTA n.n” refers to a threat in the Security and Privacy Threat Analysis, numbered by its STRIDE group. “SRS XXX.n” refers to an individual requirement in the application SRS, and “SRS-BE XXX.n” to one in the backend SRS, using the identifier prefixes below. Where a requirement is stated in neither document but is necessary for a stated risk control to be effective, the source is marked “derived” and the risk it supports is named.</w:t>
      </w:r>
    </w:p>
    <w:p>
      <w:pPr>
        <w:spacing w:after="100" w:before="0" w:line="260"/>
      </w:pPr>
      <w:r>
        <w:rPr>
          <w:rFonts w:ascii="Calibri" w:cs="Calibri" w:eastAsia="Calibri" w:hAnsi="Calibri"/>
          <w:sz w:val="20"/>
          <w:szCs w:val="20"/>
        </w:rPr>
        <w:t xml:space="preserve">The SRS numbers its requirements by feature, restarting at 1 in each. The prefixes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88"/>
        <w:gridCol w:w="1842"/>
        <w:gridCol w:w="1690"/>
        <w:gridCol w:w="1560"/>
      </w:tblGrid>
      <w:tr>
        <w:trPr>
          <w:tblHeader/>
        </w:trPr>
        <w:tc>
          <w:tcPr>
            <w:tcW w:type="dxa" w:w="11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38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feature</w:t>
            </w:r>
          </w:p>
        </w:tc>
        <w:tc>
          <w:tcPr>
            <w:tcW w:type="dxa" w:w="184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Range</w:t>
            </w:r>
          </w:p>
        </w:tc>
        <w:tc>
          <w:tcPr>
            <w:tcW w:type="dxa" w:w="169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clause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External interfaces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EX.1 – EX.2</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AUT.n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AUT.1 – AUT.12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STM.n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Startup mode</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STM.1 – STM.10</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TSM.n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TSM.1 – TSM.46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CON.n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consent</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CON.1 – CON.5</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LOC.n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Installation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LOC.1 – LOC.2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ATT.n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system attributes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ATT.1 – ATT.6</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PER.n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performance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PER.1 – PER.6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Other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OTH.1</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The backend SRS uses its own prefixes, cited as SRS-BE: EX for external interfaces, SEC for cybersecurity, AUT for authentication, COM for communication mode, AD for administrator mode, LOG for logical database, CON for user consent, PIN for the PIN code and TSM for test mode. Where a requirement here names both an SRS and an SRS-BE identifier, the obligation is shared between the application and the backend.</w:t>
      </w:r>
    </w:p>
    <w:p>
      <w:pPr>
        <w:spacing w:after="100" w:before="120" w:line="260"/>
      </w:pPr>
      <w:r>
        <w:rPr>
          <w:rFonts w:ascii="Calibri" w:cs="Calibri" w:eastAsia="Calibri" w:hAnsi="Calibri"/>
          <w:sz w:val="20"/>
          <w:szCs w:val="20"/>
        </w:rPr>
        <w:t xml:space="preserve">Two points to confirm when the SRS is updated. First, the SRS carries a note that “ST.7 – ST.11 are associated to the strip and not relevant for the Q-ACR”, which suggests an earlier numbering in the originating document; the identifiers cited here are those the current SRS Rev 1.0 actually renders. Second, several SRS requirements are not included or are deferred, and should be marked as such in the SRS rather than left in force: TSM.16 and PER.1 per Appendix D, and CON.3, CON.5, TSM.36 to TSM.39, TSM.41 to TSM.43, TSM.46, EX.2 and OTH.1 per Appendix E. TSM.44 is unresolved and appears as open item O-12.</w:t>
      </w:r>
    </w:p>
    <w:p>
      <w:pPr>
        <w:pStyle w:val="Heading2"/>
        <w:spacing w:after="120" w:before="240"/>
      </w:pPr>
      <w:r>
        <w:rPr>
          <w:rFonts w:ascii="Calibri" w:cs="Calibri" w:eastAsia="Calibri" w:hAnsi="Calibri"/>
          <w:b/>
          <w:bCs/>
          <w:color w:val="1F3864"/>
          <w:sz w:val="23"/>
          <w:szCs w:val="23"/>
        </w:rPr>
        <w:t xml:space="preserve">2.4 The Feature Column</w:t>
      </w:r>
    </w:p>
    <w:p>
      <w:pPr>
        <w:spacing w:after="100" w:before="0" w:line="260"/>
      </w:pPr>
      <w:r>
        <w:rPr>
          <w:rFonts w:ascii="Calibri" w:cs="Calibri" w:eastAsia="Calibri" w:hAnsi="Calibri"/>
          <w:sz w:val="20"/>
          <w:szCs w:val="20"/>
        </w:rPr>
        <w:t xml:space="preserve">Each requirement carries the feature that owns it in QACR-APP-EPIC-01, the Epic and Feature Map. That document rearranges these same requirements along what the user does and what the application must be, so that scope can be discussed per milestone and design work has something to attach to. It adds no requirements and changes none; this document remains the authority.</w:t>
      </w:r>
    </w:p>
    <w:p>
      <w:pPr>
        <w:spacing w:after="100" w:before="0" w:line="260"/>
      </w:pPr>
      <w:r>
        <w:rPr>
          <w:rFonts w:ascii="Calibri" w:cs="Calibri" w:eastAsia="Calibri" w:hAnsi="Calibri"/>
          <w:sz w:val="20"/>
          <w:szCs w:val="20"/>
        </w:rPr>
        <w:t xml:space="preserve">A reference such as F04.3 is the third feature of epic E04. Every requirement in this document belongs to exactly one feature, and every deferred item in Appendix E carries one too. The mapping is generated rather than typed, and both documents fail to build if a requirement has no feature or a feature names a requirement that no longer exists, so the two cannot quietly drift apart.</w:t>
      </w:r>
    </w:p>
    <w:p>
      <w:pPr>
        <w:spacing w:after="120" w:before="0" w:line="260"/>
      </w:pPr>
      <w:r>
        <w:rPr>
          <w:rFonts w:ascii="Calibri" w:cs="Calibri" w:eastAsia="Calibri" w:hAnsi="Calibri"/>
          <w:sz w:val="20"/>
          <w:szCs w:val="20"/>
        </w:rPr>
        <w:t xml:space="preserve">The practical use is answering a question that arises constantly in review: this requirement has changed, what else does that touch? Look up the feature, then read that feature's other requirements in the epic map.</w:t>
      </w:r>
    </w:p>
    <w:p>
      <w:pPr>
        <w:pStyle w:val="Heading2"/>
        <w:spacing w:after="120" w:before="240"/>
      </w:pPr>
      <w:r>
        <w:rPr>
          <w:rFonts w:ascii="Calibri" w:cs="Calibri" w:eastAsia="Calibri" w:hAnsi="Calibri"/>
          <w:b/>
          <w:bCs/>
          <w:color w:val="1F3864"/>
          <w:sz w:val="23"/>
          <w:szCs w:val="23"/>
        </w:rPr>
        <w:t xml:space="preserve">2.5 System Parameters</w:t>
      </w:r>
    </w:p>
    <w:p>
      <w:pPr>
        <w:spacing w:after="100" w:before="0" w:line="260"/>
      </w:pPr>
      <w:r>
        <w:rPr>
          <w:rFonts w:ascii="Calibri" w:cs="Calibri" w:eastAsia="Calibri" w:hAnsi="Calibri"/>
          <w:sz w:val="20"/>
          <w:szCs w:val="20"/>
        </w:rPr>
        <w:t xml:space="preserve">Appendix B lists every system parameter this document depends upon, states whether it is fixed in the application or supplied by configuration, and records those still to be valued. The Review Register at the front lists the same open values as actionable items.</w:t>
      </w:r>
    </w:p>
    <w:p>
      <w:pPr>
        <w:pStyle w:val="Heading1"/>
        <w:spacing w:after="160" w:before="320"/>
      </w:pPr>
      <w:r>
        <w:rPr>
          <w:rFonts w:ascii="Calibri" w:cs="Calibri" w:eastAsia="Calibri" w:hAnsi="Calibri"/>
          <w:b/>
          <w:bCs/>
          <w:color w:val="1F3864"/>
          <w:sz w:val="28"/>
          <w:szCs w:val="28"/>
        </w:rPr>
        <w:t xml:space="preserve">3. Application Overview</w:t>
      </w:r>
    </w:p>
    <w:p>
      <w:pPr>
        <w:spacing w:after="100" w:before="0" w:line="260"/>
      </w:pPr>
      <w:r>
        <w:rPr>
          <w:rFonts w:ascii="Calibri" w:cs="Calibri" w:eastAsia="Calibri" w:hAnsi="Calibri"/>
          <w:sz w:val="20"/>
          <w:szCs w:val="20"/>
        </w:rPr>
        <w:t xml:space="preserve">The QACR – Kidney Check is a prescription-only in vitro diagnostic system for home use, providing quantitative determination of albumin, creatinine and the albumin-to-creatinine ratio in human urine. The application is one component of that system, alongside the physical kit, the backend services and the analysis algorithms.</w:t>
      </w:r>
    </w:p>
    <w:p>
      <w:pPr>
        <w:spacing w:after="100" w:before="0" w:line="260"/>
      </w:pPr>
      <w:r>
        <w:rPr>
          <w:rFonts w:ascii="Calibri" w:cs="Calibri" w:eastAsia="Calibri" w:hAnsi="Calibri"/>
          <w:sz w:val="20"/>
          <w:szCs w:val="20"/>
        </w:rPr>
        <w:t xml:space="preserve">The application performs four roles that bear on safety. It is the sole means of guiding a lay user through a multi-stage physical procedure. It is the sole means of enforcing the two time windows on which assay validity depends. It is the means by which image quality sufficient for colorimetric analysis is obtained across a heterogeneous population of smartphone cameras. And it is the means by which a result is associated with the correct patient record and routed to the correct provider.</w:t>
      </w:r>
    </w:p>
    <w:p>
      <w:pPr>
        <w:spacing w:after="100" w:before="0" w:line="260"/>
      </w:pPr>
      <w:r>
        <w:rPr>
          <w:rFonts w:ascii="Calibri" w:cs="Calibri" w:eastAsia="Calibri" w:hAnsi="Calibri"/>
          <w:sz w:val="20"/>
          <w:szCs w:val="20"/>
        </w:rPr>
        <w:t xml:space="preserve">Two design principles follow from the Risk Analysis and are applied throughout the requirements below. First, where a precondition for a valid test is not satisfied, the application blocks the action rather than warning the user; the user is not placed in a position of judging whether to proceed. Second, where validity cannot be established, no result is produced; the application never presents a result of reduced or unknown reliability.</w:t>
      </w:r>
    </w:p>
    <w:p>
      <w:pPr>
        <w:pStyle w:val="Heading2"/>
        <w:spacing w:after="120" w:before="240"/>
      </w:pPr>
      <w:r>
        <w:rPr>
          <w:rFonts w:ascii="Calibri" w:cs="Calibri" w:eastAsia="Calibri" w:hAnsi="Calibri"/>
          <w:b/>
          <w:bCs/>
          <w:color w:val="1F3864"/>
          <w:sz w:val="23"/>
          <w:szCs w:val="23"/>
        </w:rPr>
        <w:t xml:space="preserve">3.1 The Test Sequence the Application Guides</w:t>
      </w:r>
    </w:p>
    <w:p>
      <w:pPr>
        <w:spacing w:after="100" w:before="0" w:line="260"/>
      </w:pPr>
      <w:r>
        <w:rPr>
          <w:rFonts w:ascii="Calibri" w:cs="Calibri" w:eastAsia="Calibri" w:hAnsi="Calibri"/>
          <w:sz w:val="20"/>
          <w:szCs w:val="20"/>
        </w:rPr>
        <w:t xml:space="preserve">The requirements in sections 9 to 12 follow the physical sequence below, which is derived from the component descriptions in the Product Glossary. Understanding the sequence is necessary to understand why particular steps are timed, blocked or confirmed.</w:t>
      </w:r>
    </w:p>
    <w:p>
      <w:pPr>
        <w:spacing w:after="60" w:before="0" w:line="260"/>
      </w:pPr>
      <w:r>
        <w:rPr>
          <w:rFonts w:ascii="Calibri" w:cs="Calibri" w:eastAsia="Calibri" w:hAnsi="Calibri"/>
          <w:sz w:val="19"/>
          <w:szCs w:val="19"/>
        </w:rPr>
        <w:t xml:space="preserve">1.  The user collects a midstream urine sample in the Urine Collection Cup, to or above its fill line. The Sample Pod is pre-attached to the cup's Self-Sealing Valve, and its Capillary Tube draws the precise volume required.</w:t>
      </w:r>
    </w:p>
    <w:p>
      <w:pPr>
        <w:spacing w:after="60" w:before="0" w:line="260"/>
      </w:pPr>
      <w:r>
        <w:rPr>
          <w:rFonts w:ascii="Calibri" w:cs="Calibri" w:eastAsia="Calibri" w:hAnsi="Calibri"/>
          <w:sz w:val="19"/>
          <w:szCs w:val="19"/>
        </w:rPr>
        <w:t xml:space="preserve">2.  The user detaches the Sample Pod and inserts it into the Sample Tank port of the Mixing Cartridge. The Piercer punctures the Sample Tank foil, and the sample mixes with the buffer held there. A second chamber, the Buffer Tank, holds unmixed buffer.</w:t>
      </w:r>
    </w:p>
    <w:p>
      <w:pPr>
        <w:spacing w:after="60" w:before="0" w:line="260"/>
      </w:pPr>
      <w:r>
        <w:rPr>
          <w:rFonts w:ascii="Calibri" w:cs="Calibri" w:eastAsia="Calibri" w:hAnsi="Calibri"/>
          <w:sz w:val="19"/>
          <w:szCs w:val="19"/>
        </w:rPr>
        <w:t xml:space="preserve">3.  The user removes the Peel-Off Seal from the cartridge, places the Test Board on a flat surface, and connects the cartridge to it. This engages the Plunger and Spring assembly, whose vacuum draws diluted sample and unmixed buffer through the Test Board Connector into the Microfluidic Chip.</w:t>
      </w:r>
    </w:p>
    <w:p>
      <w:pPr>
        <w:spacing w:after="60" w:before="0" w:line="260"/>
      </w:pPr>
      <w:r>
        <w:rPr>
          <w:rFonts w:ascii="Calibri" w:cs="Calibri" w:eastAsia="Calibri" w:hAnsi="Calibri"/>
          <w:sz w:val="19"/>
          <w:szCs w:val="19"/>
        </w:rPr>
        <w:t xml:space="preserve">4.  Fluid reaches the Incubation Wells, where the albumin first-stage reaction proceeds. The Transfer Valve holds it there. This is the first timed window.</w:t>
      </w:r>
    </w:p>
    <w:p>
      <w:pPr>
        <w:spacing w:after="60" w:before="0" w:line="260"/>
      </w:pPr>
      <w:r>
        <w:rPr>
          <w:rFonts w:ascii="Calibri" w:cs="Calibri" w:eastAsia="Calibri" w:hAnsi="Calibri"/>
          <w:sz w:val="19"/>
          <w:szCs w:val="19"/>
        </w:rPr>
        <w:t xml:space="preserve">5.  When the incubation time has elapsed, the user opens the Transfer Valve, releasing fluid into the Detection Wells, where the Lyophilized Spheres rehydrate and colour develops for both analytes. This is the second timed window.</w:t>
      </w:r>
    </w:p>
    <w:p>
      <w:pPr>
        <w:spacing w:after="160" w:before="0" w:line="260"/>
      </w:pPr>
      <w:r>
        <w:rPr>
          <w:rFonts w:ascii="Calibri" w:cs="Calibri" w:eastAsia="Calibri" w:hAnsi="Calibri"/>
          <w:sz w:val="19"/>
          <w:szCs w:val="19"/>
        </w:rPr>
        <w:t xml:space="preserve">6.  The user scans the Test Board. The application captures a set of images through the transparent Top-Plate, using the Color Print as the colour reference, and transmits them for analysis.</w:t>
      </w:r>
    </w:p>
    <w:p>
      <w:r>
        <w:br w:type="page"/>
      </w:r>
    </w:p>
    <w:p>
      <w:pPr>
        <w:pStyle w:val="Heading1"/>
        <w:spacing w:after="160" w:before="320"/>
      </w:pPr>
      <w:r>
        <w:rPr>
          <w:rFonts w:ascii="Calibri" w:cs="Calibri" w:eastAsia="Calibri" w:hAnsi="Calibri"/>
          <w:b/>
          <w:bCs/>
          <w:color w:val="1F3864"/>
          <w:sz w:val="28"/>
          <w:szCs w:val="28"/>
        </w:rPr>
        <w:t xml:space="preserve">4. Platform, Distribution and Compatibility</w:t>
      </w:r>
    </w:p>
    <w:p>
      <w:pPr>
        <w:spacing w:after="180" w:before="0" w:line="260"/>
      </w:pPr>
      <w:r>
        <w:rPr>
          <w:rFonts w:ascii="Calibri" w:cs="Calibri" w:eastAsia="Calibri" w:hAnsi="Calibri"/>
          <w:sz w:val="20"/>
          <w:szCs w:val="20"/>
        </w:rPr>
        <w:t xml:space="preserve">Requirements governing which smartphones and operating systems the application supports, and how compatibility is enforced before the application can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distributed exclusively through the Apple App Store and Google Play Store.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Apple iOS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iosMinOsVersion currently 13.0.0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Android 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androidMinOsVersion currently 8.0.0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to the application stores with hardware and operating-system compatibility filters enabled, so that installation is prevented on device models that are not supported.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maintain a backend-configurable list of supported operating-system versions and minimum hardware characteristics.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per review: the Risk Analysis calls for hardware characteristics and operating systems, not a list of unsupported phone models. Model-level exclusion remains available through the store compatibility filters in FR-PLT-004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iOS and Android implementations shall present functionally equivalent instructional content, step sequence, confirmation behaviour and error handling, so that the user experience is consistent across supported platforms.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the smartphone model, operating-system version and application version in the test record transmitted to the backend.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4.8,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and post-market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5. Pre-Test Readiness Verification</w:t>
      </w:r>
    </w:p>
    <w:p>
      <w:pPr>
        <w:spacing w:after="180" w:before="0" w:line="260"/>
      </w:pPr>
      <w:r>
        <w:rPr>
          <w:rFonts w:ascii="Calibri" w:cs="Calibri" w:eastAsia="Calibri" w:hAnsi="Calibri"/>
          <w:sz w:val="20"/>
          <w:szCs w:val="20"/>
        </w:rPr>
        <w:t xml:space="preserve">Checks the software performs at application start-up and again immediately before a test is initiated. A failed readiness check prevents the test from starting; it does not produce a warning that the user may dismiss.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verify device integrity (root detection on Android, jailbreak detection on iOS). If a compromised device is detected, the software shall block access and prevent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 SPTA 4.11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test initiation, the software shall programmatically verify that the smartphone hardware characteristics meet the defined minimum technical specifications. The user shall not be permitted to start a test if the requirements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Specification 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operating-system version is within the supported range. If the version is outside that range, the software shall prevent further use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4.6; SPTA 2.5; SRS STM.4, STM.5; SRS-BE COM.2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Range TBD. The lower bound is constrained twice: by the IVTS device qualification, and by SPTA 2.5, which requires that versions no longer receiving security updates cannot be used to take a test. The binding constraint is whichever is higher. Also validated server-side per SRS-BE COM.2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its own version against the backend. If the application version is unsupported, the software shall prevent further use and shall direct the user to the application's listing in the store from which it was installed. Whether an available update is mandatory or may be dismissed shall be determined by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4.17; SRS STM.4, STM.5; SRS-BE COM.2, COM.4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independently validates device type, operating-system version and application version on the settings request and returns a failure response, so the check is enforced on both sides. Realised by iosMinAppVersion, androidMinAppVersion, forceUpdateOnPreLogin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smartphone has an active internet connection. If no connection is available,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backend server is reachable. If the backend cannot be reached,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5.3; SRS STM.2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battery level is at or above the defined minimum threshold. If the battery level is below the threshold, the software shall prevent the test from starting and instruct the user to charge the device.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4.13; SRS STM.3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fixed in the application, not configurable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available storage is at or above the defined minimum threshold. If storage is insufficient, the software shall prevent the test from starting and instruct the user to free storage.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4.14; SRS STM.6, STM.7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and fixed in the application rather than configuration-supplied. Unlinked from staticData.lowDiskSpaceSize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camera is present, and shall request camera permission at the point in the instructional flow where it is required. If the camera is absent, if permission is not granted, or if the camera cannot be started, the software shall not permit the user to proceed.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Unlike the other checks in this section, the camera permission is requested inside the instructional flow at the point of need rather than silently before the test starts, so the user understands why it is being asked. Refusal blocks progress rather than warning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re-evaluate all readiness checks immediately before test initiation, and not only at application start-up.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4.13, 4.14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readiness check fails, the software shall present a single message that identifies the condition and states the corrective action required, together with support contact information. Each condition shall be defined as either preventing the test from starting, or informing the user and permitting them to continue.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condition that blocks the user can be resolved by attempting the action again, the software shall offer the user a means of retrying it. Where the condition cannot be resolved by retrying, the software shall not offer a retry, and shall present only the route to resolution that applies.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extends 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distinction matters because a retry offered on an unrecoverable condition invites the user to repeat an action that cannot succeed. Whether a given condition is retryable is to be stated for each blocking condition in this document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refuses to permit a test, the software shall present a message specific to the reason given, identifying the condition and the action available to the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backend answers the start-up exchange with at most one reason why this user may not test, and each reason needs its own message rather than a generic failure. The reasons themselves are the backend contract and are not enumerated here; Appendix I records the set the current product raises. Complements FR-CFG-006, which requires a reason to be given without saying what the reasons are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determine whether previously collected test data was successfully transmitted to the backend and, if not, shall attempt to retransmit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STM.8; RA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 trace added per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6. User Onboarding, Identification and Authentication</w:t>
      </w:r>
    </w:p>
    <w:p>
      <w:pPr>
        <w:spacing w:after="180" w:before="0" w:line="260"/>
      </w:pPr>
      <w:r>
        <w:rPr>
          <w:rFonts w:ascii="Calibri" w:cs="Calibri" w:eastAsia="Calibri" w:hAnsi="Calibri"/>
          <w:sz w:val="20"/>
          <w:szCs w:val="20"/>
        </w:rPr>
        <w:t xml:space="preserve">Requirements ensuring that the person performing the test is reliably associated with the correct patient record, since that association determines to which record the result is written and to which provider it is routed. Patient records are created before the kit is dispatched and are not created by the application, so the Date of Birth is verified against an existing record rather than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the authentication process by entering a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phone-number format and prevent the entry of invalid or special characters.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the phone number to the backend to determine whether it is already registered in the system. Where the backend does not respond, the software shall not present the number as unregistered.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allowCreation (false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complete one-time password (OTP) verification by enabling the user to submit a six-digit OTP delivered by SMS from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AUT.4; 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six digits, taken from the existing kidney application; confirm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request that the one-time password be sent again. Each such request shall count against the attempt limit of FR-AUT-005, and the software shall require a defined interval to elapse before a further request can be made.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 AUT.5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interval is 30 seconds. Resending counts against the attempt limit, so the limit governs requests and submissions together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While awaiting a one-time password, the software shall enable the user to return to phone-number entry in order to correct the number, and shall discard the pending verification when they do.</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case where the user mistyped the number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submitted OTP against the defined attempt-count and expiration limits. Where the attempt limit is reached, the phone verification process shall be locked for the defined lockout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AUT.5; SRS-BE AUT.4, AUT.5, AUT.6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set by the backend SRS: OTP expires after 5 minutes, and 5 consecutive failures lock verification for 15 minutes. Enforced server-side. Resolves the parameter formerly open as O-04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phone number is not registered, the software shall require the user to enter an invite code, which the backend shall validate for both authenticity and expiry.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AUT.6; SRS-BE AUT.10, AUT.11, AUT.12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Expiry validation added from the backend SRS. Realised by allowRegistration (true)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that the entered Date of Birth meets the required format.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the Date of Birth confirmed at the start of a test per FR-AUT-012, not to login. Milestone follows FR-AUT-012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Date of Birth confirmed at the start of a test is mismatched or invalid, the software shall prevent the user from proceeding and shall present a generic error that does not disclose which element of the identification was at fault.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AUT.10; SRS-BE AUT.15; RA 6.4; 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the Date of Birth is no longer requested at login, so this governs the confirmation required by FR-AUT-012. Everything required for the submission is required for the clinical study, so milestone 3, held behind a feature flag so that the behaviour is present and verifiable without being shown to study participants. The error is generic, per the backend SRS and SPTA 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require the user to confirm their Date of Birth at the start of every test, independently of the login flow and irrespective of how many users are registered against the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Everything required for the submission is required for the clinical study, so milestone 3. Held behind a feature flag so that the behaviour is present and verifiable without being shown to study participants. Realised by dobVerification (force)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verification, the software shall obtain a user token and shall associate that token with every subsequent request sent to the backend. The token shall expire after the defined period, after which the software shall require re-verification.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 SRS-BE EX.3, AUT.8; SPTA 1.4,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SRS states 24 hours. Flagged at review as incorrect for this application and to be aligned; see the review register. Server-side verification of the token is required by FR-COM-010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sign out. After sign-out, the software shall require the user to complete the verification process again before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AUT.12;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guide the user through each authentication step and, on repeated failure,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On first launch, before the authentication process begins, the software shall present a short introductory sequence of no more than three screens introducing the application and the test, which the user may advance through or dismiss.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Content is part of the versioned set required by FR-TXT-004 and is subject to the reading level of FR-TXT-001. Distinct from the pre-test orientation raised as UX-08, which concerns what the user is told immediately before a test rather than on first launch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phone number and invite code do not uniquely identify a single registered user, the software shall request the Date of Birth in order to identify which registered user is signing 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AUT.7, AUT.9, AUT.11; RA 6.4; formerly BL-20,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BL-20. Reconciled at review: RA 6.4 retains FR-AUT-010, FR-AUT-012, FR-AUT-013, FR-AUT-014 and FR-SHR-003 in the body, all at milestone 3. FR-AUT-009 is withdrawn.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more than one user to be associated with the same phone number, each uniquely identified by their Date of Birth.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AUT.11; formerly BL-21,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BL-21. Household use on a shared phone number is therefore not supported until this is implemented. Confirmed at review that appUniqueIdentifier is to remain as configured today; see review register Q-10.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has been completed and more than one user is registered against the phone number, the software shall offer a 'switch user' function before a new test is started, which terminates the current session and returns the user to the authentication flow.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BL-22,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BL-22. With FR-AUT-011, which it depends upon.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shared phone number is used to attempt a second test, the software shall prevent test initiation and prompt the user either to switch user or to contact support to obtain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BL-04. Interacts with FR-AUT-015 and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test data has not yet been successfully transmitted to the backend, the software shall not complete a sign-out, and shall inform the user that the transmission must finish first.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Signing out before the data has reached the backend discards the test irrecoverably. Complements FR-RDY-012, which retransmits data that did not arrive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holds no identity for the authenticated user, the software shall require the user to complete the verification process again.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FR-AUT-013 requires re-verification when the token expires; this is a different trigger with the same outcome and nothing covered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accept a one-time password entered automatically by the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Both platforms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At phone-number entry, where the platform provides a means of offering the phone numbers held by the device, the software shall present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future development. Available on Android only. The step, its content and its outcome are identical on both platforms, so FR-PLT-006 is unaffected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7. Consent and Privacy Acknowledgement</w:t>
      </w:r>
    </w:p>
    <w:p>
      <w:pPr>
        <w:spacing w:after="180" w:before="0" w:line="260"/>
      </w:pPr>
      <w:r>
        <w:rPr>
          <w:rFonts w:ascii="Calibri" w:cs="Calibri" w:eastAsia="Calibri" w:hAnsi="Calibri"/>
          <w:sz w:val="20"/>
          <w:szCs w:val="20"/>
        </w:rPr>
        <w:t xml:space="preserve">Requirements for obtaining the user's acknowledgement of the Privacy Policy and Terms and Conditions before personal or health information is processed. Consent obligations attached to features deferred to a later revision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view the Privacy Policy and the Terms and Conditions from the phone verification screen and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staticData.privacyUrl, staticData.termsUrl, consentUrl. 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entering the phone number,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Retained at milestone 4 by product decision: users do not go through phone verification at milestone 3, so no personal information is collected before the acknowledgement gate exists. See the decision 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select a mandatory acknowledgement checkbox, the software shall prevent the user from proceeding with the requested action.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initiating a chat with a doctor,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CON.3; formerly BL-01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BL-01. Depends on FR-SHR-013.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user elects to share test results with their primary care provider, the software shall present an additional acknowledgement prompt confirming acceptance of the Privacy Policy and Terms and Conditions.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formerly BL-02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BL-02. Depends on FR-SHR-012.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transmit to the backend, the identity and version of each policy document acknowledged, together with the time of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SRS-BE CON.1, CON.2; formerly BL-03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BL-03. Confirmed at review as future development. The backend SRS makes consent recording mandatory before a test starts as SRS-BE CON.1, so that document is to be relaxed to match; see review register Q-11.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8. Kit Identification and Validation</w:t>
      </w:r>
    </w:p>
    <w:p>
      <w:pPr>
        <w:spacing w:after="180" w:before="0" w:line="260"/>
      </w:pPr>
      <w:r>
        <w:rPr>
          <w:rFonts w:ascii="Calibri" w:cs="Calibri" w:eastAsia="Calibri" w:hAnsi="Calibri"/>
          <w:sz w:val="20"/>
          <w:szCs w:val="20"/>
        </w:rPr>
        <w:t xml:space="preserve">Requirements ensuring that only an authentic, unexpired, unused kit can be used for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the presence of the QR code on the Test Board. If the QR code is missing or damaged, the software shall prevent the user from completing a scan, display an explanatory error message, and instruct the user to contact support.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 TSM.3; 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enabledNoQrBlock, featureFlags.qrDetectionUsingMLPackage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QR code and transmit it to the backend to verify that the kit identifier is valid and that the kit has not previously been used. The backend shall maintain the record of used kit identifiers against which that check is made.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 SRS-BE COM.8, COM.9, TSM.1;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Register of used identifiers added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QR-code content against the defined kit-identifier template, and shall not return a test result unless a valid QR code has been read.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QR code is unidentified, or the kit identifier has already been used, the software shall invalidate the test at the point of scanning and display an explanatory error message. A second use of the same kit cannot be prevented before the assay has been run.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TSM.5, TSM.40;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Revised per review: reuse is detected at scan rather than prevented up front, because the kit identifier is only read during the scan. RA 7.1 states the control as the same kit not being re-usable, which now means detected and blocked from producing a result. Also covers FR-KIT-006. Realised by enabledQrBlock and blockSubsequentTests.moreTestsThanKits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attempts to start a test within 24 hours after a previous test has completed, whether that test produced a result or was invalidated, the software shall present a message appropriate to the outcome of that previous test and shall require the user to confirm that they hold a new kit before the test flow begins. The message shall be presented on every such attempt until the user confirms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Window confirmed at 24 hours and held as a configurable value. The window excludes its endpoint: an attempt at exactly 24 hours is not within it. Amended at the SPEC-04 review so that the message is presented on every attempt until it is confirmed rather than once. Guy also offered that the window may close on confirmation; that is deliberately not required here, because SPEC-03 settled that one acknowledgement stands until the next test completes, and the two end conditions differ with no observable difference to the user. Amended at the SPEC-03 review, which established that the product presents a different message according to whether the previous test produced a result or was invalidated, and that a single alert stating that a new kit is required does not describe it. Which cases exist is the product's, not this requirement's. Complements FR-KIT-004, which detects reuse of an already-used kit only at the point of scanning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automatically verify, from the kit identifier, that the kit is within its valid use period. If the kit has expired, the software shall prevent the test from proceeding and instruct the user to use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BL-23,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BL-23. RA 7.25 has been removed from the Risk Analysis, and it was confirmed at review that the backend obligation follows the Risk Analysis, so SRS-BE TSM.2 and TSM.3 are to be relaxed to match; see review register Q-12. Realised by expiredKitDetection.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kit-identifier check is refused for a reason the software cannot attribute to a condition it recognises, the software shall invalidate the test and shall present a message that does not state a specific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SPEC-03 review. FR-ALG-012 does this job for an invalid test and FR-RDY-014 for a refusal before a test starts; the kit-identifier check had no equivalent, and the product asserts an already-used kit for any refusal it cannot classify, which may be untrue and routes the user to the wrong support conversation. The reasons themselves are the backend contract and are not enumerated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cannot read the kit identifier automatically, it shall offer the user the means to present the QR code for reading, and shall invalidate the test only once that has also failed.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Added at the SPEC-03 review as a requirement of its own so that the automatic reading of FR-KIT-001 stays at milestone 3 and the manual route does not. Until this is implemented the automatic reads are the only ones, and a test with no readable identifier is invalidated after the scan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be able to refuse a test attempted within a defined minimum interval of a previous test, and the software shall present the refusal.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Distinct from FR-KIT-007, which asks the user to confirm and permits them to continue: this refuses outright. Added at the SPEC-03 review so that a capability the backend already has is in the record rather than reached by configuration alone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9. Guided Test Flow — Structure and Behaviour</w:t>
      </w:r>
    </w:p>
    <w:p>
      <w:pPr>
        <w:spacing w:after="180" w:before="0" w:line="260"/>
      </w:pPr>
      <w:r>
        <w:rPr>
          <w:rFonts w:ascii="Calibri" w:cs="Calibri" w:eastAsia="Calibri" w:hAnsi="Calibri"/>
          <w:sz w:val="20"/>
          <w:szCs w:val="20"/>
        </w:rPr>
        <w:t xml:space="preserve">The application is the primary means by which the user is guided through the physical test procedure. This section governs how that guidance is structured and how it behaves. What the guidance must actually say is specified separately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test procedure as a sequence of short, discrete steps, each requiring the user to confirm completion by activating a control provided for that purpose, and shall not advance to the next step without that confirmation.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flow is presented as a chat-style exchange, one step at a time, which is the design decision behind the single-step visibility required by FR-FLW-004. How a blocking condition is presented is a user-interface decision and is not specified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for each step, both textual guidance and a video or animated demonstration of the required action.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 RA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demonstration for a step is designated replayable, the software shall allow the instructions and demonstration for that step to be replayed at any time while the step is active.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Which steps are replayable is defined per step in the content set of FR-TXT-004. Confirmed at review that not every demonstration is replayable, following the current usability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only the instruction applicable to the current step, and shall not present instructions for steps that are not yet permitted. The instructions of completed steps shall remain available to the user while the flow continues, and the view shall follow each element of the flow as it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sequence the steps of the instructional flow in the order defined by the test procedure, and shall not permit a step to be reached out of that order.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it shall provide a means of advancing directly to a chosen section of the guided flow, and a means of advancing to the end of the section in progress. Those means may advance past anything the flow presents, including confirmation steps and time-dependent stages, and shall be reachable only by a deliberate gesture that a user would not perform in the course of taking a test, and not at all when the application is not in demonstration mode.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milestone-1 demonstration. The gesture is to be specified; a sustained press on the start control or a device shake were the two suggested. At milestone 1 demonstration mode may be determined in the build; from milestone 2 it is determined by the configuration set of FR-CFG-001, which by then carries a real test partner as well. Complements FR-RES-006, which governs what may be presented as a result in that mode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timed waiting period is long enough, the software shall present within the instructional flow a card that displays the time remaining and whose content changes as the period elapses. The thresholds determining whether the card is presented shall be fixed in the application. Its content shall be optional, in that not reading it can affect neither the conduct nor the validity of the test, and the card shall yield whenever the flow requires the user to act.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mechanism is what is required: a modal within the chat, opened by the flow rather than by the user, whose content is a function of elapsed time in the current stage. The content itself, currently tips presented in sequence, is part of the approved content set under FR-TXT-004 and can change without changing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content of the instructional flow in spoken form as well as on screen, using recorded audio rather than synthesised speech, and shall provide a control by which the user can silence and restore it. Where the user silences it, the flow shall remain silent for the remainder of that test. The spoken flow and any demonstration in progress shall stop when the user confirms a step or the application ceases to be in the foreground, and neither shall resume without the user acting.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amended at the 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spoken voice is a persona; naming it is a content decision under FR-TXT-004. Because the audio is recorded rather than generated from the displayed text, the spoken and written wording are separate artefacts that have to be released together, which is why FR-TXT-004 covers both. A further language means new recordings, not only new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or omit defined steps and sections of the guided flow according to a parameter resolved outside the application build, so that behaviour which is required to exist need not be presented to every user, and shall apply the same sequencing and confirmation rules to the steps that remain.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the milestone-3 placement of FR-AUT-010 and FR-AUT-012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This is the mechanism by which any step is made conditional; the Date of Birth confirmation withheld from clinical-study participants is one example, the explanatory video after a result another. The full set of conditions and the chat behaviour they drive is held in the chat bubbles specification, and the steps and governing parameters are to be listed before design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element of the instructional flow shall be presented after a defined interval, and where an element is accompanied by recorded audio that interval shall be the duration of that audio. The intervals shall be the same on every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pace of the flow is most of what a user experiences during a waiting stage, and nothing previously stated it, so each platform held whatever value it happened to hold. The interval belongs to the flow engine and applies whatever the content is, which is why it is stated here rather than deferred to the content set of FR-TXT-004. It is also what makes a permission prompt follow the explanation of it rather than a fixed delay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10. User-Facing Content</w:t>
      </w:r>
    </w:p>
    <w:p>
      <w:pPr>
        <w:spacing w:after="180" w:before="0" w:line="260"/>
      </w:pPr>
      <w:r>
        <w:rPr>
          <w:rFonts w:ascii="Calibri" w:cs="Calibri" w:eastAsia="Calibri" w:hAnsi="Calibri"/>
          <w:sz w:val="20"/>
          <w:szCs w:val="20"/>
        </w:rPr>
        <w:t xml:space="preserve">Requirements governing what the application says, as distinct from how it behaves. They are grouped here so that instructional copy, warnings and result messaging can be drafted, reviewed for readability, and approved as a single body of content. Requirements FR-TXT-005 onwards follow the order in which the corresponding text is presented during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text presented by the software, including component names, instructions, warnings, result descriptions and error messages, shall meet a Flesch-Kincaid reading level of grade 6 or lower.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every supported language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refer to kit components using only the approved user-facing component names defined in the Product Glossary, and shall not present internal or engineering sub-component names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set: Sample Collection Tool, Urine Collection Cup, Sample Pod, Mixing Cartridge, Test Board,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content, warnings and result messaging presented by the software shall be consistent with the User Manual, and shall not instruct the user to act in a manner the User Manual contradicts.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content that is part of the core clinical test procedure, including the recorded audio of the spoken flow, shall be held under configuration control and released as a versioned content set, and the content-set version shall be recorded with each test record.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Written text and recorded audio are separate artefacts that say the same thing. Holding them in one versioned set is what stops the spoken and the displayed wording drifting apart between releases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perform the test in a well-lit indoor location, avoiding direct sunlight, very dim lighting and uneven or mixed lighting.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in the correct use of the Urine Collection Cup lid and in placing the cup in its designated location in the kit packaging.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to fill the Urine Collection Cup to or above the minimum fill line, and shall require the user to confirm that the fill line has been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7.3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detaching the Sample Pod from the Urine Collection Cup, including the twist-and-pull motion required, and shall include a confirmation step.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7.6, 7.22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inserting the Sample Pod into the Sample Tank port of the Mixing Cartridge, showing the correct port and orientation, and shall instruct the user to insert it until the audible or tactile confirmation is obtained.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7.7, 7.8, 7.26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remove the Peel-Off Seal from the Mixing Cartridge completely before connecting the cartridge to the Test Board, and shall require the user to confirm that it has been fully removed.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2.7;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name TBD; see Appendix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place the Test Board on a flat, stable surface before connecting the Mixing Cartridge, and to avoid applying pressure to the board surface at any point.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a visual guide for aligning the Mixing Cartridge to the Test Board in the correct orientation.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connecting the Mixing Cartridge to the Test Board, including the required hand position and applied force, so that the Plunger and Spring assembly is engaged and fluid transfer is initiated.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7.28;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the required mixing or shaking action of the Mixing Cartridge and Test Board, including its duration.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specify the motion and depth required to operate the coloured release button, and shall state the tactile or audible cue that confirms it has been operated.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7.29;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Approved user-facing name for the Transfer Valve. See the terminology appendix</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position themselves relative to the Test Board and the light source so that neither their hand, their body, nor any object casts a shadow over the Test Board during scanning.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Complements the detection control in FR-IMG-009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disposal instructions for all used kit components and shall instruct the user to wash their hands after handling them.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7.32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disposal content is specific to the QACR kit and does not carry over from the predecessor product, whose components differ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screen shall instruct the user not to make medical decisions on the basis of the result without consulting a healthcare professional, shall present explanatory material describing what the measurement represents and what the result category means, and shall state that the result is shared with a healthcare professional for further analysis and care.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is fixed and released under the versioned content set required by FR-TXT-004. Unlinked from resultPortalMoreInfoUrl and resultsType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message presented when the software blocks an action shall name the condition detected, state the corrective action required, and provide support contact information, without disclosing personal or sensitive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 SRS ATT.6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Governs the content of every blocking message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invalid-test messaging shall state the reason category returned for the test and the corrective action required, and shall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Depends on FR-ALG-012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scale user-facing text with the text size selected in the device system settings, up to a defined maximum beyond which further increase is not applied. Within that range no text shall be truncated, overlapped or placed beyond reach.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 accessibility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The predecessor scales text from the system setting and caps it above a threshold, and the cap is the part that matters: without it a layout breaks at the largest settings. The maximum is a value to be set, like the other TBD values. Complements FR-TXT-001, which governs whether text can be understood; this governs whether it can be read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platform screen reader on user-facing content that the software does not itself read aloud, shall not have the screen reader duplicate content the software speaks, and shall not permit screen-reader operation to alter the conduct of a test or the timing of any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 accessibility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with his two constraints written in rather than left to interpretation: the instructional flow is already spoken, so the screen reader applies where it is not, and it may not interfere with the test. Conformance to WCAG AA more broadly is Q-107 and is deliberately not claimed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11. Test State Retention, Interruption and Cancellation</w:t>
      </w:r>
    </w:p>
    <w:p>
      <w:pPr>
        <w:spacing w:after="180" w:before="0" w:line="260"/>
      </w:pPr>
      <w:r>
        <w:rPr>
          <w:rFonts w:ascii="Calibri" w:cs="Calibri" w:eastAsia="Calibri" w:hAnsi="Calibri"/>
          <w:sz w:val="20"/>
          <w:szCs w:val="20"/>
        </w:rPr>
        <w:t xml:space="preserve">The test procedure spans several minutes and includes time-critical steps. These requirements define how the software preserves test state across interruptions, and how it behaves when a test is abandoned or the application is terminated.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test flow is interrupted by a transient event such as an incoming call, message, notification or screen lock, the software shall remain active in the background without terminating. While the application is not in the foreground the software shall not deliver instructional flow content, and on return shall resume delivery from the point the user had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TSM.21; RA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persistently retain the current test state throughout the test flow, including the completed steps and all recorded stage start times. If the user navigates away from the application without terminating it, the software shall permit the test flow to be resumed on return at the step that was active, shall make the applicable instructions and demonstration available for replay, and shall not apply any inactivity timeout while a test is active. A test becomes active when the user activates the control that starts it. Where no test is active, the software shall return the user to the start-up state after the applicable period of inactivity, discarding any instructional flow not yet begun.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TSM.22; RA 4.1, 4.2,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Covers what was previously stated separately in FR-STA-001 and FR-STA-004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software is interrupted during data upload, the software shall continue the upload in the background.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permit an active test to be resumed after the application has been terminated, whether by the user, by an operating-system action, by a software crash, or by a device restart.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application is reopened following termination during an active test, the software shall identify the incomplete test, invalidate it, and inform the user that a new test must be performed using a new kit. A test whose capture completed and which awaits only transmission is not an incomplete test for this purpose.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test cancellation only while the Urine Collection Cup has not been filled. Upon cancellation being requested after that step, the software shall warn the user that the current test cannot be resumed and that a new kit will be required, and shall require explicit confirmation.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Consistent with RA 7.3: once urine reaches the Capillary Tube it fills completely, so the sample is committed at cup fill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confirm cancellation, the software shall return to the active test flow at the step that was in progress.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cancellation is confirmed, the software shall invalidate the active test, prevent it from being resumed, and return the user to the start-up state.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device from dimming or locking the screen while the instructional flow is displayed.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Prevention rather than tolerance: FR-STA-002 covers surviving a lock the user causes, and nothing previously required the device to be kept awake. A screen that darkens in the middle of a timed stage is the interruption most likely to occur, and holding it awake is also part of what the battery threshold of FR-RDY-007 is measured against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12. Timing Control</w:t>
      </w:r>
    </w:p>
    <w:p>
      <w:pPr>
        <w:spacing w:after="180" w:before="0" w:line="260"/>
      </w:pPr>
      <w:r>
        <w:rPr>
          <w:rFonts w:ascii="Calibri" w:cs="Calibri" w:eastAsia="Calibri" w:hAnsi="Calibri"/>
          <w:sz w:val="20"/>
          <w:szCs w:val="20"/>
        </w:rPr>
        <w:t xml:space="preserve">The assay is time-dependent at two stages. The first is the incubation period during which fluid is held in the Incubation Wells, released by the user operating the coloured release button. The second is the colour-evolution period in the Detection Wells that precedes the Test Board scan. The software is the sole means of enforcing both windows, which makes the requirements in this section safety-critical. All timing values are fixed in the application and are not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each time-dependent stage of the test flow, the software shall implement a defined start event, minimum duration, permitted completion window and expiry behaviour. These values shall be fixed in the application and shall not be configurable at run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TBD, to be established by the timing-flex study. Confirmed at review that the study completes before milestone 3 and is not needed for milestones 1 and 2, so the milestone-1 build enforces these windows against provisional values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persistently retain the start time of each time-dependent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Following application backgrounding, screen locking, or any other temporary interruption, the software shall calculate elapsed time from the retained start time and shall not restart the applicable timer.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for each active time-dependent stage, the time remaining until the next action is permitted and the time remaining before the permitted window expires.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measure the time elapsed from the user's confirmation of sample collection to the connection of the Sample Pod to the Mixing Cartridge. If the elapsed time exceeds the defined limit, the software shall invalidate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TSM.6, TSM.7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TBD, fixed not configurable; currently specified as 30 minutes. An exceeded limit invalidates the test rather than blocking the step: confirmed at review, and FR-TIM-012 carries what the user is told and that a new kit is needed. Timed silently in the background: no countdown is shown, so that the user is not hurried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coloured release button instruction only after both the required Incubation Well residence time has elapsed and the preceding user instructions have been completed.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progression past any time-dependent stage before the applicable minimum time has elapsed, including preventing the Test Board from being scanned before the required colour-evolution period has elapsed. This shall not apply where the application is in demonstration mode, which produces no result for a patient.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FR-TIM-010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coloured release button step is not completed within the permitted timing window, the software shall invalidate the test and prevent continuation.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Test Board to be scanned only within the validated scanning-time window, and shall invalidate the test if that window has expired.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test is invalidated on timing grounds, the software shall inform the user of the reason and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issue a local device notification when a timed window is about to expire, and shall do so only where the application is in the background at that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4.3,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Local notification, not a backend push; see FR-COM-009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derive elapsed time from a time source that is not affected by user modification of the device clock or time zone.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formerly BL-24,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BL-24. Until implemented, the timing windows in section 12 can be defeated by changing the device clock, since elapsed time is derived from a source the user can alter. RA 4.18 relies on the timers being enforceable.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13. Image Capture and Validation (IVTS)</w:t>
      </w:r>
    </w:p>
    <w:p>
      <w:pPr>
        <w:spacing w:after="180" w:before="0" w:line="260"/>
      </w:pPr>
      <w:r>
        <w:rPr>
          <w:rFonts w:ascii="Calibri" w:cs="Calibri" w:eastAsia="Calibri" w:hAnsi="Calibri"/>
          <w:sz w:val="20"/>
          <w:szCs w:val="20"/>
        </w:rPr>
        <w:t xml:space="preserve">The Image Validation Transfer System (IVTS) is the principal control mitigating variation between smartphone models, camera conditions and user technique. It operates on the Color Print, which provides optical neutralisation and a standardised reference colour spectrum, viewed through the transparent Top-Plate. Validation happens in two stages: the QCR stage, which runs in real time while the user is framing the board, and the algorithm pipeline, which runs on the captured set. A condition detected at either stage is reported to the user, who may scan again; only exhaustion of the scanning window invalidates the test. The stages themselves are specified in the IVTS and algorithm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every captured frame against the predefined IVTS acceptance thresholds, and shall permit a result to be produced only where the acquired information meets those thresholds.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4.11,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Thresholds and the minimum number of valid frames are defined in the IVTS specification and fixed in the application. Unlinked from minValidFrames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Test Board only where the Color Print reference markers are detected and visible within acceptance criteria and the Test Board is entirely within the camera frame, and shall block the scan where either condition is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TSM.8, TSM.9, TSM.10; RA 3.11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far from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TSM.11; RA 7.12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close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TSM.12; RA 7.12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positioned at an acute angle relative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TSM.13; RA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too dark.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TSM.14; RA 7.11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saturated.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TSM.15; 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Color Print reference anchors to detect shadow conditions across the Test Board, and shall block the scan where shadow conditions fall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focus and motion in real time during framing, and shall capture an image only where image-quality thresholds are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capture of the Test Board image, the software shall validate image clarity. If the image is too blurry, the software shall display an explanatory message and instruct the user to try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TSM.25; RA 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real-time guidance during scanning that directs the user towards a valid distance, angle and framing position.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7.12,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QCR condition and each IVTS boundary condition shall produce a distinct user message that names the condition detected and states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IVTS validity thresholds are not met, the software shall invalidate the captured image and permit the user to re-scan. If the permitted scanning window expires without a sufficient number of valid frames, the software shall invalidate the test rather than produce a result of reduced reliability.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standardised reference colour spectrum of the Color Print to normalise the captured image before colorimetric values are derived from the Detection Wells.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RA 4.8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Whether a raw or raw-equivalent representation is used, and whether normalisation happens on the device or in the backend, is undecided. It will not be the mechanism the earlier localLearnedRawEnabled flag implemented. See review register Q-24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a timed waiting period of the test flow the software shall present a practice scan as a step of the instructional flow, which the user passes through in order to continue. A practice scan shall behave as a scan of the Test Board does, including the QCR stage, the IVTS boundary detection, the QR-code validation and the guidance, shall not apply the scanning-window limit, shall end on a limit of its own rather than on the end of the waiting period in which it began, shall not register the kit identifier as used, and shall neither produce a result nor contribute any image to the test record.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to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It exists so that a user meets the scanning interaction, and any difficulty with it, while there is still time to resolve it rather than inside the scanning window. Offered during the first timed stage, where the waiting period is longest. The kit checks run read-only here, so a user who practises on the kit they are about to test with cannot spend it. Validation against the identifier template, FR-KIT-003, arrives at milestone 3. The used-kit check, FR-KIT-004, arrives at milestone 3 as well. Until then a practice scan exercises framing and guidance only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a complete frame set has been captured the software shall indicate that the images are being prepared and evaluated, and shall then either continue the flow or report a boundary condition and offer the user the opportunity to scan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preparation and evaluation stage takes long enough to need a state of its own; without it the user is left on a viewfinder with nothing happening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capture the software shall deliver the scan guidance in spoken form as it changes, so that a user whose attention is on the Test Board rather than on the screen is guided without having to look.</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7.12, 7.14,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specular reflection on the Test Board surface, and shall block the scan where it falls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as a further IVTS boundary condition alongside the six in this section. The Risk Analysis trace is to be confirmed when the analysis is next revised: specular reflection is a lighting condition, so RA 7.11 and RA 7.15 are the candidates. Message content per FR-IMG-014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14. Camera Control and Image Acquisition</w:t>
      </w:r>
    </w:p>
    <w:p>
      <w:pPr>
        <w:spacing w:after="180" w:before="0" w:line="260"/>
      </w:pPr>
      <w:r>
        <w:rPr>
          <w:rFonts w:ascii="Calibri" w:cs="Calibri" w:eastAsia="Calibri" w:hAnsi="Calibri"/>
          <w:sz w:val="20"/>
          <w:szCs w:val="20"/>
        </w:rPr>
        <w:t xml:space="preserve">Requirements governing how the camera is driven during a scan, in order to obtain colorimetric data that is comparable across supported smartphone models. The specific frame recipe and adjustment logic are properties of the IVTS design; this section requires that the software implement whatever the IVTS specification defines, rather than fixing those parameters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acquire, for each scan, the frame set defined by the IVTS specification, including the number of frames, the torch state applied to each, and any platform-specific additional frames, and shall transmit the complete set for analysis.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PER.2, PER.3; Glossary — Smartphone Application</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FR-IMG-017. The frame set is defined by the IVTS specification and fixed in the application. Unlinked from featureFlags.selectBestCameraEnabled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apply the camera adjustments defined by the IVTS specification in response to a raised boundary condition, including white-balance adjustment on devices that support it and exposure adjustment where the image is too dark or too bright.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PER.4, PER.5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with each captured image, the camera parameter set that was applied, including torch state, exposure, white balance and any tone-mapping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traceability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camera becomes unavailable or returns an invalid frame during capture, the software shall abort the capture, inform the user, and permit the scan to be re-attempted within the permitted scanning window.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15. Data Transmission and Backend Communication</w:t>
      </w:r>
    </w:p>
    <w:p>
      <w:pPr>
        <w:spacing w:after="180" w:before="0" w:line="260"/>
      </w:pPr>
      <w:r>
        <w:rPr>
          <w:rFonts w:ascii="Calibri" w:cs="Calibri" w:eastAsia="Calibri" w:hAnsi="Calibri"/>
          <w:sz w:val="20"/>
          <w:szCs w:val="20"/>
        </w:rPr>
        <w:t xml:space="preserve">Requirements for the interface between the application and the backend, and for the handling of interrupted or failed communication. The transport requirements carry most of the threat-analysis controls for data in transit, and FR-COM-005 and FR-COM-010 record the principle that the backend treats everything the application sends as untrusted.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interface with the backend via HTTPS over TCP/IP using TLS 1.2 or above, with strong cipher suites, SSL chain verification and strong session identifiers. The software shall refuse to establish a connection negotiated below TLS 1.2.</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EX.1; RA 5.1; SPTA 1.1, 2.11, 4.4, 4.5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TLS floor and cipher requirements added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enforce certificate pinning, so that connections are established only with servers presenting the expected SSL/TLS certificate, and shall reject a connection presenting any other certificate.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ATT.1; SPTA 4.4,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SPTA 4.12 is the highest-scoring threat mitigated by the application alone, at 16 gross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Test Board capture, the software shall transmit the acquired test data to the backend and shall display an indication confirming the upload status.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TSM.17, TSM.26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an integrity check with each transmitted payload so that incomplete or corrupted transmission is detectable by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received test data and shall reject transmissions that are incomplete, malformed or nonconforming to the defined data format, treating all data received from the application as untrusted.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 SPTA 2.4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SPTA 2.4 relies on this as the compensating control for a modified or instrumented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communication is lost during data upload, the software shall notify the user, retain the test data, initiate an automatic retry, and resume transmission once connectivity is restored.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TSM.18; RA 5.2, 5.3; SPTA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data upload and backend acknowledgement, the software shall permit the user to conclude the test process and shall delete all related test data from the smartphone.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TSM.24, TSM.27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backend returns an error, the software shall display an explanatory error message and provide instructions on the next steps available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generate local device notifications without dependence on backend connectivity, for the purposes defined in FR-TIM-014.</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push notifications are future development as FR-COM-013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permission required to present device notifications, shall precede the platform permission prompt with an explanation of why notifications are wanted, and shall not prevent a test from being started, completed or reported if permission is refused.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FR-TIM-014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FR-TIM-014 and FR-COM-009 cannot function without this permission and nothing previously required it to be asked for. Milestone follows those two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verify the identity and authorisation carried by every incoming request, and shall reject any request that is unauthenticated, unauthorised for the resource addressed, or attempting to act on a patient record other than the one associated with the verified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6.1;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New from the threat analysis. The application obligation is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result for a completed test from the backend, shall present a waiting state until a result or an invalid-test outcome is received, and shall inform the user how the result will reach them if none is received within the defined period.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CR-17; supports SRS TSM.28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FR-RES-001 presumed receipt: no requirement covered the application-side act of requesting a result. The waiting period is a system parameter and is not yet valued; see the review register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receipt of push notifications from the backend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OTH.1; formerly BL-05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BL-05. Distinct from the local notifications in FR-TIM-014 and FR-COM-009, which are in this version.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16. Analysis, Quality Control and Algorithm Version Management</w:t>
      </w:r>
    </w:p>
    <w:p>
      <w:pPr>
        <w:spacing w:after="180" w:before="0" w:line="260"/>
      </w:pPr>
      <w:r>
        <w:rPr>
          <w:rFonts w:ascii="Calibri" w:cs="Calibri" w:eastAsia="Calibri" w:hAnsi="Calibri"/>
          <w:sz w:val="20"/>
          <w:szCs w:val="20"/>
        </w:rPr>
        <w:t xml:space="preserve">Requirements on the analysis performed on the acquired data, and on the controls that ensure each exam is processed by approved algorithm versions and that invalid assay runs never yield a reported result. Albumin is measured over two stages, incubation followed by detection; creatinine is measured at the detection stage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determine albumin concentration, creatinine concentration and the albumin-to-creatinine ratio from the validated image data, using an algorithm version approved for the applicable system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maintain a controlled mapping between supported software configurations and approved algorithm versions, and shall analyse an exam only using an algorithm version approved for the applicable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that the mobile algorithm version and the backend algorithm version assigned to an exam are an approved combination, and shall prevent analysis where either version is missing or unsupported, or where the combination is not approved.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record, for each exam, the mobile and backend algorithm versions, the application version and the backend version used to produce the result, together with a timestamp, the device identifier, the patient identifier, the reported values, the raw results, error records and diagnostic metadata.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 SRS-BE LOG.1, LOG.2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Record contents stated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perform standard-curve quality control on each test and shall block the reporting of a result where quality control fails.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3.6, 3.7, 7.33, 7.35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evaluate the recovery and blank wells within the Detection Wells in order to detect foreign or interfering substances and discoloration of the diluted urine,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1.6, 7.20;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an incomplete assay run, including the condition in which both albumin and creatinine are below the limit of detection, shall invalidate the test, and shall cause the application to prompt the user to repeat the test with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1.3, 1.7, 2.1, 2.4, 2.5, 2.6, 2.9, 3.1, 3.2, 3.3, 7.6, 7.7, 7.8, 7.22, 7.29, 7.34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surfaced in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that the urine sample was not introduced into the buffer, and shall detect that insufficient fluid reached the Detection Wells, and shall block the reporting of a result where either condition is present.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3.8, 7.9, 7.30, 7.36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insufficient colour output in the standard curves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3.5, 3.6, 3.7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albumin standards AS1–AS4, creatinine standards CS1–CS4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returned to the application shall distinguish unambiguously between a valid quantitative result and an invalid test, and the application shall not present a numeric value for an invalid test under any condition.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identify results that fall outside the claimed measuring range and shall convey that condition to the application for presentation.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presentation per FR-RES-004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shall include a reason category for each invalid test, drawn from a defined enumeration, sufficient for the application to inform the user of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Dependency of FR-TXT-021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17. Result Presentation</w:t>
      </w:r>
    </w:p>
    <w:p>
      <w:pPr>
        <w:spacing w:after="180" w:before="0" w:line="260"/>
      </w:pPr>
      <w:r>
        <w:rPr>
          <w:rFonts w:ascii="Calibri" w:cs="Calibri" w:eastAsia="Calibri" w:hAnsi="Calibri"/>
          <w:sz w:val="20"/>
          <w:szCs w:val="20"/>
        </w:rPr>
        <w:t xml:space="preserve">Requirements governing what the application displays when a result is returned. The wording of the accompanying interpretation guidance is specified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receiving results from the backend, the software shall display them to the user. The backend shall transmit the result for the exam identified in the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TSM.28; SRS-BE COM.7, COM.11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albumin-to-creatinine ratio both as a numerical value and as a result category.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Presentation is fixed: the ratio only, as a value and a category. Unlinked from resultsType and staticData.showAcrResultOnly at review. Presentation of the albumin and creatinine values is future development; see FR-RES-007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units of measurement applicable to each reported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supports RA 7.17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Not required by RA 7.17; retained as a product decision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result falls outside the claimed measuring range, the software shall present that condition rather than an unqualified numeric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an invalid test, the software shall present an invalid-test outcome rather than any numeric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FR-ALG-010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Messaging per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for the test being performed, the software shall present a result drawn from a fixed demonstration payload rather than from an analysed test, shall not present that result as a clinical result, and shall make the demonstration state evident wherever that result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CR-07, CR-08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so that milestone 1 can present a result before any of the analysis pipeline exists. Demonstration mode is a state the backend returns with the configuration before a test starts, not a separate build, so the same artefact that ships to patients can be placed in it — which is why the evidence of the state must be visible to the user and why FR-CFG-004, server-side enforcement of demonstration behaviour, matters more than its deferral suggests. In demonstration mode no algorithm version is exercised, which is why quantitation and the approved-version mapping are not needed at milestone 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 and creatinine values in addition to the albumin-to-creatinine ratio.</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R-03; formerly BL-12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BL-12. Constrained by staticData.showAcrResultOnly, currently true. See FR-RES-002.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18. Results Access Protection</w:t>
      </w:r>
    </w:p>
    <w:p>
      <w:pPr>
        <w:spacing w:after="180" w:before="0" w:line="260"/>
      </w:pPr>
      <w:r>
        <w:rPr>
          <w:rFonts w:ascii="Calibri" w:cs="Calibri" w:eastAsia="Calibri" w:hAnsi="Calibri"/>
          <w:sz w:val="20"/>
          <w:szCs w:val="20"/>
        </w:rPr>
        <w:t xml:space="preserve">Requirements controlling access to the results center after a test has been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access to the post-test results center to users who have set a PIN code.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TSM.30; SPTA 1.4,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PIN code has not been set, the software shall prompt the user to create one before granting access to the results center. The backend shall report whether a PIN is registered for the user profile.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TSM.31; SRS-BE PIN.1; SPTA 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PIN code entry to numeric values only, of four digits.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TSM.32; 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four digits and the attempt limit is five, both settled at review. Enforced server-side per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maximum number of incorrect PIN attempts is reached, the software shall deny access to the results center and instruct the user to contact support. The backend shall maintain the failure counter and enforce the limit.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TSM.33; SRS-BE PIN.2, PIN.4, PIN.5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is five consecutive failed attempts per the backend SRS,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has not set a PIN code within the defined period after test completion, the software shall lock PIN setup and direct the user to contact support, who may reset it following identity re-verification. The backend shall reject any PIN setup request received after that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TSM.34; SRS-BE PIN.6; SPTA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Period is 24 hours, confirmed by both the threat analysis and the backend SRS, and enforced server-side. The support reset path is deferred as FR-ACC-008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15 minutes of inactivity in the results center, the software shall return the user to the home screen and shall require the PIN to be entered again before the results center can be re-entered. The backend shall invalidate the session on the same interval.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1.7; SRS-BE PIN.7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15-minute value comes from the threat analysis and is confirmed by the backend SRS, which enforces it server-side. Applies to the results center only; FR-STA-003 bars any inactivity timeout during an active test. Restated at review: re-entry is by PIN rather than Date of Birth, since the Date of Birth is no longer requested at 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integrate PIN setup into the test workflow, so that the user is prompted to set a PIN as part of completing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BL-25. With FR-ACC-007 and FR-ACC-008 also deferred, RA 7.21 has no software control in this version; severity is 1 and the consequence is loss of access to results beyond the initial 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successful PIN setup, the software shall offer the user the option to enable biometric authentication for results-center access on devices that provide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TSM.35; RA 7.21; formerly BL-26,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BL-26. With FR-ACC-003 and FR-ACC-008; see the note against FR-ACC-003.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PIN reset by customer support following identity re-verification.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BL-27,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BL-27. With FR-ACC-003 and FR-ACC-007; a user who forgets their PIN has no recovery path until this is implemented.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19. Results Center and the Main Menu</w:t>
      </w:r>
    </w:p>
    <w:p>
      <w:pPr>
        <w:spacing w:after="180" w:before="0" w:line="260"/>
      </w:pPr>
      <w:r>
        <w:rPr>
          <w:rFonts w:ascii="Calibri" w:cs="Calibri" w:eastAsia="Calibri" w:hAnsi="Calibri"/>
          <w:sz w:val="20"/>
          <w:szCs w:val="20"/>
        </w:rPr>
        <w:t xml:space="preserve">Two things the user reaches outside the test flow. The results center is a screen of its own, giving access to previous results; access to it is controlled by section 18. The main menu, presented as a hamburger on the home screen, is the route to the information pages an authenticated user may need at any time. Several of those pages are required elsewhere in this document for a specific moment in the flow; the requirements here add the obligation that they are also reachable from the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results center as a screen of its own, giving the authenticated user ongoing access to their most recent result and stating the date on which that test was performed. The backend shall transmit that result on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SRS-BE COM.12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at review: the results center main screen shows the most recent result and is milestone 3; the history of earlier results is a separate screen and is deferred as FR-PRT-015. Whether invalidated tests appear, and whether results belonging to another registered user on the same phone number are excluded, are to be specified;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control on the home screen by which an authenticated user can open the results center directly, separately from the main menu.</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 second entry point to the results center alongside the main menu of FR-PRT-002, so that a returning user reaches their result without going through a menu</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main menu, reached from a hamburger control on the home screen, available to an authenticated user at any time outside an active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container for FR-PRT-003 to FR-PRT-005, and for the deferred FAQ entry FR-SUP-001. Priority follows the menu items required at milestone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an About screen presenting the regulatory information required for the device.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to be specified by regulatory. Subject to FR-TXT-002 for component naming; whether the grade-6 reading level in FR-TXT-001 applies to mandated regulatory wording is to be confirmed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support contact, enabling an authenticated user to reach support without starting a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STM.10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Adds menu access to the support route required by FR-SUP-002. In-application support chat is deferred as FR-SUP-004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the Privacy Policy and the Terms and Conditions, presented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CON.1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States the presentation mechanism and the menu route for FR-CNS-001, which requires the documents to be viewable. Realised by staticData.privacyUrl and staticData.termsUrl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open a configured web page from the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TSM.43; formerly BL-10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BL-10. The survey web view in FR-SUR-001 is in this version and is separate from this item.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the results letter.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BL-16. Part of the results center screen required by FR-PRT-001. Overlaps FR-SHR-015, which covers generation, saving and email sharing as one item; the two should be merged when the milestone-5 set is reconciled.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share the results letter.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BL-17. Part of the results center screen; overlaps FR-SHR-015 as above.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further information about their result.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BL-18. Part of the results center screen. Realised by resultPortalMoreInfoUrl, already set for normal and abnormal results. Distinct from the explanatory material required at the point of result delivery by FR-TXT-019, which is in scope now.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post-test lobby as the state of the home screen following a successful test, comprising a checklist of post-test actions each with an open or closed presentation state and a done or not-done completion state, and a control that navigates to the results center. The lobby shall be shown for a configured period after the most recent result, after which the home screen returns to its regular state.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formerly BL-36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BL-36. The screen and its mechanics. Realised by staticData.resultsLobbyDuration, currently 90 days. Detailed behaviour, including the four state combinations per item, the collapse and expand rules and the row confirming a test was performed, is specified in the lobby spec and is not reproduced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post-test lobby shall present the post-test actions defined for the result type, comprising sharing the results letter and booking an appointment for a positive result, sharing the doctor's information according to the primary care provider questionnaire, a simplified layout without actions for a normal result, and a control to start a new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application may retain a non-revealing indicator of recent result positivity and use that to decide what to present, following the existing kidney application, rather than depending on the backend to supply positivity. Post test lobby redesign spec (lobby 4); formerly BL-37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BL-37. The action set. Gated per partner by staticData.additionalResultsCTA for the appointment action. Requires result positivity to be available to the application, which the lobby spec records as an open backend dependency. Sharing depends on FR-SHR-012 and FR-PRT-009; starting a new test is subject to 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omit a next-steps section, shall present a view-results-letter control within its further-information area, and shall present the result explanation collapsed when the results center is opened.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phase 2; formerly BL-39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BL-39. Results center changes accompanying the lobby redesign. Interacts with FR-PRT-001, FR-PRT-009 and FR-PRT-011.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provide a results history screen presenting the user's last five results, reachable only where more than one result exists.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part of FR-PRT-001; formerly BL-42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BL-42. Separated from FR-PRT-001 at review. The results center main screen shows the most recent result and is milestone 3; this history screen is future development. Realised by portalResultsHistoryEnabled.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20. Result Routing and Provider Communication</w:t>
      </w:r>
    </w:p>
    <w:p>
      <w:pPr>
        <w:spacing w:after="180" w:before="0" w:line="260"/>
      </w:pPr>
      <w:r>
        <w:rPr>
          <w:rFonts w:ascii="Calibri" w:cs="Calibri" w:eastAsia="Calibri" w:hAnsi="Calibri"/>
          <w:sz w:val="20"/>
          <w:szCs w:val="20"/>
        </w:rPr>
        <w:t xml:space="preserve">Requirements ensuring the result reaches the correct provider and is recorded against the correct patient. In this revision the result reaches the provider through the backend; the user-initiated sharing and provider-contact features are deferred, and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data model shall be segmented by partnering organisation, enforcing logical data isolation so that records belonging to one health provider are inaccessible to another, and each patient shall be mapped to a single medical provider organisation, in a manner that supports both prescription generation and the return of results to the prescribing doctor.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 SRS-BE LOG.3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Multi-tenancy isolation stated explicitly from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route test result data according to the medical provider organisation associated with the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map each test result to the patient record associated with the verified user token used to submit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see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medical provider organisation shall have a separate integration setup and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Integration protocols with medical providers shall be based on industry standards, using HL7 for data integrity. The provider-specific protocol and data mapping shall be documented and agreed with the provider before implementation, and access shall be denied to unauthorised addresses.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Address restriction added from the backend SRS. HISP delivery to primary care providers was separated at review and is deferred as FR-SHR-017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communication protocol shall include handshake and acknowledgement mechanisms that verify successful transmission of test result 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identify failed provider transmissions and shall retry transmission when communication with the medical provider becomes available.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reject malformed or nonconforming provider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configuration shall state, for each partner, whether doctor-to-patient engagement takes place within the application or outside it, and the software shall present the corresponding post-result journey.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the user with an option to share test results with their primary care provider.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TSM.46; formerly BL-06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BL-06. Consolidates two deferred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with a doctor before starting a test or after completing 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TSM.39; formerly BL-08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BL-08. Scope determined by FR-SHR-011.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call a primary care provider or care team using a configured phone number.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TSM.42; formerly BL-09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generation of a results letter in PDF format, and shall allow the user to save it to the smartphone and share it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TSM.36, TSM.37, TSM.38; SRS-BE COM.10; formerly BL-11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BL-11. Confirmed for future development. The backend SRS requires letter generation and transmission as SRS-BE COM.10.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completing a results-sharing action requires an application outside this one, the software shall hand off to that application. Hand-off shall be limited to applications explicitly configured for that purpose, shall be initiated only by an action the user has taken, and shall pass no more information than the sharing action requires.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TSM.44; review register Q-20; formerly BL-41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BL-41. Stated generally rather than naming a particular application. The guard is deliberate: SRS TSM.44 permitted launching arbitrary applications, which had no stated purpose and no security rationale.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integration shall support the HISP protocol for secure delivery of results to primary care providers.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 formerly part of FR-SHR-005; formerly BL-43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BL-43. Separated from FR-SHR-005 at review. HL7 and the documented per-provider mapping remain in the body at milestone 3; HISP delivery is future development.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determine whether a configured sharing application is present on the device, and shall present the sharing options that apply accordingly.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FR-SHR-016; formerly BL-44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BL-44. With the rest of user-initiated sharing. Detection is limited to applications explicitly configured for sharing, which is the same allow-list FR-SHR-016 restricts hand-off to; neither platform permits enumerating what else is installed.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21. Support and Help</w:t>
      </w:r>
    </w:p>
    <w:p>
      <w:pPr>
        <w:spacing w:after="180" w:before="0" w:line="260"/>
      </w:pPr>
      <w:r>
        <w:rPr>
          <w:rFonts w:ascii="Calibri" w:cs="Calibri" w:eastAsia="Calibri" w:hAnsi="Calibri"/>
          <w:sz w:val="20"/>
          <w:szCs w:val="20"/>
        </w:rPr>
        <w:t xml:space="preserve">Requirements for the routes by which a user obtains assistance, including from within a blocked or failed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contact the support team by telephone or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SPTA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per review. Realised by staticData.supportNumber and staticData.supportEmail. SPTA 5.2 relies on support offering workarounds during a third-party outage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blocks the user from proceeding and the user cannot resolve the condition themselves, it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Frequently Asked Questions page, reachable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STM.9 and FR-PRT-006; formerly BL-19,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BL-19. Consolidated per review into a single entry covering both the page and its menu route. Realised by staticData.faqUrl.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session with a support agent.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SRS-BE EX.6, SEC.9; formerly BL-40,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BL-40. Support by telephone and email remains in the body as FR-SUP-002. The backend SRS requires the chat endpoint and TLS 1.3 with AES-256 at rest for chat content.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is invalidated, the software shall ask the user whether the kit had already been used for a practice or dry run, so that a kit spent in practice is distinguished from a test that failed for another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The predecessor already carries the idea of a run that does not count, reached through the troubleshooting conversation; what it has no way of establishing is whether the kit in hand was spent that way, which changes both the explanation and the corrective action. Reason categories come from FR-ALG-012 and the messaging from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22. Analytics and User Feedback</w:t>
      </w:r>
    </w:p>
    <w:p>
      <w:pPr>
        <w:spacing w:after="180" w:before="0" w:line="260"/>
      </w:pPr>
      <w:r>
        <w:rPr>
          <w:rFonts w:ascii="Calibri" w:cs="Calibri" w:eastAsia="Calibri" w:hAnsi="Calibri"/>
          <w:sz w:val="20"/>
          <w:szCs w:val="20"/>
        </w:rPr>
        <w:t xml:space="preserve">Requirements for the instrumentation used to observe how the application is used in the field, and for the post-test survey. Both handle data originating from a patient, so the constraints in section 22 apply to them in full.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analytics events for the user's progress through the test flow, including step entry and completion, blocking conditions raised, scan attempts and their outcomes, and test completion or invalidation, and shall transmit them to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service is Mixpanel; realised by mixpanelProxyEnabled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include personal information, health information or test result values in any analytics event.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RA 6.3; SRS ATT.6; SPTA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Extends FR-SEC-005 to the analytics path, and applies equally to the audit events required by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associate analytics events with a pseudonymous identifier that cannot be resolved to a patient by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Failure of the analytics service, or unavailability of the analytics endpoint, shall not prevent a test from being started, completed, or reported.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is not permitted to become a dependency of the clinical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analytics events through the configured proxy endpoint rather than directly to the analytics provider.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formerly BL-28,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BL-28. Analytics events will reach the provider directly rather than through the proxy until this is implemented; FR-ANL-002 and FR-ANL-003 still bar personal and health information.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configured survey to the user after test completion, opening it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SRS-adjacent; formerly BL-29, originally FR-SUR-001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BL-29. The post-test survey as a whole moves with FR-ANL-007 and FR-ANL-008.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user to decline or dismiss the survey, and shall not require its completion in order to reach the test result or the results center.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 formerly BL-30, originally FR-SUR-002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BL-30. With FR-ANL-006.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survey web view shall be presented only after the result has been delivered, and shall not be capable of interrupting an active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formerly BL-31, originally FR-SUR-003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BL-31. With FR-ANL-006.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operating system's application-store rating prompt.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 formerly BL-32, originally FR-SUR-004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BL-32. The application-store rating prompt depends on the chat flow, which is itself deferred.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23. Security and Data Protection</w:t>
      </w:r>
    </w:p>
    <w:p>
      <w:pPr>
        <w:spacing w:after="180" w:before="0" w:line="260"/>
      </w:pPr>
      <w:r>
        <w:rPr>
          <w:rFonts w:ascii="Calibri" w:cs="Calibri" w:eastAsia="Calibri" w:hAnsi="Calibri"/>
          <w:sz w:val="20"/>
          <w:szCs w:val="20"/>
        </w:rPr>
        <w:t xml:space="preserve">Requirements protecting personal and health information held on the device or in transit. Most originate in the Security and Privacy Threat Analysis, which is the authority for the threat model; the requirements below are the application obligations that follow from it. FR-SEC-008 to FR-SEC-013 were added from that analysis and had no counterpart in the earlier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encrypt all sensitive data stored on the device, and shall store only the data required to complete the test and deliver the result.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ATT.3; SPTA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Minimisation obligation added from the threat analysis; retention is bounded by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code obfuscation enabled on the Android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ATT.4; 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Applicable to Android only; iOS has no obfuscation. Agrees with SPTA 4.11. Settled at review; see decision log Q-14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all debugging functionality and development tools disabled, so that a debugger cannot be attached to a release build.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ATT.5; SPTA 4.13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an error message occurs, the software shall ensure that no personal information or sensitive details are disclosed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 Technical detail is separately constrained by FR-SEC-010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write personal or health information to application logs or crash reports.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see SPTA</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See also FR-ANL-002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retain test data on the device only for as long as required to complete transmission, and shall delete it upon backend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TSM.27; FR-COM-007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user from taking a screenshot of any screen containing personal, health or result information, and shall obscure such content when the application is backgrounded or when the operating system captures a preview of it, so that it is not exposed in the application switcher.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ATT.2; SPTA 4.14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Screenshot prevention added from the threat analysis. This is the sole control for SPTA 4.14, gross score 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persist any authentication credential, password or long-lived secret on the device. Authentication shall be performed server-side, and a retained session token shall not by itself grant access after sign-out or after the session has expired.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SPTA 1.5 scores 16 gross; the stated control is server-side authentication with persistent authentication removed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store cryptographic keys and session tokens only in the platform-provided secure storage, being the iOS Keychain or the Android Keystore, and shall not write them to application files, shared preferences or any location readable by another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Error messages presented to the user shall be generic, and shall not disclose internal technical information including stack traces, class or method names, file paths, backend endpoints, component versions or database detail.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Distinct from FR-SEC-004, which concerns personal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and sanitise all user-supplied input before using it, storing it or transmitting it to the backend, accepting only values conforming to the expected type, length and character set for that field.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The field-specific rules in FR-AUT-002, FR-AUT-008 and FR-ACC-004 are instances of this requirement, not a substitute for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artefacts for both platforms, being the iOS IPA and the Android APK or AAB, shall be encrypted.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Process requirement, verified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report security-relevant events to the backend for audit logging, including authentication attempts and their outcome, PIN entry failures, device-integrity check failures, and any condition that caused a test to be blocked from starting. These events shall carry no personal or health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3.1, 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This is an audit channel distinct from the analytics events required by section 21; FR-ANL-002 applies to both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transmit personal or health information from any build in which the transport controls of FR-COM-001 and FR-COM-002 are not fully implemented. Such a build shall be used only with data that did not come from a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CR-21; SPTA 2.11,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Test data upload is at milestone 1 while TLS enforcement and certificate pinning are at milestone 3, so this states the constraint that keeps patient data out of the milestone-1 build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24. Application Configuration</w:t>
      </w:r>
    </w:p>
    <w:p>
      <w:pPr>
        <w:spacing w:after="180" w:before="0" w:line="260"/>
      </w:pPr>
      <w:r>
        <w:rPr>
          <w:rFonts w:ascii="Calibri" w:cs="Calibri" w:eastAsia="Calibri" w:hAnsi="Calibri"/>
          <w:sz w:val="20"/>
          <w:szCs w:val="20"/>
        </w:rPr>
        <w:t xml:space="preserve">The application's behaviour is governed at run time by a configuration set retrieved from the backend, resolved per application and per partner. Values that implement a timing, image-validation or assay control are fixed in the application and are not configurable, as stated in the relevant sections. Appendix H registers every configuration and states which requirement it realises.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retrieve its configuration set from the backend before a test may be started. The set comprises every server-supplied value that governs the behaviour of the application, including those resolved for the application and for the partner associated with the authenticated user. Where retrieval has not yet completed, the software shall indicate that it is not yet ready, and shall not present the condition as a failure.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Broadened at review: the partner-specific values are part of the set rather than the whole of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configuration set cannot be retrieved, or fails validation against the defined schema, the software shall prevent a test from being started and shall not substitute a configuration set embedded in the application build. Where a retrieved and valid set does not supply an individual value, the software shall apply the default defined in the application for that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derived from RA 4.18,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in the test record transmitted to the backend, the identity and version of the configuration set that was in force for that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supports RA 4.22; formerly BL-33,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at Guy's direction, formerly BL-33. A completed test carries the configuration it ran under, so a test's configuration can be reconstructed after the fact. It depends on the configuration set that FR-CFG-001 requires, which moved to milestone 2 at the SPEC-04 review; this stays at 3 because recording the set with the test record is a submission obligation rather than something the demonstration or the usability rehearsal needs. Closes Q-32.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Demonstration and mock result behaviour shall be enforced server-side. The backend shall not return a demonstration or mock result for a partner that is not designated as a demonstration partner, irrespective of any value supplied by the application.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RA 4.21; formerly BL-34,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demonstration at Guy's direction, formerly BL-34. The clause requiring a demonstration result to be labelled was removed at Rev 1.19 per Q-100, because FR-RES-006 already carries that obligation, leaving this a backend rule alone. Server-side enforcement matters because demonstration mode is a state the backend returns with the configuration, so nothing held on the device can be relied on to keep a demonstration result away from a patient. Settles the doubt recorded against Q-31.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configuration places the application in a blocked state, the software shall prevent a test from being started, shall inform the user of the reason, and shall provide support contact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formerly BL-35,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submission at Guy's direction, formerly BL-35. The configured blocked state is a response the product already returns and has screens for; SPEC-01 proposed promoting it. The blocking, notifying and configured-off distinction applies: this one blocks.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integration of components required for the A/B testing interface.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EX.2; formerly BL-07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BL-07. The abTestingEnabled configuration is out of scope; reinstate with this item.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25. Software Lifecycle and Verification</w:t>
      </w:r>
    </w:p>
    <w:p>
      <w:pPr>
        <w:spacing w:after="180" w:before="0" w:line="260"/>
      </w:pPr>
      <w:r>
        <w:rPr>
          <w:rFonts w:ascii="Calibri" w:cs="Calibri" w:eastAsia="Calibri" w:hAnsi="Calibri"/>
          <w:sz w:val="20"/>
          <w:szCs w:val="20"/>
        </w:rPr>
        <w:t xml:space="preserve">Requirements arising from risk controls that are implemented through the software development and maintenance process rather than through application behaviour. Development standards, including unit testing, are distinct from release testing and are specified in the Software Development Plan; the requirements below are those the Risk Analysis relies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shall be evaluated before integration to confirm their suitability, compatibility, and impact on device safety and performance, and shall be obtained only from official sources.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and their updates shall be validated within the complete device software system before release.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versions and configurations of off-the-shelf software components shall be controlled and recorded, with a continuous inventory maintained by a dependency scanning tool.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2.7,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8.1 requires scanning weekly and on every update to an off-the-shelf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Updates, patches, known anomalies, security vulnerabilities and supplier notifications associated with off-the-shelf software components shall be monitored throughout the software lifecycle, and identified changes shall be assessed through the established change-control and risk-management processes.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2.7, 8.1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2.7 additionally requires subscription to vulnerability bulletins including the CISA Known Exploited Vulnerabilities Catalog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Every parameter identified in the system-parameter appendix shall have a defined value, permitted range and documented rationale before design verification, and shall be held under configuration control whether it is fixed in the application or supplied by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timer and timing window shall be separately verified through release testing, including verification under application backgrounding and interruption.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Regression testing of the timing and test-state controls shall be performed for each applicable software release.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algorithm version, and each approved combination of mobile and backend algorithm versions, shall undergo software verification and validation before release. Where a full analytical performance study is not repeated, regression testing shall be performed against the validated reference algorithm using predefined datasets and acceptance criteria.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verification shall confirm that the approved algorithm versions and configuration were deployed to the production environment.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Retention and recovery of test state following interruption shall be verified through release testing, and application termination and reopening during each stage of the test flow shall be verified.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Usability testing shall include representatives of each supported platform and shall evaluate foreseeable interruptions before, during and after result-critical user actions.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dedicated integration testing phase shall be conducted with each medical provider before go-live, verifying connectivity, the accurate transmission and mapping of test result data, routing to the correct provider destination, and the handling of unsuccessful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6.2,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per provider organisation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testing shall be performed before each release, comprising integration, system and regression testing, as detailed in the Software Development Plan. Unit testing and other development standards are specified separately in that plan.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change to any configuration value recorded in the Application Configuration Register as realising a requirement shall be assessed under the established change-control and risk-management processes before it is applied to the production environment.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Formerly a requirement in the configuration section; formerly BL-15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r>
        <w:br w:type="page"/>
      </w:r>
    </w:p>
    <w:p>
      <w:pPr>
        <w:pStyle w:val="Heading1"/>
        <w:spacing w:after="160" w:before="320"/>
      </w:pPr>
      <w:r>
        <w:rPr>
          <w:rFonts w:ascii="Calibri" w:cs="Calibri" w:eastAsia="Calibri" w:hAnsi="Calibri"/>
          <w:b/>
          <w:bCs/>
          <w:color w:val="1F3864"/>
          <w:sz w:val="28"/>
          <w:szCs w:val="28"/>
        </w:rPr>
        <w:t xml:space="preserve">Appendix A – Terminology Mapping</w:t>
      </w:r>
    </w:p>
    <w:p>
      <w:pPr>
        <w:pStyle w:val="Heading2"/>
        <w:spacing w:after="120" w:before="240"/>
      </w:pPr>
      <w:r>
        <w:rPr>
          <w:rFonts w:ascii="Calibri" w:cs="Calibri" w:eastAsia="Calibri" w:hAnsi="Calibri"/>
          <w:b/>
          <w:bCs/>
          <w:color w:val="1F3864"/>
          <w:sz w:val="23"/>
          <w:szCs w:val="23"/>
        </w:rPr>
        <w:t xml:space="preserve">A.1 Superseded Component Names</w:t>
      </w:r>
    </w:p>
    <w:p>
      <w:pPr>
        <w:spacing w:after="100" w:before="0" w:line="260"/>
      </w:pPr>
      <w:r>
        <w:rPr>
          <w:rFonts w:ascii="Calibri" w:cs="Calibri" w:eastAsia="Calibri" w:hAnsi="Calibri"/>
          <w:sz w:val="20"/>
          <w:szCs w:val="20"/>
        </w:rPr>
        <w:t xml:space="preserve">The Product Glossary is authoritative and its terms are used throughout this document. The Risk Analysis and the SRS predate it and in places use different names for the same component. This table is provided so that a requirement here can be matched to the clause it came from when reading either source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6"/>
        <w:gridCol w:w="2197"/>
        <w:gridCol w:w="4547"/>
        <w:gridCol w:w="1560"/>
      </w:tblGrid>
      <w:tr>
        <w:trPr>
          <w:tblHeader/>
        </w:trPr>
        <w:tc>
          <w:tcPr>
            <w:tcW w:type="dxa" w:w="177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Rev 1.0</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Rev 1</w:t>
            </w:r>
          </w:p>
        </w:tc>
        <w:tc>
          <w:tcPr>
            <w:tcW w:type="dxa" w:w="45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Used in this document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 the whole scanned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 the printed reference layer on the Top-Plate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Capillara</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 — pre-attached to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Calibration markers</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anchors</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markers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internal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Transfer Valve, shown to the user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 foil on the buffer tank</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Peel-Off Seal — user-facing name still open, see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 on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suction-generating mechanism</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Plunger and Spring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first-stage wells / detection wells</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Wells / Detection Wells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ACR strip</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applicable. SRS clauses ST.7 to ST.11 relate to the strip and were excluded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 portal</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portal</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 renamed at review. The SRS and the Risk Analysis both say portal; the two configuration keys portalResultsHistoryEnabled and resultPortalMoreInfoUrl keep their names, and the FR-PRT identifier prefix is unchanged since identifiers are permanent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A.2 Names for User-Operated Parts</w:t>
      </w:r>
    </w:p>
    <w:p>
      <w:pPr>
        <w:spacing w:after="100" w:before="0" w:line="260"/>
      </w:pPr>
      <w:r>
        <w:rPr>
          <w:rFonts w:ascii="Calibri" w:cs="Calibri" w:eastAsia="Calibri" w:hAnsi="Calibri"/>
          <w:sz w:val="20"/>
          <w:szCs w:val="20"/>
        </w:rPr>
        <w:t xml:space="preserve">The glossary classifies the Transfer Valve and the Peel-Off Seal as internal engineering sub-components, yet the user operates both during the test, so each needs a name that may be shown on screen. FR-TXT-002 prohibits presenting internal names to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8"/>
        <w:gridCol w:w="4226"/>
        <w:gridCol w:w="2856"/>
        <w:gridCol w:w="1560"/>
      </w:tblGrid>
      <w:tr>
        <w:trPr>
          <w:tblHeader/>
        </w:trPr>
        <w:tc>
          <w:tcPr>
            <w:tcW w:type="dxa" w:w="143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Component</w:t>
            </w:r>
          </w:p>
        </w:tc>
        <w:tc>
          <w:tcPr>
            <w:tcW w:type="dxa" w:w="422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User-facing name</w:t>
            </w:r>
          </w:p>
        </w:tc>
        <w:tc>
          <w:tcPr>
            <w:tcW w:type="dxa" w:w="285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Affected requirements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3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Transfer Valve</w:t>
            </w:r>
          </w:p>
        </w:tc>
        <w:tc>
          <w:tcPr>
            <w:tcW w:type="dxa" w:w="422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Coloured release button — decided. Confirm the colour word once the part colour is fixed, and align the User Manual and any printed labelling.</w:t>
            </w:r>
          </w:p>
        </w:tc>
        <w:tc>
          <w:tcPr>
            <w:tcW w:type="dxa" w:w="285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FR-TXT-015, FR-TIM-007, FR-TIM-009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3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Peel-Off Seal</w:t>
            </w:r>
          </w:p>
        </w:tc>
        <w:tc>
          <w:tcPr>
            <w:tcW w:type="dxa" w:w="422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 see item O-01. Candidates considered were Pull Tab, Sticker and Cover; Pull Tab states the action and distinguishes the part from the Test Board pouch, which the user also opens.</w:t>
            </w:r>
          </w:p>
        </w:tc>
        <w:tc>
          <w:tcPr>
            <w:tcW w:type="dxa" w:w="285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One point to confirm. The Risk Analysis states that the kit identifier QR code sits within the frame area of four black-and-white hexagons that the camera must locate in order to capture a frame. The Product Glossary does not describe a QR code or those hexagons as part of the Color Print. Section 8 and FR-IMG-002 assume the Risk Analysis description holds; if the design has changed, they need review.</w:t>
      </w:r>
    </w:p>
    <w:p>
      <w:pPr>
        <w:pStyle w:val="Heading1"/>
        <w:spacing w:after="160" w:before="320"/>
      </w:pPr>
      <w:r>
        <w:rPr>
          <w:rFonts w:ascii="Calibri" w:cs="Calibri" w:eastAsia="Calibri" w:hAnsi="Calibri"/>
          <w:b/>
          <w:bCs/>
          <w:color w:val="1F3864"/>
          <w:sz w:val="28"/>
          <w:szCs w:val="28"/>
        </w:rPr>
        <w:t xml:space="preserve">Appendix B – System Parameters</w:t>
      </w:r>
    </w:p>
    <w:p>
      <w:pPr>
        <w:spacing w:after="100" w:before="0" w:line="260"/>
      </w:pPr>
      <w:r>
        <w:rPr>
          <w:rFonts w:ascii="Calibri" w:cs="Calibri" w:eastAsia="Calibri" w:hAnsi="Calibri"/>
          <w:sz w:val="20"/>
          <w:szCs w:val="20"/>
        </w:rPr>
        <w:t xml:space="preserve">Each parameter below is referenced by one or more requirements and requires a value, a permitted range and a documented rationale before design verification can be planned. Most are fixed in the application rather than supplied by configuration; where that is so it is stated, and FR-LCM-006 places them under configuration control either way. The Review Register at the front lists the same open values as actionable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7"/>
        <w:gridCol w:w="2535"/>
        <w:gridCol w:w="3448"/>
        <w:gridCol w:w="1560"/>
      </w:tblGrid>
      <w:tr>
        <w:trPr>
          <w:tblHeader/>
        </w:trPr>
        <w:tc>
          <w:tcPr>
            <w:tcW w:type="dxa" w:w="253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253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Referenced by</w:t>
            </w:r>
          </w:p>
        </w:tc>
        <w:tc>
          <w:tcPr>
            <w:tcW w:type="dxa" w:w="344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battery level</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available storage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staticData.lowDiskSpaceSize currently 80, units to confirm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hardware specification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Supported operating-system range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to follow from the IVTS device qualification.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OTP attempt limit and expiry</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minutes to expiry; 5 consecutive failures lock verification for 15 minutes, per SRS-BE AUT.5 and AUT.6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users per phone number</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Realised by appUniqueIdentifier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Results-center inactivity timeout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FR-ACC-009</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minutes per SPTA 1.7, fixed not configurable. No timeout applies during an active test, per FR-STA-003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Post-test lobby duration</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per staticData.resultsLobbyDuration. The home screen shows the post-test lobby for this period after a result, then returns to its regular state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Sample collection to Sample Pod connection limit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Currently specified as 30 minutes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Incubation Well residence time and release-button window</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FR-TIM-009</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Colour-evolution period and scanning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FR-TIM-008, FR-TIM-011</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IVTS acceptance thresholds and minimum valid frames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Defined in the IVTS document and referenced rather than restated. Realised by minValidFrames and staticData.fieldOfVision (80.0)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length and composition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incorrect PIN attempts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consecutive failed attempts per SRS-BE PIN.5,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New-kit alert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configurable.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setup grace period</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confirmed by SPTA 1.7 and SRS-BE PIN.6. After this the PIN is locked and only support can reset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Session token lifetime</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per SRS-BE AUT.8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Reading-level ceiling</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FR-RES-012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Flesch-Kincaid grade 6 per the Product Glossary. Fixed, not configurable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A maximum total test duration and a tone-mapping parameter appear in neither list: the requirements that referenced them are not included, and are recorded in Appendix D.</w:t>
      </w:r>
    </w:p>
    <w:p>
      <w:pPr>
        <w:pStyle w:val="Heading1"/>
        <w:spacing w:after="160" w:before="320"/>
      </w:pPr>
      <w:r>
        <w:rPr>
          <w:rFonts w:ascii="Calibri" w:cs="Calibri" w:eastAsia="Calibri" w:hAnsi="Calibri"/>
          <w:b/>
          <w:bCs/>
          <w:color w:val="1F3864"/>
          <w:sz w:val="28"/>
          <w:szCs w:val="28"/>
        </w:rPr>
        <w:t xml:space="preserve">Appendix C – Traceability</w:t>
      </w:r>
    </w:p>
    <w:p>
      <w:pPr>
        <w:spacing w:after="100" w:before="0" w:line="260"/>
      </w:pPr>
      <w:r>
        <w:rPr>
          <w:rFonts w:ascii="Calibri" w:cs="Calibri" w:eastAsia="Calibri" w:hAnsi="Calibri"/>
          <w:sz w:val="20"/>
          <w:szCs w:val="20"/>
        </w:rPr>
        <w:t xml:space="preserve">The Source column of each requirements table provides the forward trace from this document to the Risk Analysis and the SRS. Two matrices are to be produced from it and maintained alongside it:</w:t>
      </w:r>
    </w:p>
    <w:p>
      <w:pPr>
        <w:spacing w:after="100" w:before="0" w:line="260"/>
      </w:pPr>
      <w:r>
        <w:rPr>
          <w:rFonts w:ascii="Calibri" w:cs="Calibri" w:eastAsia="Calibri" w:hAnsi="Calibri"/>
          <w:sz w:val="19"/>
          <w:szCs w:val="19"/>
        </w:rPr>
        <w:t xml:space="preserve">•  Risk Analysis to requirements — for every risk in QACR-RA-01 whose risk-control measure is implemented in software, the requirement or requirements that implement it. This matrix populates the traceability appendix of the Risk Analysis and demonstrates that no software risk control is left unimplemented.</w:t>
      </w:r>
    </w:p>
    <w:p>
      <w:pPr>
        <w:spacing w:after="100" w:before="0" w:line="260"/>
      </w:pPr>
      <w:r>
        <w:rPr>
          <w:rFonts w:ascii="Calibri" w:cs="Calibri" w:eastAsia="Calibri" w:hAnsi="Calibri"/>
          <w:sz w:val="19"/>
          <w:szCs w:val="19"/>
        </w:rPr>
        <w:t xml:space="preserve">•  Requirements to verification — for every requirement in this document, the verification activity that demonstrates it. Requirements in section 25 are verified by review of process records rather than by software test.</w:t>
      </w:r>
    </w:p>
    <w:p>
      <w:pPr>
        <w:spacing w:after="100" w:before="0" w:line="260"/>
      </w:pPr>
      <w:r>
        <w:rPr>
          <w:rFonts w:ascii="Calibri" w:cs="Calibri" w:eastAsia="Calibri" w:hAnsi="Calibri"/>
          <w:sz w:val="19"/>
          <w:szCs w:val="19"/>
        </w:rPr>
        <w:t xml:space="preserve">•  Glossary to requirements — for every main component and user-operated sub-component in the Product Glossary, the instructional-flow requirement that covers the user action involving it. This matrix is the means of detecting a procedural step that the application does not guide, which is how the Peel-Off Seal step in FR-FLW-019 was identified.</w:t>
      </w:r>
    </w:p>
    <w:p>
      <w:pPr>
        <w:spacing w:after="100" w:before="160" w:line="260"/>
      </w:pPr>
      <w:r>
        <w:rPr>
          <w:rFonts w:ascii="Calibri" w:cs="Calibri" w:eastAsia="Calibri" w:hAnsi="Calibri"/>
          <w:i/>
          <w:iCs/>
          <w:color w:val="666666"/>
          <w:sz w:val="20"/>
          <w:szCs w:val="20"/>
        </w:rPr>
        <w:t xml:space="preserve">This revision contains 253 requirements across 22 functional areas.</w:t>
      </w:r>
    </w:p>
    <w:p>
      <w:r>
        <w:br w:type="page"/>
      </w:r>
    </w:p>
    <w:p>
      <w:pPr>
        <w:pStyle w:val="Heading1"/>
        <w:spacing w:after="160" w:before="320"/>
      </w:pPr>
      <w:r>
        <w:rPr>
          <w:rFonts w:ascii="Calibri" w:cs="Calibri" w:eastAsia="Calibri" w:hAnsi="Calibri"/>
          <w:b/>
          <w:bCs/>
          <w:color w:val="1F3864"/>
          <w:sz w:val="28"/>
          <w:szCs w:val="28"/>
        </w:rPr>
        <w:t xml:space="preserve">Appendix D – Requirements Considered and Not Included</w:t>
      </w:r>
    </w:p>
    <w:p>
      <w:pPr>
        <w:spacing w:after="100" w:before="0" w:line="260"/>
      </w:pPr>
      <w:r>
        <w:rPr>
          <w:rFonts w:ascii="Calibri" w:cs="Calibri" w:eastAsia="Calibri" w:hAnsi="Calibri"/>
          <w:sz w:val="20"/>
          <w:szCs w:val="20"/>
        </w:rPr>
        <w:t xml:space="preserve">Requirements that were considered and are not part of this version. They are recorded rather than deleted, because a requirement absent from this document does not by itself remove the obligation from the Risk Analysis. The final column states whether the Risk Analysis relies on the application to deliver the control, and therefore whether the RA needs editing.</w:t>
      </w:r>
    </w:p>
    <w:p>
      <w:pPr>
        <w:spacing w:after="180" w:before="0" w:line="260"/>
      </w:pPr>
      <w:r>
        <w:rPr>
          <w:rFonts w:ascii="Calibri" w:cs="Calibri" w:eastAsia="Calibri" w:hAnsi="Calibri"/>
          <w:sz w:val="20"/>
          <w:szCs w:val="20"/>
        </w:rPr>
        <w:t xml:space="preserve">The appendix is divided into four parts. The first three hold the three different kinds of row this appendix has always carried, separated because only the first is an exclusion and reading them as one list has caused confusion before. The fourth records identifiers that are unaccounted for.</w:t>
      </w:r>
    </w:p>
    <w:p>
      <w:pPr>
        <w:pStyle w:val="Heading2"/>
        <w:spacing w:after="120" w:before="240"/>
      </w:pPr>
      <w:r>
        <w:rPr>
          <w:rFonts w:ascii="Calibri" w:cs="Calibri" w:eastAsia="Calibri" w:hAnsi="Calibri"/>
          <w:b/>
          <w:bCs/>
          <w:color w:val="1F3864"/>
          <w:sz w:val="23"/>
          <w:szCs w:val="23"/>
        </w:rPr>
        <w:t xml:space="preserve">D.1 Not Included in This Version — 15 requirements</w:t>
      </w:r>
    </w:p>
    <w:p>
      <w:pPr>
        <w:spacing w:after="100" w:before="0" w:line="260"/>
      </w:pPr>
      <w:r>
        <w:rPr>
          <w:rFonts w:ascii="Calibri" w:cs="Calibri" w:eastAsia="Calibri" w:hAnsi="Calibri"/>
          <w:sz w:val="20"/>
          <w:szCs w:val="20"/>
        </w:rPr>
        <w:t xml:space="preserve">Genuine exclusions. Each was considered and is not part of this version. These are the only rows in this appendix that represent a scope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BL-38</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record analytics events for the post-test lobby, comprising lobby display with the completion state of each action, and action, done, undone, collapse and expand interactions, each identifying the action type.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Withdrawn at Guy's direction, 12 Aug 2026. Withdrawn at Guy's direction: the lobby analytics event set is feature-spec detail, not a functional requirement. FR-ANL-001 already requires analytics for progress through the test flow. Was a deferred backlog item and is not carried into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FR-IMG-012</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independently re-validate image quality and block a result where thresholds are not met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current RA draft has replaced the backend re-validation clause in RA 7.16 with “Software Algorithms safely invalidate scans…”, which FR-IMG-015 covers. No further RA edit is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FR-CFG-005</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configuration value shall be capable of disabling a requirement that implements a risk control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The intent is now largely met by other means: the timing values in section 12, the PIN parameters in section 18 and the readiness thresholds in section 5 are stated as fixed in the application rather than configurable, so they are not reachable by configuration. The residual exposure is the controls that remain configuration-driven, principally the IVTS thresholds and the demonstration flags, and FR-CFG-004 covers the latter server-side.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text supplied by configuration shall be drawn from the approved content set and meet section 10</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the consequence: customBlockFlowAlertParams carries a free-text title and body set per partner, so blocking-message text can be authored outside the approved content set and outside the grade-6 reading level required by FR-TXT-001.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device software shall be developed and maintained in accordance with the Class B classification under IEC 62304</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classification is stated in RA section 6 and the obligation stands irrespective of this document. Development standards belong in the Software Development Plan; FR-LCM-017 covers release testing.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FR-LCM-013</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 shall evaluate whether the user understands each content requirement that is a risk control</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PARTIAL — RA 7.3, 7.6 and 7.19 each cite usability testing of the instruction as a mitigation. FR-LCM-012 retains usability testing but only for platform coverage and interruptions, so evaluation of instructional comprehension is no longer required by this document. Confirm it is covered by the Usability Engineering Plan, otherwise those three RA clauses have no verification activity.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reading level of all user-facing text shall be measured before each release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Note that FR-TXT-001 remains at milestone 2, so the grade-6 ceiling is required but no longer has a stated verification activity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Component names shall be reconciled against the Product Glossary at each release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As above, FR-TXT-002 remains at milestone 2 without a stated verification activity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If the Urine Collection Cup was filled, disable cancellation, complete the test flow and upload the data</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TSM.20 maps to it and should be marked withdrawn when the SRS is updated. FR-STA-008 still bars cancellation once the cup is filled, so the gate remains; what is no longer stated is the positive obligation to carry the test through to upload.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FR-TXT-018</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shall present the safety information applicable to buffer or reagent contact with skin or eyes, including the instruction to rinse with water</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2.2, 2.5 and 7.36 each assign the safety warning and the rinse instruction to the User Manual alone. There is no in-app clause to delete, so the Risk Analysis is unaffected.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 the type of consent given and the time it was given, and transmit both to the backend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consent recording remains future development as FR-CNS-007 at milestone 5, which is where the obligation and the Q-11 decision sit. The identifier was issued for one draft revision on a mistaken reading of a review comment and is recorded here so that it is not reissued.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FR-SUR-005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application-store rating prompt shall not be presented during an active test, on a results screen, or after an invalid test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that the rating prompt itself is future development as FR-ANL-009, so nothing currently triggers the prompt. If FR-ANL-009 is implemented, the constraint should be reconsidered.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FR-PLT-007</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be published with automatic update enabled wherever the application store supports it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4.17 relies on the version check in FR-RDY-004, which blocks an unsupported application version outright, rather than on automatic update. The RA clause is satisfied without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Present the framing guidance in spoken form during scanning</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Restated as FR-IMG-024</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7.12, 7.14 and 7.16 trace to FR-IMG-024.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FR-AUT-009</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phone number and invite code do uniquely identify a single registered user, the software shall not request the Date of Birth at login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Date of Birth is not part of login in this version. Requesting it at login is only meaningful where more than one patient shares a phone number or an address, and both cases are future development as FR-AUT-007 and FR-AUT-011, so the condition was always true and the requirement was satisfied by writing no code. The Date of Birth confirmation at the start of every test, FR-AUT-012, is unaffected and is now milestone 3. The traceability is also reconciled: RA 6.4 traces to FR-AUT-010, FR-AUT-012, FR-AUT-013, FR-AUT-014 and FR-SHR-003, all in scope and all at milestone 3. That single list replaces the two inconsistent lists this appendix and the note now carried by FR-AUT-007 previously held.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D.2 Superseded Wording and Capability Limits — 1 row</w:t>
      </w:r>
    </w:p>
    <w:p>
      <w:pPr>
        <w:spacing w:after="100" w:before="0" w:line="260"/>
      </w:pPr>
      <w:r>
        <w:rPr>
          <w:rFonts w:ascii="Calibri" w:cs="Calibri" w:eastAsia="Calibri" w:hAnsi="Calibri"/>
          <w:sz w:val="20"/>
          <w:szCs w:val="20"/>
        </w:rPr>
        <w:t xml:space="preserve">Not an exclusion. A requirement of the same number remains in force in the body of this document, with different wording, so the identifier appears here and in the body at the same time. That is intended: the row records the earlier wording and why it changed, so that a reader coming from the Risk Analysis or the SRS can find the clause they are looking for. Read this one first — it is a capability limit rather than a scope decision, and nine risk rows relied on what is no longer detectable.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 (earlier wording)</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out-of-sequence assay signatures and block a result where present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Capability not achievable; FR-ALG-008 states the detectable conditions instead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IN THE RISK ANALYSIS, EXCEPT RA 7.34. Nine rows cited “Software Algorithms detect out-of-sequence assay signatures and block invalid results”. Out-of-sequence detection is not achievable. What is achievable, and is required by FR-ALG-008, is detecting that the sample was not introduced into the buffer and that insufficient fluid reached the Detection Wells. The rows resolve as follows. RA 3.8, no fluid flow to the detection wells, is covered by the insufficient-fluid detection. RA 3.9 and RA 3.10, the release button operated before incubation is complete, no longer rely on software detection; RA 3.9 relies on the instruction and the timer, which are FR-TXT-015, FR-TIM-007 and FR-TIM-009. RA 7.9, 7.23, 7.29, 7.30 and 7.36 each retain at least one other requirement at milestone 1 to 3. RA 7.34, the test performed at extreme ambient temperature or humidity, is not yet resolved and is the one row whose only software control is a requirement at TBD priority.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D.3 Consolidated into Another Requirement — 6 requirements</w:t>
      </w:r>
    </w:p>
    <w:p>
      <w:pPr>
        <w:spacing w:after="100" w:before="0" w:line="260"/>
      </w:pPr>
      <w:r>
        <w:rPr>
          <w:rFonts w:ascii="Calibri" w:cs="Calibri" w:eastAsia="Calibri" w:hAnsi="Calibri"/>
          <w:sz w:val="20"/>
          <w:szCs w:val="20"/>
        </w:rPr>
        <w:t xml:space="preserve">Not exclusions either. The substance of each was carried into another requirement, which is named in the disposition and which also names it in its own Notes column. Nothing was lost; the identifier is retired and is not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FR-IMG-003</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whether the Test Board is entirely within the camera frame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FR-IMG-002</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TSM.10 now traces to FR-IMG-002.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Capture a set of images rather than a single image and transmit the complete set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FR-CAM-001</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PER.2, PER.3 and the Glossary now trace to FR-CAM-001.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FR-KIT-006</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an additional test where the kit identifier has already been used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FR-KIT-004</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TSM.40 now traces to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FR-STA-001</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Persistently retain the current test state throughout the test flow</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persistence obligation and all five RA traces (4.1, 4.2, 4.3, 4.4, 4.18) were carried into FR-STA-003 rather than dropped.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return to the application, resume at the active step and make instructions available for replay</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the Test Board being scanned before the colour-evolution period has elapsed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FR-TIM-008</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4.4 now traces to FR-TIM-008 as well as FR-TIM-011.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D.4 Identifiers Not Accounted For</w:t>
      </w:r>
    </w:p>
    <w:p>
      <w:pPr>
        <w:spacing w:after="100" w:before="0" w:line="260"/>
      </w:pPr>
      <w:r>
        <w:rPr>
          <w:rFonts w:ascii="Calibri" w:cs="Calibri" w:eastAsia="Calibri" w:hAnsi="Calibri"/>
          <w:sz w:val="20"/>
          <w:szCs w:val="20"/>
        </w:rPr>
        <w:t xml:space="preserve">Five identifiers appear in none of the four places an identifier may legitimately live — the requirement tables, this appendix, Appendix E, or a “formerly” note in Appendix E. Every other number in every prefix is accounted for. They are recorded here so that the gap is deliberate rather than silent.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3"/>
        <w:gridCol w:w="7167"/>
        <w:gridCol w:w="1560"/>
      </w:tblGrid>
      <w:tr>
        <w:trPr>
          <w:tblHeader/>
        </w:trPr>
        <w:tc>
          <w:tcPr>
            <w:tcW w:type="dxa" w:w="13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Identifier</w:t>
            </w:r>
          </w:p>
        </w:tc>
        <w:tc>
          <w:tcPr>
            <w:tcW w:type="dxa" w:w="71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FR-IMG-018</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 Never traced in any revision of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FR-IMG-019</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FR-SHR-009</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FR-SHR-010</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FR-TIM-013</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Whether these ever carried text is to be confirmed before this document is finalised; if any did, it needs a withdrawal row of its own in D.1. The review register carries this as an open item. From this revision onward the build checks every identifier ever issued against a manifest, so a number cannot disappear or be reissued without the build failing — see section 2.1.</w:t>
      </w:r>
    </w:p>
    <w:p>
      <w:r>
        <w:br w:type="page"/>
      </w:r>
    </w:p>
    <w:p>
      <w:pPr>
        <w:pStyle w:val="Heading1"/>
        <w:spacing w:after="160" w:before="320"/>
      </w:pPr>
      <w:r>
        <w:rPr>
          <w:rFonts w:ascii="Calibri" w:cs="Calibri" w:eastAsia="Calibri" w:hAnsi="Calibri"/>
          <w:b/>
          <w:bCs/>
          <w:color w:val="1F3864"/>
          <w:sz w:val="28"/>
          <w:szCs w:val="28"/>
        </w:rPr>
        <w:t xml:space="preserve">Appendix E – Application Configuration Register</w:t>
      </w:r>
    </w:p>
    <w:p>
      <w:pPr>
        <w:spacing w:after="100" w:before="0" w:line="260"/>
      </w:pPr>
      <w:r>
        <w:rPr>
          <w:rFonts w:ascii="Calibri" w:cs="Calibri" w:eastAsia="Calibri" w:hAnsi="Calibri"/>
          <w:sz w:val="20"/>
          <w:szCs w:val="20"/>
        </w:rPr>
        <w:t xml:space="preserve">The application's behaviour is governed at run time by a configuration set resolved per application and per partner. This register records every configuration flag and states its disposition: whether it realises a requirement that already exists, whether it controls a feature held at milestone 5 as future development, or whether it falls outside the scope of the application requirements. Section 22 states the requirements that apply to configuration itself.</w:t>
      </w:r>
    </w:p>
    <w:p>
      <w:pPr>
        <w:spacing w:after="180" w:before="0" w:line="260"/>
      </w:pPr>
      <w:r>
        <w:rPr>
          <w:rFonts w:ascii="Calibri" w:cs="Calibri" w:eastAsia="Calibri" w:hAnsi="Calibri"/>
          <w:sz w:val="20"/>
          <w:szCs w:val="20"/>
        </w:rPr>
        <w:t xml:space="preserve">The configuration set examined was that of the existing minuteful_kidney_us application, used as a reference. A new configuration set will be created for this test and will not carry the flags that are out of scope, so the values quoted below indicate current behaviour rather than a specification. What matters for development is the left-hand column: which requirement each configuration realises, and therefore which values must exist for the requirement to be verifiable.</w:t>
      </w:r>
    </w:p>
    <w:p>
      <w:pPr>
        <w:pStyle w:val="Heading2"/>
        <w:spacing w:after="120" w:before="240"/>
      </w:pPr>
      <w:r>
        <w:rPr>
          <w:rFonts w:ascii="Calibri" w:cs="Calibri" w:eastAsia="Calibri" w:hAnsi="Calibri"/>
          <w:b/>
          <w:bCs/>
          <w:color w:val="1F3864"/>
          <w:sz w:val="23"/>
          <w:szCs w:val="23"/>
        </w:rPr>
        <w:t xml:space="preserve">E.1 Configurations That Realise an Existing Requirement</w:t>
      </w:r>
    </w:p>
    <w:p>
      <w:pPr>
        <w:spacing w:after="100" w:before="0" w:line="260"/>
      </w:pPr>
      <w:r>
        <w:rPr>
          <w:rFonts w:ascii="Calibri" w:cs="Calibri" w:eastAsia="Calibri" w:hAnsi="Calibri"/>
          <w:sz w:val="20"/>
          <w:szCs w:val="20"/>
        </w:rPr>
        <w:t xml:space="preserve">Each of these is the value a requirement refers to. The requirement states the behaviour; the configuration supplies the number or the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5"/>
        <w:gridCol w:w="1267"/>
        <w:gridCol w:w="1436"/>
        <w:gridCol w:w="3702"/>
        <w:gridCol w:w="1560"/>
      </w:tblGrid>
      <w:tr>
        <w:trPr>
          <w:tblHeader/>
        </w:trPr>
        <w:tc>
          <w:tcPr>
            <w:tcW w:type="dxa" w:w="21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2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Set in</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7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iosMinAppVersion, androidMinAppVersion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9.34.0 / Android 7.28.0 currently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iosMinOsVersion, androidMinOsVersion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13.0.0 / Android 8.0.0. FR-PLT-002, FR-PLT-003 and FR-RDY-003 defer the bounds to the IVTS device qualification; see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iosMaxOsVersion, androidMaxOsVersion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now requires the version to be within the supported range, so both bounds are covered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staticData.supportedHardwareConfig</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count, sensor resolution, aperture and sensor size bounds. Values are derived from the analytical studies. Note the schema comments this as Android-only; confirm iOS enforcement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forceUpdateOnPreLogin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whether the version check blocks before or after login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allowCreation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false for this app — patient records are not created at phone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allowRegistration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invite-code registration is 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dobVerification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 to force. skip and allowNull must not be used for this app. FR-AUT-012 requires confirmation at every test start. The login-identification case is deferred as FR-AUT-007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staticData.privacyUrl, staticData.termsUrl, consentUrl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documents FR-CNS-001 makes viewable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enabledQrBlock</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FR-KIT-002, FR-KIT-004</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enables QR validation to block kit reuse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enabledNoQrBlock</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validates that a colour-board identifier exists for the exam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expiredKitDetection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the automatic expiry check. Not present in the MD. The requirement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blockSubsequentTests.moreTestsThanKits</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Supersedes the MD entries blockSubsequentTest, validateMoreKitsThanExams and duplicateThresholdDays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featureFlags.manualWhiteBalanceEnabled, featureFlags.manualExposureEnabled, featureFlags.customToneMappingEnabled</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true. FR-CAM-002 is at TBD priority, so these remain provisional; see open item O-10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featureFlags.qrScanningOptimizationEnabled, featureFlags.qrDetectionUsingMLPackage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FR-KIT-002</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true — implementation options for reading the QR code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staticData.fieldOfVision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FR-IMG-002, FR-IMG-004, FR-IMG-005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80.0 — bounds the framing distance checks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staticData.supportNumber, staticData.supportEmail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overrides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 FR-SUP-003, FR-TXT-020</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844-688-5055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appName</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 not set for this app</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name shown to the user, subject to the approved user-facing naming rule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mixpanelProxyEnabled</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FR-ANL-001, FR-ANL-004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itself is in scope; routing events through the proxy rather than direct to the provider is deferred as FR-ANL-004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staticData.surveyUrl</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partner overrides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survey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staticData.blockFlow, appDownTime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Enum endOfLife / expiredKit / custom. The blocked-state behaviour is in scope at milestone 3 as FR-CFG-006, so these values now have a defined response. The enum here lists three; the product returns ten, which SPEC-01 raises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staticData.withAppReview</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the application-store rating prompt, future development at milestone 5 along with the chat flow it attaches to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E.2 Configurations Controlling Deferred Features</w:t>
      </w:r>
    </w:p>
    <w:p>
      <w:pPr>
        <w:spacing w:after="100" w:before="0" w:line="260"/>
      </w:pPr>
      <w:r>
        <w:rPr>
          <w:rFonts w:ascii="Calibri" w:cs="Calibri" w:eastAsia="Calibri" w:hAnsi="Calibri"/>
          <w:sz w:val="20"/>
          <w:szCs w:val="20"/>
        </w:rPr>
        <w:t xml:space="preserve">These control features that are future development at milestone 5. No requirement is needed for them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4"/>
        <w:gridCol w:w="1775"/>
        <w:gridCol w:w="1014"/>
        <w:gridCol w:w="3617"/>
        <w:gridCol w:w="1560"/>
      </w:tblGrid>
      <w:tr>
        <w:trPr>
          <w:tblHeader/>
        </w:trPr>
        <w:tc>
          <w:tcPr>
            <w:tcW w:type="dxa" w:w="21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Current value</w:t>
            </w:r>
          </w:p>
        </w:tc>
        <w:tc>
          <w:tcPr>
            <w:tcW w:type="dxa" w:w="10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61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staticData.pcpConfig</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(enabled: false)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enabled, mandatory, showOnPositiveResultsOnly, isConsentRequired, withChatSkipButton. isConsentRequired maps to FR-CNS-006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staticData.enabledPushNotifications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in configuration although backend push is deferred. Notification behaviour is fixed rather than configurable; the local notifications in FR-TIM-014 and FR-COM-009 are in this version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abTestingEnabled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scope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FR-CFG-008</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Removed from scope. Reinstate with FR-CFG-008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postResultConsultation</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enableStartChat and enableResumeChat both false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staticData.chatTransitionToResultsPortal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Only meaningful once chat exists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withDoctorNotes, doctorsNoteTemplateName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doctor notes returned with results.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resultsLetterFeedbackSurveyUrl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Survey on the results letter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enableFollowupTests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set for this app; no requirement exists for a follow-up test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staticData.faqUrl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FR-SUP-001</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FAQ page and its menu route are future development at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staticData.additionalResultsCTA</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 overrides</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FR-SUP-004</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resultsChatCTAEnabled, resultsCenterCTAEnabled and type. Gates whether the book-an-appointment action in the post-test lobby offers a call control as well as mark-as-done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staticData.resultsLobbyDuration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(90)</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The home screen presents the post-test lobby for this period after a result, then reverts to its regular state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prescriptionFlowEnabled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FR-SHR-001, FR-SHR-011</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states whether doctor-to-patient engagement occurs in the application, which bounds this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E.3 Configurations Outside the Scope of This Document</w:t>
      </w:r>
    </w:p>
    <w:p>
      <w:pPr>
        <w:spacing w:after="100" w:before="0" w:line="260"/>
      </w:pPr>
      <w:r>
        <w:rPr>
          <w:rFonts w:ascii="Calibri" w:cs="Calibri" w:eastAsia="Calibri" w:hAnsi="Calibri"/>
          <w:sz w:val="20"/>
          <w:szCs w:val="20"/>
        </w:rPr>
        <w:t xml:space="preserve">Grouped by reason. No application requirement follows from any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1"/>
        <w:gridCol w:w="3465"/>
        <w:gridCol w:w="3364"/>
        <w:gridCol w:w="1560"/>
      </w:tblGrid>
      <w:tr>
        <w:trPr>
          <w:tblHeader/>
        </w:trPr>
        <w:tc>
          <w:tcPr>
            <w:tcW w:type="dxa" w:w="16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Reason</w:t>
            </w:r>
          </w:p>
        </w:tc>
        <w:tc>
          <w:tcPr>
            <w:tcW w:type="dxa" w:w="346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Configurations</w:t>
            </w:r>
          </w:p>
        </w:tc>
        <w:tc>
          <w:tcPr>
            <w:tcW w:type="dxa" w:w="336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Basis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messaging and ordering</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fromNumber, outgoingNumber, fromPhoneVerificationNumber, smsPartnerConsentOutgoingNumber, appLink, appHash / androidAppHash, leaflet, partners, partnerInitFlow, newService, allowOrderCreation, blockMultipleExamsOnOrder, doNotSendDuplicateResults, flagOrderManualInspection, checkPatientEndOfService</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behaviour and outbound messaging. Belongs to the backend requirements specification, not the application. checkPatientEndOfService can block a patient holding a kit; if it does, the user-facing behaviour should use the blocked-state handling in FR-CFG-006 rather than a separate path.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Analytics</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useDeprecatedMixpanelToken, surveyViewProbability</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mixpanelProxyEnabled, surveyUrl and withAppReview each realise a requirement and appear in F.1. Analytics token selection has no bearing on device safety or performance, and surveyViewProbability is a sampling rate rather than a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Other products</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getIpLocationInfo, shouldProcessColorBoardId, ignoreEmptyColorBoardId, storeLocatorUrl, pharmacyNotice, deliveryNotice, deliveryHours, withBloodPressure, checkPatientConsent, useUkMeasurements, isScaleNumerical, customBlockByFlow</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Velieve, Dip UTI, NHS or UK-market configurations. Not applicable to QACR US. </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Superseded by newer configuration</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blockSubsequentTest, validateMoreKitsThanExams, duplicateThresholdDays, complementaryCareConfig</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Replaced by blockSubsequentTests and additionalResultsCTA respectively. schema.ts marks complementaryCareConfig as retained only for backward compatibility.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F – Threat Analysis Coverage</w:t>
      </w:r>
    </w:p>
    <w:p>
      <w:pPr>
        <w:spacing w:after="100" w:before="0" w:line="260"/>
      </w:pPr>
      <w:r>
        <w:rPr>
          <w:rFonts w:ascii="Calibri" w:cs="Calibri" w:eastAsia="Calibri" w:hAnsi="Calibri"/>
          <w:sz w:val="20"/>
          <w:szCs w:val="20"/>
        </w:rPr>
        <w:t xml:space="preserve">The Security and Privacy Threat Analysis records 40 threats across 8 STRIDE groups. This appendix separates those whose control is realised in, or constrains, the mobile application from those whose control lives in the cloud, the backend or a process, and names the requirement for each of the former. It is the security counterpart of the traceability described in Appendix C.</w:t>
      </w:r>
    </w:p>
    <w:p>
      <w:pPr>
        <w:spacing w:after="180" w:before="0" w:line="260"/>
      </w:pPr>
      <w:r>
        <w:rPr>
          <w:rFonts w:ascii="Calibri" w:cs="Calibri" w:eastAsia="Calibri" w:hAnsi="Calibri"/>
          <w:sz w:val="20"/>
          <w:szCs w:val="20"/>
        </w:rPr>
        <w:t xml:space="preserve">Six requirements have no source other than this analysis: FR-SEC-008 to FR-SEC-013, together with FR-COM-010 and FR-ACC-009. Neither the Risk Analysis nor the SRS asked for secure key storage, non-persistence of credentials, generic technical error messages, general input validation, encrypted release artefacts or an audit event channel.</w:t>
      </w:r>
    </w:p>
    <w:p>
      <w:pPr>
        <w:pStyle w:val="Heading2"/>
        <w:spacing w:after="120" w:before="240"/>
      </w:pPr>
      <w:r>
        <w:rPr>
          <w:rFonts w:ascii="Calibri" w:cs="Calibri" w:eastAsia="Calibri" w:hAnsi="Calibri"/>
          <w:b/>
          <w:bCs/>
          <w:color w:val="1F3864"/>
          <w:sz w:val="23"/>
          <w:szCs w:val="23"/>
        </w:rPr>
        <w:t xml:space="preserve">F.1 Threats With an Application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3"/>
        <w:gridCol w:w="2104"/>
        <w:gridCol w:w="1002"/>
        <w:gridCol w:w="3408"/>
        <w:gridCol w:w="1303"/>
        <w:gridCol w:w="1560"/>
      </w:tblGrid>
      <w:tr>
        <w:trPr>
          <w:tblHeader/>
        </w:trPr>
        <w:tc>
          <w:tcPr>
            <w:tcW w:type="dxa" w:w="7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w:t>
            </w:r>
          </w:p>
        </w:tc>
        <w:tc>
          <w:tcPr>
            <w:tcW w:type="dxa" w:w="21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Mode or cause</w:t>
            </w:r>
          </w:p>
        </w:tc>
        <w:tc>
          <w:tcPr>
            <w:tcW w:type="dxa" w:w="10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E·S=R → residual</w:t>
            </w:r>
          </w:p>
        </w:tc>
        <w:tc>
          <w:tcPr>
            <w:tcW w:type="dxa" w:w="34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Control stated in the threat analysis</w:t>
            </w:r>
          </w:p>
        </w:tc>
        <w:tc>
          <w:tcPr>
            <w:tcW w:type="dxa" w:w="13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identifiers are managed improperly</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Strong session identifiers are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handling reveals internal technical information</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Generic error messages are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FR-SEC-010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Unauthorized access to the personal information zone of the App</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and authorization are in place in the personal information zone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FR-ACC-001, FR-ACC-002,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Credentials are stored locally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authentication is implemented; persistent authentication is removed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FR-SEC-008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timeout session configured for the results center</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15 minutes of inactivity the user is returned to the home screen and must resubmit their date of birth; the results center is protected by a PIN; after 24 hours access is blocked if the results have not been viewed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 FR-ACC-009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User-supplied data is not validated, filtered or sanitized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is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FR-SEC-011 (new), FR-AUT-002, FR-AUT-008, FR-ACC-004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Modification of mobile clients' resources is allowed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on the backend server is implemented as a compensating control</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Malicious application takes control of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software mechanism limits the minimum operating-system version supported, so that versions no longer receiving security updates cannot be used to take the test</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2.6</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Vulnerable software or libraries are in use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Official sources only; unpatched dependencies removed; continuous dependency inventory</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Nested dependencies present vulnerabilities</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2.6, with subscription to vulnerability bulletins including the CISA Known Exploited Vulnerabilities Catalog</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is transmitted using insecure methods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5·4=20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in transit is carried only over secured protocols, TLS 1.2 or above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Auditable events are not logged or not retained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events are logged with sufficient context; critical transactions logged append-only</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FR-SEC-013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stored in plain text on the mobile device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stored on the device is minimised; encryption at rest is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FR-SEC-001,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passed to the backend in plain text</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3</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Advanced TLS protocols, strong cipher suites and SSL chain verification</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 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4.5</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Old transport-layer security algorithms are vulnerable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TLS versions older than 1.2 are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Keys are stored in an attacker-readable directory on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3·4=12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Secured storage is used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FR-SEC-009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Mobile applications are susceptible to source-code analysis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on Android; jailbreak detection; release artefacts encrypted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FR-SEC-012 (new), 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4.12</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not pinned the certificate of a static remote service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Certificate pinning is enforced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4.13</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enabled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exposed via screen capture or the app switcher</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prevents the user taking screenshots, and blurs the current screen when the app switcher is invoked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5.2</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services are unavailable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Business continuity and disaster recovery; customer support can offer workarounds</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FR-COM-006, FR-SUP-002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Cloud availability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Manual instructs the user how to act during a cloud availability issue; BCP and DR processes</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Poor authorization scheme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Incoming request identifiers are verified on the backend server</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FR-COM-010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off-the-shelf software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Weekly dependency scanning and advisory alerts, and on every OTS update</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F.2 Threats Controlled Outside the Application</w:t>
      </w:r>
    </w:p>
    <w:p>
      <w:pPr>
        <w:spacing w:after="100" w:before="0" w:line="260"/>
      </w:pPr>
      <w:r>
        <w:rPr>
          <w:rFonts w:ascii="Calibri" w:cs="Calibri" w:eastAsia="Calibri" w:hAnsi="Calibri"/>
          <w:sz w:val="20"/>
          <w:szCs w:val="20"/>
        </w:rPr>
        <w:t xml:space="preserve">No application requirement follows from these. They are listed so that the analysis can be seen to have been read in full, and so that a reviewer can confirm nothing app-facing was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1"/>
        <w:gridCol w:w="1436"/>
        <w:gridCol w:w="5223"/>
        <w:gridCol w:w="1560"/>
      </w:tblGrid>
      <w:tr>
        <w:trPr>
          <w:tblHeader/>
        </w:trPr>
        <w:tc>
          <w:tcPr>
            <w:tcW w:type="dxa" w:w="18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Threats</w:t>
            </w:r>
          </w:p>
        </w:tc>
        <w:tc>
          <w:tcPr>
            <w:tcW w:type="dxa" w:w="52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the control lives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Cloud access control and identity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1.2, 1.6, 6.2, 7.1, 7.3, 7.5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Google Cloud Platform IAM, zero-trust network, two-factor authentication for administrators, segregation of duties, CORS minimisation and WAF.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Partner and third-party integration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1.8, 4.16, 5.4</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Public and private key authentication with partner servers, firewall rules restricted to verified addresses, partner security assessment and vendor management. Constrains the provider integration in section 20, which is specified as 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input handling and hardening</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2.2, 2.3, 2.8, 2.9, 2.10, 4.2, 4.6, 4.8, 4.9, 4.10, 4.15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Interpreter escaping, secure coding patterns, peer review, vulnerability scanning, CSPM, patch management, encryption at rest with AES-256, key management via Cloud Secret Manager and repeatable hardening. Belongs to the backend requirements specification.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Logging infrastructure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3.2, 3.3</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Central log storage and monitoring. The application's obligation is to emit the events, which is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Denial of service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5.1</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Web application firewall.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Deployment</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7.2</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Validated deployment scripts, signed cloud artefacts and verification and validation in a test environment before deployment. The application analogue is store distribution, FR-PLT-001, and artefact encryption, FR-SEC-012.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User responsibility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 (partial), 4.3, 4.11 (partial)</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Terms and Conditions and the User Manual require the user to keep their mobile device secure. Not an application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F.3 Observations</w:t>
      </w:r>
    </w:p>
    <w:p>
      <w:pPr>
        <w:spacing w:after="100" w:before="0" w:line="260"/>
      </w:pPr>
      <w:r>
        <w:rPr>
          <w:rFonts w:ascii="Calibri" w:cs="Calibri" w:eastAsia="Calibri" w:hAnsi="Calibri"/>
          <w:sz w:val="20"/>
          <w:szCs w:val="20"/>
        </w:rPr>
        <w:t xml:space="preserve">Three points arose from the mapping that are not simply requirements.</w:t>
      </w:r>
    </w:p>
    <w:p>
      <w:pPr>
        <w:spacing w:after="60" w:before="0" w:line="260"/>
      </w:pPr>
      <w:r>
        <w:rPr>
          <w:rFonts w:ascii="Calibri" w:cs="Calibri" w:eastAsia="Calibri" w:hAnsi="Calibri"/>
          <w:sz w:val="19"/>
          <w:szCs w:val="19"/>
        </w:rPr>
        <w:t xml:space="preserve">•  The minimum operating-system version is constrained twice, and for different reasons. The IVTS device qualification sets a lower bound for analytical performance; SPTA 2.5 sets one for security, requiring that versions no longer receiving vendor security updates cannot be used to take a test. The binding constraint is whichever is higher, and it will move over time as vendors end support. FR-RDY-003 and open item O-02 both note this.</w:t>
      </w:r>
    </w:p>
    <w:p>
      <w:pPr>
        <w:spacing w:after="60" w:before="0" w:line="260"/>
      </w:pPr>
      <w:r>
        <w:rPr>
          <w:rFonts w:ascii="Calibri" w:cs="Calibri" w:eastAsia="Calibri" w:hAnsi="Calibri"/>
          <w:sz w:val="19"/>
          <w:szCs w:val="19"/>
        </w:rPr>
        <w:t xml:space="preserve">•  SPTA 4.11 states that code obfuscation is implemented on Android. FR-SEC-002 has been narrowed to Android to match, so the two documents now agree. Recorded as review register Q-14, now closed.</w:t>
      </w:r>
    </w:p>
    <w:p>
      <w:pPr>
        <w:spacing w:after="60" w:before="0" w:line="260"/>
      </w:pPr>
      <w:r>
        <w:rPr>
          <w:rFonts w:ascii="Calibri" w:cs="Calibri" w:eastAsia="Calibri" w:hAnsi="Calibri"/>
          <w:sz w:val="19"/>
          <w:szCs w:val="19"/>
        </w:rPr>
        <w:t xml:space="preserve">•  SPTA 1.7 supplies the 15-minute inactivity value that was left open at the previous revision, and states it as a security control on the results center rather than a general session timeout. That is consistent with FR-STA-003, which bars any inactivity timeout during an active test, and it closes the open item that was carried for it.</w:t>
      </w:r>
    </w:p>
    <w:p>
      <w:r>
        <w:br w:type="page"/>
      </w:r>
    </w:p>
    <w:p>
      <w:pPr>
        <w:pStyle w:val="Heading1"/>
        <w:spacing w:after="160" w:before="320"/>
      </w:pPr>
      <w:r>
        <w:rPr>
          <w:rFonts w:ascii="Calibri" w:cs="Calibri" w:eastAsia="Calibri" w:hAnsi="Calibri"/>
          <w:b/>
          <w:bCs/>
          <w:color w:val="1F3864"/>
          <w:sz w:val="28"/>
          <w:szCs w:val="28"/>
        </w:rPr>
        <w:t xml:space="preserve">Appendix G – Decision Log</w:t>
      </w:r>
    </w:p>
    <w:p>
      <w:pPr>
        <w:spacing w:after="100" w:before="0" w:line="260"/>
      </w:pPr>
      <w:r>
        <w:rPr>
          <w:rFonts w:ascii="Calibri" w:cs="Calibri" w:eastAsia="Calibri" w:hAnsi="Calibri"/>
          <w:sz w:val="20"/>
          <w:szCs w:val="20"/>
        </w:rPr>
        <w:t xml:space="preserve">Items that were open in the review register and have since been decided. They are recorded rather than deleted so that the reasoning behind a settled question survives into later revisions, and so that a decision can be revisited knowing why it was taken. References are not reissued: a number that appears here will not reappear in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
        <w:gridCol w:w="1883"/>
        <w:gridCol w:w="3362"/>
        <w:gridCol w:w="1813"/>
        <w:gridCol w:w="774"/>
        <w:gridCol w:w="1560"/>
      </w:tblGrid>
      <w:tr>
        <w:trPr>
          <w:tblHeader/>
        </w:trPr>
        <w:tc>
          <w:tcPr>
            <w:tcW w:type="dxa" w:w="6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188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33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Decision</w:t>
            </w:r>
          </w:p>
        </w:tc>
        <w:tc>
          <w:tcPr>
            <w:tcW w:type="dxa" w:w="181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landed</w:t>
            </w:r>
          </w:p>
        </w:tc>
        <w:tc>
          <w:tcPr>
            <w:tcW w:type="dxa" w:w="7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Closed at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 demands that a test be prevented where the backend reports the user has no unused kit remaining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It needs no requirement of its own: it is one of the reasons the backend refuses a test, which FR-RDY-014 already covers. Guy asked instead that the list of those reasons exist and carry it, which is Appendix I</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time source the user cannot alter needed for the 24-hour window between tests?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No. An alterable clock is accepted for that window and no requirement is wanted for it. Q-30 stays open for the timing windows inside a test, where RA 4.18 relies on the timers being enforceable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date-of-birth requirement says the user shall confirm, and configuration can suppress the step</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 stays as written. The suppression state is intended for demonstration partners, and the control is guarded by the product manager, who determines which state a partner receives — not by the software. Recorded because a reader who meets that state will ask how it squares with the requirement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 and the invite-code path arrive at milestone 4 while phone entry is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 gap. Phone verification is not needed in the clinical studies, so no study collects personal information ahead of the acknowledgement gate, and an unregistered number needing an invite code does not arise. This single fact settles both questions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FR-CNS-002, FR-AUT-006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configuration-set version is not recorded with the test record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Recorded. FR-CFG-003 moves from milestone 5 to milestone 3, so a completed test carries the configuration it ran under. Milestone 3 is also the earliest it can hold, because it depends on the configuration set that FR-CFG-001 requires there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FR-CFG-004 duplicate FR-RES-006?</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The clause requiring a demonstration result to be labelled has been removed from FR-CFG-004, which is now a backend rule alone; FR-RES-006 carries the user-facing obligation. One requirement, one idea</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length and composition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The attempt limit is five, from the backend SRS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window within which the new-kit alert is shown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held as a configurable value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Maximum number of users per phone number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appUniqueIdentifier remains as configured today. The requirement itself is deferred, so multiple users on one phone number is not supported in this version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mandatory in the backend SRS but deferred here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is future development. FR-CNS-007 moved to milestone 5, and the backend SRS is to be relaxed to match. Briefly reversed at Rev 1.14 and reinstated at Rev 1.15; the Rev 1.4 decision stands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SRS-BE CON.1 and CON.2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Kit-expiry validation mandatory in the backend SRS but deferred here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obligation follows the Risk Analysis. RA 7.25 has been removed, so SRS-BE TSM.2 and TSM.3 are to be relaxed to match</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 SRS-BE TSM.2 and TSM.3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uses strip-product terminology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will be updated. No change to this document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COM.5, COM.6, COM.7, COM.8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 which platform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Android only; iOS has no obfuscation. This agrees with SPTA 4.11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Appendix G.3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administrator mode in scope?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Excluded. An authenticated administrator viewing database records does not constrain the application; SPTA 1.2 and 1.6 treat administrator misuse as a cloud-side threat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AD.1 and AD.2, out of scope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application need to launch external applications?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but only where a results-sharing action requires it, and only for applications explicitly configured for the purpose. Stated generally rather than naming a particular application, and guarded so that arbitrary applications cannot be launched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milestone calendar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 1 is mid-October 2026, milestone 2 early-December 2026, milestones 3 and 4 both early-January 2027. The priority number a requirement carries is its milestone number</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configuration retrieval arrive before the requirements that depend on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FR-CFG-001 and FR-CFG-002 move to milestone 3, and five requirements that had been realised by configuration are restated as fixed in the application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FR-CFG-002, FR-RDY-008, FR-TXT-019, FR-RES-002, FR-IMG-001, FR-CAM-001, Appendix F</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timing definitions arrive with the controls that enforce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FR-TIM-001, FR-TIM-002 and FR-TIM-003 move to milestone 1. FR-TIM-012, the invalidation message, is not needed for the demonstration and stays at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blocking-message content standard arrive before the messages that must meet it?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FR-TXT-020 moves to milestone 1, alongside the twelve milestone-1 requirements that block the user</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support channels arrive before the messages that name them?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FR-SUP-002 moves to milestone 3, alongside the six requirements that direct the user to support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control that blocks a reused kit arrive with the detection?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FR-KIT-004 moves to milestone 3, alongside FR-KIT-002 and FR-KIT-007</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milestone 1 present a result before the payload contract exists?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fixed demonstration payload. FR-RES-006 requires a demonstration build to present a fixed payload, not to present it as a clinical result, and to make the demonstration state evident on every screen showing a result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requirement that gates verification arrive before what it gates?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FR-LCM-006 moves to milestone 3. Whether provider integration testing must also move is held open as Q-41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acceptance of the policy documents a precondition of use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at milestone 3. Users do not go through phone verification at that milestone, so no personal information is collected before the acknowledgement gate exists, and the consent requirements stay at milestone 4. Recorded so that the placement does not read as an oversight. This answer raises Q-38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 to FR-CNS-003, FR-PRT-005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model-level exclusion committed?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FR-PLT-004 moves to milestone 3, so the scope FR-PLT-005 hands to it is committed by something</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milestone between the clinical study and the submission?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Everything required for the submission is required for the clinical study. Behaviour that should not be shown to study participants is held behind a feature flag rather than deferred, so FR-AUT-010 and FR-AUT-012 are milestone 3</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FR-AUT-010, FR-AUT-012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Date of Birth part of login in this version?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FR-AUT-009 is withdrawn: while shared phone numbers are deferred its condition was always true, so it was satisfied by writing no code. The confirmation at the start of every test, FR-AUT-012, is unaffected. Results-center re-entry after a timeout now uses the PIN, and the RA 6.4 trace is reconciled to one list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FR-AUT-009 to Appendix D; FR-AUT-008, FR-AUT-010 and FR-ACC-009 restated; FR-AUT-007 note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maximum number of incorrect PIN attempts still outstanding?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was settled at Rev 1.4 as five consecutive attempts and is stated in FR-ACC-004 and FR-ACC-005. BL-13 was still recording it as deferred and is now closed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BL-13 removed from Appendix 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May patient data pass through a build that does not enforce the transport controls?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FR-SEC-014 requires that no build in which FR-COM-001 and FR-COM-002 are unimplemented transmits personal or health information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positivity is not available to the application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can retain a non-revealing indicator of recent result positivity and use that to decide what to present, following the existing kidney application, rather than depending on the backend to supply positivity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FR-PRT-013 note; the post-test lobby items in F10.6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verification is milestone 3, but users are not expected to go through it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placements stand and are not in conflict. The verification flow is milestone 3 because it must exist for the submission; consent is milestone 4 because users will not log in at milestone 3, so nothing collects personal information before the acknowledgement gate exists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FR-AUT-001 to FR-AUT-006 at 3; FR-CNS-001 to FR-CNS-003 at 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step confirmation mean physically?</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button. FR-FLW-001 now requires the user to confirm by activating a control provided for that purpose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closes UX-05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readiness gate visible to the user?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checks run silently when the user taps start test and each surfaces as an alert only on failure. There is no visible checklist, and the blocked-state pattern is an alert pattern rather than a set of screens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 F01.4, F01.5, F01.9; closes UX-04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every demonstration replayable?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Which steps are replayable is defined per step in the content set, following the current usability application. FR-FLW-003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results center show a history of results?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this version. The results center main screen shows the most recent result at milestone 3; a history screen of the last five results, reachable only where more than one exists, is deferred as FR-PRT-015</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FR-PRT-015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HISP delivery required in this version?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HL7 and the documented per-provider mapping remain at milestone 3; HISP delivery to primary care providers is separated out and deferred as FR-SHR-017</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FR-SHR-005; FR-SHR-017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does the post-test survey belong?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doctor consultation rather than immediately after the result, since by then the user has already seen the result. The survey and rating-prompt items move from the result-presentation epic to the doctor-engagement feature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FR-ANL-006 to FR-ANL-009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support contact shown on every blocking alert?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Only where the user cannot resolve the condition themselves. FR-SUP-003 is narrowed accordingly, since whether contact is offered depends on the alert type and its design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countdown shown during the sample-freshness window or the scan?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Both are timed silently in the background so that the user is not hurried. FR-TIM-006 records this and the scan guidance conveys that another attempt is possible without implying time pressure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F05.2, F06.2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scope of a milestone made legible in the epic map?</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Twice over. A feature spanning several milestones now breaks itself down in words, one labelled line per milestone in its description, and groups its requirement identifiers the same way. Both are generated from the requirement priorities, and the build fails if a feature spanning several milestones has no per-milestone description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section 2.2 and every feature table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doctor engagement, the survey and the rating prompt be one feature?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three. F11.5 is the consultation itself, F11.6 the post-test feedback survey, F11.7 the platform rating prompt. The prompt is separated because it is the operating system's own rather than ours, is asked once per install rather than after every test, and must not follow an invalid test or a raised result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F11.6, F11.7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camera permission requested, and what happens if it is refused?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Inside the instructional flow at the point the scan is reached, not as part of the silent pre-test check set, so that the user understands why it is being asked. Refusal blocks progress rather than warning. FR-RDY-009 is restated accordingly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instructional flow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a chat-style exchange: one step at a time, the user confirms, the next arrives. Recorded because it is the design decision behind several requirements — single-step visibility, blocking conditions appearing as alerts rather than screens, and the camera permission being asked inside the flow</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E04 summary, F04.1</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available storage checked for the demonstration?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FR-RDY-008 moves to milestone 3, leaving the camera check as the only readiness requirement at milestone 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F01.4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a blocking condition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user-interface decision, not a requirement, so the requirements document no longer says. In the existing application a condition raised on a cold start is a full screen, because an alert over the splash screen reads badly, and everything inside the flow is an alert. Recorded in the epic map design notes only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F01.2, F01.4, F01.5, F09.2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Must the application offer a retry when it blocks the user?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where retrying can succeed, and no where it cannot — a retry offered on an unrecoverable condition invites the user to repeat an action that cannot work. FR-RDY-013 states both halves. Which conditions are retryable is to be listed before design verification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FR-RDY-013, F01.5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are the one-time password resend semantics?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may request the code again; each request counts against the same five-attempt limit as a submission, and thirty seconds must elapse between requests. The code is six digits. The user can also go back and correct the phone number, which discards the pending verification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FR-AUT-004, FR-AUT-018, FR-AUT-019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anything request notification permission?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did, which left FR-TIM-014 unable to function. FR-COM-012 now requires the permission to be asked for behind an explanation of our own, and requires that refusing it never prevents a test being started, completed or reported. Milestone follows FR-TIM-014 and FR-COM-009</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FR-COM-012, F05.5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much of the flow is spoken?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of it. A spoken persona reads every bubble and the user can silence it. FR-FLW-008 replaces FR-IMG-020, which covered the scanning guidance alone; the widened requirement carries the same Risk Analysis traces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FR-FLW-008; FR-IMG-020 consolidated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the user reach the results center from the home screen?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dedicated control on the home screen, in addition to the main menu. FR-PRT-007 states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FR-PRT-007, F10.3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a pre-test orientation be added?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equivalent in the predecessor application is obsolete and is not carried forward. UX-08 is closed unadopted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UX-08, epic map section 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application detect whether a sharing application is installed?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for a specific application it declares in advance, which is how the predecessor varies its sharing options. Neither platform permits enumerating what else is installed, so detection is limited to the same configured allow-list that FR-SHR-016 restricts hand-off to. Deferred with the rest of user-initiated sharing as FR-SHR-018</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FR-SHR-018, F11.4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image validation actually stage?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 two. The QCR stage is live: every Color Print marker found, then five gates applied frame by frame, a frame accepted or rejected as it is seen. Acceptance triggers capture of the rest of the set; the images are then rectified and colour-normalised, and only then are the boundary conditions evaluated, because several cannot be judged before normalisation. Either stage can send the user back to scan again. The epic map previously described the two stages the wrong way round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13 intro, FR-IMG-014, FR-IMG-023, F06.1 to F06.6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practice scan?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FR-IMG-022: the user may start one from the flow during a timed wait, it exercises the same QCR stage, boundary detection and guidance as a real scan, has no scanning-window limit, ends with the waiting period, and produces nothing. It exists so a user meets the scanning interaction while there is still time to struggle with it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FR-IMG-022, F04.7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fills the waiting time?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card the user can open during a timed wait whose content changes as the wait elapses. FR-FLW-009 states the mechanism rather than the content — currently a sequence of tips — so the content can change without changing the requirement. From the reaction-phase research, which settled on changing content rather than a countdown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FR-FLW-009, F04.8</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scan guidance spoken?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and it is a separate requirement from the read-aloud flow. FR-IMG-024 speaks the framing guidance as it changes, generated from the live state of the gates; FR-FLW-008 reads the scripted content of the flow. FR-IMG-020, consolidated into FR-FLW-008 at the previous revision, stated a narrower version of FR-IMG-024</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F06.4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demonstration mode a separate build?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is a flag the backend returns with the configuration before a test starts, like any other configured behaviour, so the artefact that ships to patients can be placed in it. The three requirements that said build now say mode, and the marking required by FR-RES-006 is the only thing distinguishing a demonstration result from a real one — which raises the weight of FR-CFG-004, server-side enforcement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 FR-FLW-007, FR-SEC-014, F04.6, F09.4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a result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on a screen of its own. The same display is embedded in the chat at the end of the test and again in the results center, so it has to work in both places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FR-RES-006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consent recording in scope?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remains future development as FR-CNS-007, and the Rev 1.4 decision at Q-11 stands. Brought into scope at Rev 1.14 as FR-CNS-004 on a mistaken reading of a review comment about logging consent type and timestamp, and reverted at Rev 1.15. FR-CNS-004 is recorded in Appendix D and its identifier is not reissued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restored to Appendix E; FR-CNS-004 in Appendix 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configuration set only partner-specific?</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FR-CFG-001 is broadened: the set comprises every server-supplied value that governs the behaviour of the application, of which the partner-resolved values are one part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F01.9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development domain of a feature decided?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curated list, not a derivation. It began as a derivation from the requirement wording; ten of the eighty-two came out wrong at review, so each feature now carries an explicit set of domains and the build fails if a feature has none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domains.js; epic map section 2.3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Are backlog and requirement references stable?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from Rev 1.7 onward. Every identifier ever issued is recorded in a manifest the build checks, so an identifier cannot disappear or be reused without the build failing</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2.1; the identifier manifest</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H – Priority Summary</w:t>
      </w:r>
    </w:p>
    <w:p>
      <w:pPr>
        <w:spacing w:after="100" w:before="0" w:line="260"/>
      </w:pPr>
      <w:r>
        <w:rPr>
          <w:rFonts w:ascii="Calibri" w:cs="Calibri" w:eastAsia="Calibri" w:hAnsi="Calibri"/>
          <w:sz w:val="20"/>
          <w:szCs w:val="20"/>
        </w:rPr>
        <w:t xml:space="preserve">Distribution of implementation priorities by functional area. Read across a row to see where a section's weight lies; read down the milestone 1 column to see the shortest path to a working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623"/>
        <w:gridCol w:w="623"/>
        <w:gridCol w:w="623"/>
        <w:gridCol w:w="623"/>
        <w:gridCol w:w="623"/>
        <w:gridCol w:w="701"/>
        <w:gridCol w:w="701"/>
        <w:gridCol w:w="1560"/>
      </w:tblGrid>
      <w:tr>
        <w:trPr>
          <w:tblHeader/>
        </w:trPr>
        <w:tc>
          <w:tcPr>
            <w:tcW w:type="dxa" w:w="40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Area</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1</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2</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3</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4</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5</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TBD</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Total</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 Platform, Distribution and Compatibility</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 Pre-Test Readiness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 User Onboarding, Identification and Authentication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7. Consent and Privacy Acknowledgement</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 Kit Identification and Validation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9. Guided Test Flow — Structure and Behaviour</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10. User-Facing Content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 Test State Retention, Interruption and Cancellation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12. Timing Control</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 Image Capture and Validation (IVTS)</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 Camera Control and Image Acquisition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 Data Transmission and Backend Communication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16. Analysis, Quality Control and Algorithm Version Management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 Result Presentation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18. Results Access Protection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19. Results Center and the Main Menu</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20. Result Routing and Provider Communication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 Support and Help</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22. Analytics and User Feedback</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23. Security and Data Protection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 Application Configuration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 Software Lifecycle and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areas</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70</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200" w:before="0" w:line="260"/>
      </w:pPr>
      <w:r>
        <w:rPr>
          <w:rFonts w:ascii="Calibri" w:cs="Calibri" w:eastAsia="Calibri" w:hAnsi="Calibri"/>
          <w:sz w:val="20"/>
          <w:szCs w:val="20"/>
        </w:rPr>
        <w:t xml:space="preserve">Every requirement in the body is counted, including those at milestone 5. Milestone 5 is future development: agreed, traceable, and carrying no verification obligation for this submission.</w:t>
      </w:r>
    </w:p>
    <w:p>
      <w:r>
        <w:br w:type="page"/>
      </w:r>
    </w:p>
    <w:p>
      <w:pPr>
        <w:pStyle w:val="Heading1"/>
        <w:spacing w:after="160" w:before="320"/>
      </w:pPr>
      <w:r>
        <w:rPr>
          <w:rFonts w:ascii="Calibri" w:cs="Calibri" w:eastAsia="Calibri" w:hAnsi="Calibri"/>
          <w:b/>
          <w:bCs/>
          <w:color w:val="1F3864"/>
          <w:sz w:val="28"/>
          <w:szCs w:val="28"/>
        </w:rPr>
        <w:t xml:space="preserve">Appendix I – Conditions That Refuse a Test</w:t>
      </w:r>
    </w:p>
    <w:p>
      <w:pPr>
        <w:spacing w:after="100" w:before="0" w:line="260"/>
      </w:pPr>
      <w:r>
        <w:rPr>
          <w:rFonts w:ascii="Calibri" w:cs="Calibri" w:eastAsia="Calibri" w:hAnsi="Calibri"/>
          <w:sz w:val="20"/>
          <w:szCs w:val="20"/>
        </w:rPr>
        <w:t xml:space="preserve">This register records the conditions under which the software refuses to start a test, or refuses to produce a result from one that has been run. It states no requirement and adds none. It exists because the requirements state the rule and not the cases: FR-RDY-011 requires each condition to be declared as blocking or informing without saying which conditions there are, FR-RDY-014 requires a message specific to each reason the backend refuses without enumerating the reasons, and FR-CFG-006 requires a reason to be given without saying what the reasons are. That is deliberate, because per-partner configuration changes which apply. The cases are written down here instead of inside the requirements.</w:t>
      </w:r>
    </w:p>
    <w:p>
      <w:pPr>
        <w:spacing w:after="180" w:before="0" w:line="260"/>
      </w:pPr>
      <w:r>
        <w:rPr>
          <w:rFonts w:ascii="Calibri" w:cs="Calibri" w:eastAsia="Calibri" w:hAnsi="Calibri"/>
          <w:sz w:val="20"/>
          <w:szCs w:val="20"/>
        </w:rPr>
        <w:t xml:space="preserve">Read the outcome column carefully. A condition may block the user, may inform them and let them continue, or may not be assessed at all because configuration has switched the check off for that partner. Those are three different things, and a check that configuration has switched off is not a check that passed. Which values a partner is given is guarded by the product manager rather than by the software.</w:t>
      </w:r>
    </w:p>
    <w:p>
      <w:pPr>
        <w:spacing w:after="180" w:before="0" w:line="260"/>
      </w:pPr>
      <w:r>
        <w:rPr>
          <w:rFonts w:ascii="Calibri" w:cs="Calibri" w:eastAsia="Calibri" w:hAnsi="Calibri"/>
          <w:sz w:val="20"/>
          <w:szCs w:val="20"/>
        </w:rPr>
        <w:t xml:space="preserve">Not repeated here: the outcomes of the image checks and of the algorithm. An image failing the IVTS thresholds is FR-IMG-015, and the reason categories for an invalid test are FR-ALG-012, which carries its own enumeration obligation.</w:t>
      </w:r>
    </w:p>
    <w:p>
      <w:pPr>
        <w:pStyle w:val="Heading2"/>
        <w:spacing w:after="120" w:before="240"/>
      </w:pPr>
      <w:r>
        <w:rPr>
          <w:rFonts w:ascii="Calibri" w:cs="Calibri" w:eastAsia="Calibri" w:hAnsi="Calibri"/>
          <w:b/>
          <w:bCs/>
          <w:color w:val="1F3864"/>
          <w:sz w:val="23"/>
          <w:szCs w:val="23"/>
        </w:rPr>
        <w:t xml:space="preserve">I.1 Refused by the Backend When a Test Is Requested</w:t>
      </w:r>
    </w:p>
    <w:p>
      <w:pPr>
        <w:spacing w:after="100" w:before="0" w:line="260"/>
      </w:pPr>
      <w:r>
        <w:rPr>
          <w:rFonts w:ascii="Calibri" w:cs="Calibri" w:eastAsia="Calibri" w:hAnsi="Calibri"/>
          <w:sz w:val="20"/>
          <w:szCs w:val="20"/>
        </w:rPr>
        <w:t xml:space="preserve">The backend answers with at most one reason. Each needs its own message rather than a generic failure, which is what FR-RDY-014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for this kit cannot be found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when the application asks whether a test may start</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already been used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expired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is not authorised to test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service has ended for this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unused kit remains for this user</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from the kits sent against the tests already performed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the check is switched on for the partner</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 FR-KIT-004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previous test falls within a defined minimum interval</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switched on. Future development</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configuration places the application in a blocked state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The reason may be an ended service, a scheduled period of unavailability, a partner-defined condition, or an expired kit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I.2 Established on the Device Before a Test Starts</w:t>
      </w:r>
    </w:p>
    <w:p>
      <w:pPr>
        <w:spacing w:after="100" w:before="0" w:line="260"/>
      </w:pPr>
      <w:r>
        <w:rPr>
          <w:rFonts w:ascii="Calibri" w:cs="Calibri" w:eastAsia="Calibri" w:hAnsi="Calibri"/>
          <w:sz w:val="20"/>
          <w:szCs w:val="20"/>
        </w:rPr>
        <w:t xml:space="preserve">Every one of these is re-evaluated immediately before a test starts and not only at application start-up, which is what FR-RDY-010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Device integrity is compromised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at start-up</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Hardware is below the minimum specification</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operating-system version is outside the supported range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application version is unsupported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Against the backend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or notifies. Configuration decides which</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There is no internet connection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backend cannot be reached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whether or not the device is charging</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level cannot be read at all</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Neither. The test proceeds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Available storage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camera is absent, or cannot be started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and again where the flow requires 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session is no longer valid, or the backend holds no identity for the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a request to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The user verifies again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FR-AUT-022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test was performed within the preceding 24 hours</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 once per window</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Demonstration behaviour is in force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enforced by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I.3 Established at or After the Scan</w:t>
      </w:r>
    </w:p>
    <w:p>
      <w:pPr>
        <w:spacing w:after="100" w:before="0" w:line="260"/>
      </w:pPr>
      <w:r>
        <w:rPr>
          <w:rFonts w:ascii="Calibri" w:cs="Calibri" w:eastAsia="Calibri" w:hAnsi="Calibri"/>
          <w:sz w:val="20"/>
          <w:szCs w:val="20"/>
        </w:rPr>
        <w:t xml:space="preserve">The kit identifier is printed on the Test Board and is therefore read during the scan, at the end of the physical procedure. So none of these can refuse a test before it is run; each refuses it a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kit identifier was read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does not match the defined template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has already been used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has expired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switched on.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refusal cannot be attributed to a condition the software recognises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without stating a reason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was asked to present the identifier and could not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jc w:val="right"/>
    </w:pPr>
    <w:r>
      <w:rPr>
        <w:rFonts w:ascii="Calibri" w:cs="Calibri" w:eastAsia="Calibri" w:hAnsi="Calibri"/>
        <w:color w:val="7F8FA6"/>
        <w:sz w:val="16"/>
        <w:szCs w:val="16"/>
      </w:rPr>
      <w:t xml:space="preserve">QACR-APP-FR-01 Rev 1.25  ·  QACR Mobile Application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Functional Requirements</dc:title>
  <dc:creator>QACR Product</dc:creator>
  <dc:description>Functional requirements derived from QACR-RA-01 and SRS Application QACR Rev 1.0</dc:description>
  <cp:lastModifiedBy>Un-named</cp:lastModifiedBy>
  <cp:revision>1</cp:revision>
  <dcterms:created xsi:type="dcterms:W3CDTF">2026-08-30T11:51:54.407Z</dcterms:created>
  <dcterms:modified xsi:type="dcterms:W3CDTF">2026-08-30T11:51:54.409Z</dcterms:modified>
</cp:coreProperties>
</file>

<file path=docProps/custom.xml><?xml version="1.0" encoding="utf-8"?>
<Properties xmlns="http://schemas.openxmlformats.org/officeDocument/2006/custom-properties" xmlns:vt="http://schemas.openxmlformats.org/officeDocument/2006/docPropsVTypes"/>
</file>