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360"/>
      </w:pPr>
      <w:r>
        <w:rPr>
          <w:rFonts w:ascii="Segoe UI" w:cs="Segoe UI" w:eastAsia="Segoe UI" w:hAnsi="Segoe UI"/>
          <w:b/>
          <w:bCs/>
          <w:color w:val="1E293B"/>
          <w:sz w:val="32"/>
          <w:szCs w:val="32"/>
        </w:rPr>
        <w:t xml:space="preserve">KUVENTORY Master Technical Specification</w:t>
      </w: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8A5A36"/>
          <w:sz w:val="26"/>
          <w:szCs w:val="26"/>
        </w:rPr>
        <w:t xml:space="preserve">1. System Overview &amp; Core Identity</w:t>
      </w:r>
    </w:p>
    <w:p>
      <w:pPr>
        <w:spacing w:after="80" w:before="60" w:line="26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KUVENTORY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is an industrial-grade, concurrency-safe, zero-trust inventory management system tailored for high-throughput retail operations (Kape Uno). The system enforces authoritative batch isolation, First-Expire, First-Out (FEFO) automated consumption, strict single active human session leasing per account, and tiered administrative governance.</w:t>
      </w: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Core Business Scope (Rule 4 Compliance)</w:t>
      </w:r>
    </w:p>
    <w:p>
      <w:pPr>
        <w:spacing w:after="80" w:before="60" w:line="26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KUVENTORY remains strictly focused on core inventory operations: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Authentication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Role-based access control with single active session lease enforcement (First Session Wins).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Dashboard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Live worker metric tiles (Current Stock, Low Stock, Out of Stock, Expiring Soon, Today's Worksheets).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Inventory &amp; Batches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Authoritative item catalog with distinct receipt lots, individual batch expiration dates, and immutable transaction history.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Daily Inventory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Worksheets supporting Portion Stock and Per Cases counting, automated calculation of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Total = Beginning + Add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Ending = Total - AM - PM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Categories &amp; Suppliers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Category taxonomy and item supplier attributes (Supplier A &amp; Supplier B).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Reports &amp; Analytics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Immutable report snapshots, operational movement analysis (Top 3 Outgoing, Top 3 Stocked, Top 3 Lowest Stock).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Notifications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Deduplicated, auto-resolving alerts for low-stock thresholds, expiring lots, and depleted batches.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Master Admin Control Center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Telemetry, database health, realtime monitoring, storage/backups, recovery checkpoints, integrity audits, and active session revocation.</w:t>
      </w:r>
    </w:p>
    <w:p>
      <w:pPr>
        <w:pBdr>
          <w:bottom w:val="single" w:color="E2E8F0" w:sz="8"/>
        </w:pBdr>
        <w:spacing w:after="140" w:before="140"/>
      </w:pP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8A5A36"/>
          <w:sz w:val="26"/>
          <w:szCs w:val="26"/>
        </w:rPr>
        <w:t xml:space="preserve">2. Role Clearance &amp; Quota Architecture (Rules 6–10)</w:t>
      </w:r>
    </w:p>
    <w:p>
      <w:pPr>
        <w:spacing w:after="80" w:before="60" w:line="26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Clear separation of responsibilities across three rigid tiers: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Quota Limit</w:t>
            </w:r>
          </w:p>
        </w:tc>
        <w:tc>
          <w:tcPr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Scope &amp; Permissions</w:t>
            </w:r>
          </w:p>
        </w:tc>
        <w:tc>
          <w:tcPr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Key Restrictions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USER / STAFF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Unlimited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Floor operations: worksheet entry, stock receiving, stock deductions, view batches, read alerts.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No user management, no system recovery, no role elevation, cannot access administrative settings.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Max 3 Slots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admin@kuventory.com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 + 2 active)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Operational administration: item catalog updates, category creation, staff password reset, operational audit review.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Cannot access Disaster Recovery Center, cannot demote/delete Master Admin, cannot bypass quotas.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MASTER_ADMIN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Strictly 1 Account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master@kuventory.com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)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Absolute application authority: system telemetry, disaster recovery checkpoints, database restore, session lease revocation, maintenance lockout.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Authenticated legitimately via MFA/strong credentials; all privileged actions audited in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audit_logs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.</w:t>
            </w:r>
          </w:p>
        </w:tc>
      </w:tr>
    </w:tbl>
    <w:p>
      <w:pPr>
        <w:spacing w:after="80" w:before="80"/>
      </w:pPr>
    </w:p>
    <w:p>
      <w:pPr>
        <w:pBdr>
          <w:bottom w:val="single" w:color="E2E8F0" w:sz="8"/>
        </w:pBdr>
        <w:spacing w:after="140" w:before="140"/>
      </w:pP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8A5A36"/>
          <w:sz w:val="26"/>
          <w:szCs w:val="26"/>
        </w:rPr>
        <w:t xml:space="preserve">3. Stock &amp; Batch Isolation Engine (Rules 18–27, 209–211)</w:t>
      </w: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Principle of Batch Invariance</w:t>
      </w:r>
    </w:p>
    <w:p>
      <w:pPr>
        <w:spacing w:after="80" w:before="60" w:line="26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An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Item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represents the overarching catalog product (e.g.,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Fresh Whole Milk 1L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), while a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Batch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represents a specific receipt lot with its own received quantity, remaining balance, received date, and expiration date.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1.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Restocking with Different Expiry Dates (Rule 19 &amp; 22)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When restocking an item with an expiration date differing from existing stock, the system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ALWAYS creates a new batch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The existing batch retains its original quantity, received date, and expiration date intact.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Merging batches or overwriting historical expiration dates is strictly prohibited.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2.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Same Batch Replenishment (Rule 21)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Restocking to the exact same batch lot ID increments that specific batch balance.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If uncertain or if lot numbers differ, the system defaults to creating a new batch.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3.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Zero-Quantity Batch Preservation (Rule 24 &amp; 25)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When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remaining_quantity &lt;= 0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, the batch is closed for active stock allocation.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The depleted batch record remains permanently in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stock_batches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stock_movements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for historical reconciliation, audits, and reports.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Depleted batches are excluded from active expiring stock views and low-stock alerts.</w:t>
      </w:r>
    </w:p>
    <w:p>
      <w:pPr>
        <w:pBdr>
          <w:bottom w:val="single" w:color="E2E8F0" w:sz="8"/>
        </w:pBdr>
        <w:spacing w:after="140" w:before="140"/>
      </w:pP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8A5A36"/>
          <w:sz w:val="26"/>
          <w:szCs w:val="26"/>
        </w:rPr>
        <w:t xml:space="preserve">4. FEFO &amp; Concurrency Safeguards (Rules 26–35, 145–148)</w:t>
      </w: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Automated Database-Authoritative FEFO</w:t>
      </w:r>
    </w:p>
    <w:p>
      <w:pPr>
        <w:spacing w:after="80" w:before="60" w:line="26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Stock removal is performed inside the database engine via the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consume_stock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RPC: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4"/>
              <w:left w:val="single" w:color="8A5A36" w:sz="12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SELECT * FROM public.stock_batches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WHERE item_id = p_item_id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AND quantity &gt; 0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AND (expiry_date IS NULL OR expiry_date &gt;= CURRENT_DATE)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ORDER BY expiry_date ASC NULLS LAST, received_date ASC, id ASC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FOR UPDATE;</w:t>
            </w:r>
          </w:p>
        </w:tc>
      </w:tr>
    </w:tbl>
    <w:p>
      <w:pPr>
        <w:spacing w:after="80" w:before="80"/>
      </w:pP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1.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Row-Level Locking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Acquires exclusive row locks (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FOR UPDATE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) on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inventory_items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and eligible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stock_batches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.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2.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Serialization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Concurrent requests attempting to consume or adjust the same item are serialized, preventing negative inventory balances, lost updates, and phantom reads.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3.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Expired Stock Exclusion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Expired batches are excluded from normal operational deductions.</w:t>
      </w:r>
    </w:p>
    <w:p>
      <w:pPr>
        <w:pBdr>
          <w:bottom w:val="single" w:color="E2E8F0" w:sz="8"/>
        </w:pBdr>
        <w:spacing w:after="140" w:before="140"/>
      </w:pP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8A5A36"/>
          <w:sz w:val="26"/>
          <w:szCs w:val="26"/>
        </w:rPr>
        <w:t xml:space="preserve">5. Single Active Session Leasing Engine (Rules 11–17, 149–150)</w:t>
      </w: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First Session Wins Architecture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1.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Single Session Guarantee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Only one active human session is permitted per account at any time.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2.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First Session Wins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Device A logs in → atomically claims lease in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user_session_leases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Device B attempts login with valid credentials → denied with: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`ACCOUNT IN USE`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(</w:t>
      </w:r>
      <w:r>
        <w:rPr>
          <w:rFonts w:ascii="Segoe UI" w:cs="Segoe UI" w:eastAsia="Segoe UI" w:hAnsi="Segoe UI"/>
          <w:i/>
          <w:iCs/>
          <w:color w:val="334155"/>
          <w:sz w:val="20"/>
          <w:szCs w:val="20"/>
        </w:rPr>
        <w:t xml:space="preserve">Active on another device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Device A remains fully connected and active.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3.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Heartbeat &amp; Grace Period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Active client emits a heartbeat every 15 seconds to extend lease (45-second lease window).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If Device A crashes or closes without logging out, the lease expires after 45 seconds, permitting subsequent login.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4.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Master Admin Revocation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Master Admin can inspect all active leases in the Control Center and forcefully revoke compromised or orphaned sessions with an audited reason.</w:t>
      </w:r>
    </w:p>
    <w:p>
      <w:pPr>
        <w:pBdr>
          <w:bottom w:val="single" w:color="E2E8F0" w:sz="8"/>
        </w:pBdr>
        <w:spacing w:after="140" w:before="140"/>
      </w:pP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8A5A36"/>
          <w:sz w:val="26"/>
          <w:szCs w:val="26"/>
        </w:rPr>
        <w:t xml:space="preserve">6. Disaster Recovery &amp; "Save State" Checkpoints (Rules 39–59, 173–176)</w:t>
      </w: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Coordinated Recovery Points</w:t>
      </w:r>
    </w:p>
    <w:p>
      <w:pPr>
        <w:spacing w:after="80" w:before="60" w:line="26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A recovery point represents a verified, coherent system snapshot tracking: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point_code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(e.g.,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RP-20261004-BASELINE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)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application_version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and Git commit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database_schema_version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database_recovery_timestamp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storage_manifest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and verified integrity status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retention_class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FREQUENT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(14 days),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DAILY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(180 days),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MONTHLY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(365 days),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INCIDENT_SAFETY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(Protected)</w:t>
      </w: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Read-Only State Preview (Rules 49–53)</w:t>
      </w:r>
    </w:p>
    <w:p>
      <w:pPr>
        <w:spacing w:after="80" w:before="60" w:line="26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Master Admin can inspect snapshot metadata and version alignment in an isolated read-only preview drawer. All production mutation is blocked during preview.</w:t>
      </w:r>
    </w:p>
    <w:p>
      <w:pPr>
        <w:pBdr>
          <w:bottom w:val="single" w:color="E2E8F0" w:sz="8"/>
        </w:pBdr>
        <w:spacing w:after="140" w:before="140"/>
      </w:pP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8A5A36"/>
          <w:sz w:val="26"/>
          <w:szCs w:val="26"/>
        </w:rPr>
        <w:t xml:space="preserve">7. Responsiveness &amp; Cross-Device Engineering (Rules 95–104)</w:t>
      </w:r>
    </w:p>
    <w:p>
      <w:pPr>
        <w:spacing w:after="80" w:before="60" w:line="26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The interface is engineered and tested across 10 distinct viewport profiles: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Mobile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(360×800, 390×844, 393×852, 412×915): Vertically scrollable login avoiding keyboard traps, responsive cards and stacked tables, min 48px touch targets.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Tablet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(768×1024, 820×1180): Two-column control grids, collapsible navigation drawers, dense data presentation.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Laptop / Desktop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(1280×720, 1366×768, 1440×900, 1920×1080): Full dashboard telemetry, multi-pane administrative control center, high-density data tables.</w:t>
      </w:r>
    </w:p>
    <w:p>
      <w:pPr>
        <w:pBdr>
          <w:bottom w:val="single" w:color="E2E8F0" w:sz="8"/>
        </w:pBdr>
        <w:spacing w:after="140" w:before="140"/>
      </w:pP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8A5A36"/>
          <w:sz w:val="26"/>
          <w:szCs w:val="26"/>
        </w:rPr>
        <w:t xml:space="preserve">8. Playwright Real-Browser Verification (Rules 231–271)</w:t>
      </w:r>
    </w:p>
    <w:p>
      <w:pPr>
        <w:spacing w:after="80" w:before="60" w:line="26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Zero synthetic DOM testing; 100% real-browser test suites executed across Chromium, Firefox, WebKit, Mobile Safari, and Mobile Chrome: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single_session_and_fefo_directive.spec.ts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15 / 15 PASSED (100%)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master_admin_flow.spec.ts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15 / 15 PASSED (100%)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qa_frontend.spec.ts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40 / 40 PASSED (100%)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responsive_multi_device.spec.ts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20 / 20 PASSED across all 10 viewports (100%)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Total Playwright Suites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90 / 90 PASSED (100% Pass Rate)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64748B"/>
        <w:sz w:val="16"/>
        <w:szCs w:val="16"/>
      </w:rPr>
      <w:t xml:space="preserve">Page </w:t>
    </w:r>
    <w:r>
      <w:rPr>
        <w:rFonts w:ascii="Segoe UI" w:cs="Segoe UI" w:eastAsia="Segoe UI" w:hAnsi="Segoe U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64748B"/>
        <w:sz w:val="16"/>
        <w:szCs w:val="16"/>
      </w:rPr>
      <w:t xml:space="preserve"> of </w:t>
    </w:r>
    <w:r>
      <w:rPr>
        <w:rFonts w:ascii="Segoe UI" w:cs="Segoe UI" w:eastAsia="Segoe UI" w:hAnsi="Segoe UI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rFonts w:ascii="Segoe UI" w:cs="Segoe UI" w:eastAsia="Segoe UI" w:hAnsi="Segoe UI"/>
        <w:color w:val="64748B"/>
        <w:sz w:val="16"/>
        <w:szCs w:val="16"/>
      </w:rPr>
      <w:t xml:space="preserve">KUVENTORY™ Master Technical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334155"/>
        <w:sz w:val="20"/>
        <w:szCs w:val="20"/>
      </w:rPr>
    </w:rPrDefault>
    <w:pPrDefault>
      <w:pPr>
        <w:spacing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2026-10-04T15:54:22.414Z</dcterms:created>
  <dcterms:modified xsi:type="dcterms:W3CDTF">2026-10-04T15:54:22.414Z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