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40" w:before="360"/>
      </w:pPr>
      <w:r>
        <w:rPr>
          <w:rFonts w:ascii="Segoe UI" w:cs="Segoe UI" w:eastAsia="Segoe UI" w:hAnsi="Segoe UI"/>
          <w:b/>
          <w:bCs/>
          <w:color w:val="1E293B"/>
          <w:sz w:val="32"/>
          <w:szCs w:val="32"/>
        </w:rPr>
        <w:t xml:space="preserve">KUVENTORY Disaster Recovery &amp; Point-In-Time Restoration Guide</w:t>
      </w:r>
    </w:p>
    <w:p>
      <w:pPr>
        <w:pStyle w:val="Heading2"/>
        <w:spacing w:after="100" w:before="260"/>
      </w:pPr>
      <w:r>
        <w:rPr>
          <w:rFonts w:ascii="Segoe UI" w:cs="Segoe UI" w:eastAsia="Segoe UI" w:hAnsi="Segoe UI"/>
          <w:b/>
          <w:bCs/>
          <w:color w:val="8A5A36"/>
          <w:sz w:val="26"/>
          <w:szCs w:val="26"/>
        </w:rPr>
        <w:t xml:space="preserve">1. Overview &amp; Core Philosophy</w:t>
      </w:r>
    </w:p>
    <w:p>
      <w:pPr>
        <w:spacing w:after="80" w:before="60" w:line="26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Disaster Recovery (DR) in KUVENTORY ensures business continuity and data integrity for all physical inventory records across catastrophic failure scenarios. In compliance with Master Engineering Directive Rules 100–128:</w:t>
      </w:r>
    </w:p>
    <w:p>
      <w:pPr>
        <w:pStyle w:val="ListParagraph"/>
        <w:numPr>
          <w:ilvl w:val="0"/>
          <w:numId w:val="1"/>
        </w:numPr>
        <w:spacing w:after="40" w:before="40" w:line="24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Disaster Recovery and Point-In-Time Restoration is </w:t>
      </w:r>
      <w:r>
        <w:rPr>
          <w:rFonts w:ascii="Segoe UI" w:cs="Segoe UI" w:eastAsia="Segoe UI" w:hAnsi="Segoe UI"/>
          <w:b/>
          <w:bCs/>
          <w:color w:val="1E293B"/>
          <w:sz w:val="20"/>
          <w:szCs w:val="20"/>
        </w:rPr>
        <w:t xml:space="preserve">MASTER ADMIN ONLY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1"/>
        </w:numPr>
        <w:spacing w:after="40" w:before="40" w:line="24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Restoration is </w:t>
      </w:r>
      <w:r>
        <w:rPr>
          <w:rFonts w:ascii="Segoe UI" w:cs="Segoe UI" w:eastAsia="Segoe UI" w:hAnsi="Segoe UI"/>
          <w:b/>
          <w:bCs/>
          <w:color w:val="1E293B"/>
          <w:sz w:val="20"/>
          <w:szCs w:val="20"/>
        </w:rPr>
        <w:t xml:space="preserve">NEVER a single-click accident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: requires explicit checkpoint selection, non-destructive read-only preview, impact analysis, credential verification, and automated pre-restore safety checkpoint capture.</w:t>
      </w:r>
    </w:p>
    <w:p>
      <w:pPr>
        <w:pStyle w:val="ListParagraph"/>
        <w:numPr>
          <w:ilvl w:val="0"/>
          <w:numId w:val="1"/>
        </w:numPr>
        <w:spacing w:after="40" w:before="40" w:line="24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Production data is never automatically overwritten by automated alarms or blind health triggers.</w:t>
      </w:r>
    </w:p>
    <w:p>
      <w:pPr>
        <w:pBdr>
          <w:bottom w:val="single" w:color="E2E8F0" w:sz="8"/>
        </w:pBdr>
        <w:spacing w:after="140" w:before="140"/>
      </w:pPr>
    </w:p>
    <w:p>
      <w:pPr>
        <w:pStyle w:val="Heading2"/>
        <w:spacing w:after="100" w:before="260"/>
      </w:pPr>
      <w:r>
        <w:rPr>
          <w:rFonts w:ascii="Segoe UI" w:cs="Segoe UI" w:eastAsia="Segoe UI" w:hAnsi="Segoe UI"/>
          <w:b/>
          <w:bCs/>
          <w:color w:val="8A5A36"/>
          <w:sz w:val="26"/>
          <w:szCs w:val="26"/>
        </w:rPr>
        <w:t xml:space="preserve">2. 5-Tier Recovery Point Architecture (Rule 101)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Tier</w:t>
            </w:r>
          </w:p>
        </w:tc>
        <w:tc>
          <w:tcPr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Mechanism</w:t>
            </w:r>
          </w:p>
        </w:tc>
        <w:tc>
          <w:tcPr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Retention Class</w:t>
            </w:r>
          </w:p>
        </w:tc>
        <w:tc>
          <w:tcPr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SLA / RPO</w:t>
            </w:r>
          </w:p>
        </w:tc>
      </w:tr>
      <w:tr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Segoe UI" w:cs="Segoe UI" w:eastAsia="Segoe UI" w:hAnsi="Segoe UI"/>
                <w:b/>
                <w:bCs/>
                <w:color w:val="1E293B"/>
                <w:sz w:val="20"/>
                <w:szCs w:val="20"/>
              </w:rPr>
              <w:t xml:space="preserve">Layer 1</w:t>
            </w:r>
          </w:p>
        </w:tc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Transactional Durability</w:t>
            </w:r>
          </w:p>
        </w:tc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PostgreSQL WAL (Write-Ahead Logging) + ACID commit</w:t>
            </w:r>
          </w:p>
        </w:tc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Real-time</w:t>
            </w:r>
          </w:p>
        </w:tc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RPO: 0 seconds</w:t>
            </w:r>
          </w:p>
        </w:tc>
      </w:tr>
      <w:tr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Segoe UI" w:cs="Segoe UI" w:eastAsia="Segoe UI" w:hAnsi="Segoe UI"/>
                <w:b/>
                <w:bCs/>
                <w:color w:val="1E293B"/>
                <w:sz w:val="20"/>
                <w:szCs w:val="20"/>
              </w:rPr>
              <w:t xml:space="preserve">Layer 2</w:t>
            </w:r>
          </w:p>
        </w:tc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Continuous PITR</w:t>
            </w:r>
          </w:p>
        </w:tc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Cloud Database WAL archiving / Point-In-Time log replay</w:t>
            </w:r>
          </w:p>
        </w:tc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14 Days (Continuous)</w:t>
            </w:r>
          </w:p>
        </w:tc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RPO: &lt; 1 minute</w:t>
            </w:r>
          </w:p>
        </w:tc>
      </w:tr>
      <w:tr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Segoe UI" w:cs="Segoe UI" w:eastAsia="Segoe UI" w:hAnsi="Segoe UI"/>
                <w:b/>
                <w:bCs/>
                <w:color w:val="1E293B"/>
                <w:sz w:val="20"/>
                <w:szCs w:val="20"/>
              </w:rPr>
              <w:t xml:space="preserve">Layer 3</w:t>
            </w:r>
          </w:p>
        </w:tc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Application Checkpoints</w:t>
            </w:r>
          </w:p>
        </w:tc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Application-level Save States (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F1F5F9" w:val="clear"/>
              </w:rPr>
              <w:t xml:space="preserve">recovery_points</w:t>
            </w: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 table catalog)</w:t>
            </w:r>
          </w:p>
        </w:tc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14 Days (Frequent) / 180 Days (Daily)</w:t>
            </w:r>
          </w:p>
        </w:tc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RPO: ~15 minutes</w:t>
            </w:r>
          </w:p>
        </w:tc>
      </w:tr>
      <w:tr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Segoe UI" w:cs="Segoe UI" w:eastAsia="Segoe UI" w:hAnsi="Segoe UI"/>
                <w:b/>
                <w:bCs/>
                <w:color w:val="1E293B"/>
                <w:sz w:val="20"/>
                <w:szCs w:val="20"/>
              </w:rPr>
              <w:t xml:space="preserve">Layer 4</w:t>
            </w:r>
          </w:p>
        </w:tc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Long-Term Archive</w:t>
            </w:r>
          </w:p>
        </w:tc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Encrypted, cold-storage ledger and report snapshots</w:t>
            </w:r>
          </w:p>
        </w:tc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12 Months (Monthly)</w:t>
            </w:r>
          </w:p>
        </w:tc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Long-term Compliance</w:t>
            </w:r>
          </w:p>
        </w:tc>
      </w:tr>
      <w:tr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Segoe UI" w:cs="Segoe UI" w:eastAsia="Segoe UI" w:hAnsi="Segoe UI"/>
                <w:b/>
                <w:bCs/>
                <w:color w:val="1E293B"/>
                <w:sz w:val="20"/>
                <w:szCs w:val="20"/>
              </w:rPr>
              <w:t xml:space="preserve">Layer 5</w:t>
            </w:r>
          </w:p>
        </w:tc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Isolated DR Sandbox</w:t>
            </w:r>
          </w:p>
        </w:tc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Read-only staging environment for pre-flight verification</w:t>
            </w:r>
          </w:p>
        </w:tc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Ephemeral</w:t>
            </w:r>
          </w:p>
        </w:tc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Zero Production Risk</w:t>
            </w:r>
          </w:p>
        </w:tc>
      </w:tr>
    </w:tbl>
    <w:p>
      <w:pPr>
        <w:spacing w:after="80" w:before="80"/>
      </w:pPr>
    </w:p>
    <w:p>
      <w:pPr>
        <w:pBdr>
          <w:bottom w:val="single" w:color="E2E8F0" w:sz="8"/>
        </w:pBdr>
        <w:spacing w:after="140" w:before="140"/>
      </w:pPr>
    </w:p>
    <w:p>
      <w:pPr>
        <w:pStyle w:val="Heading2"/>
        <w:spacing w:after="100" w:before="260"/>
      </w:pPr>
      <w:r>
        <w:rPr>
          <w:rFonts w:ascii="Segoe UI" w:cs="Segoe UI" w:eastAsia="Segoe UI" w:hAnsi="Segoe UI"/>
          <w:b/>
          <w:bCs/>
          <w:color w:val="8A5A36"/>
          <w:sz w:val="26"/>
          <w:szCs w:val="26"/>
        </w:rPr>
        <w:t xml:space="preserve">3. Recovery Point Schema (`public.recovery_points`)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E2E8F0" w:sz="4"/>
              <w:left w:val="single" w:color="8A5A36" w:sz="12"/>
              <w:bottom w:val="single" w:color="E2E8F0" w:sz="4"/>
              <w:right w:val="single" w:color="E2E8F0" w:sz="4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 w:line="20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CREATE TABLE IF NOT EXISTS public.recovery_points (</w:t>
            </w:r>
          </w:p>
          <w:p>
            <w:pPr>
              <w:spacing w:after="20" w:before="20" w:line="20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id UUID PRIMARY KEY DEFAULT gen_random_uuid(),</w:t>
            </w:r>
          </w:p>
          <w:p>
            <w:pPr>
              <w:spacing w:after="20" w:before="20" w:line="20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point_code TEXT UNIQUE NOT NULL,</w:t>
            </w:r>
          </w:p>
          <w:p>
            <w:pPr>
              <w:spacing w:after="20" w:before="20" w:line="20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name TEXT NOT NULL,</w:t>
            </w:r>
          </w:p>
          <w:p>
            <w:pPr>
              <w:spacing w:after="20" w:before="20" w:line="20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created_at TIMESTAMPTZ DEFAULT NOW(),</w:t>
            </w:r>
          </w:p>
          <w:p>
            <w:pPr>
              <w:spacing w:after="20" w:before="20" w:line="20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application_version TEXT NOT NULL,</w:t>
            </w:r>
          </w:p>
          <w:p>
            <w:pPr>
              <w:spacing w:after="20" w:before="20" w:line="20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git_commit TEXT,</w:t>
            </w:r>
          </w:p>
          <w:p>
            <w:pPr>
              <w:spacing w:after="20" w:before="20" w:line="20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schema_version TEXT NOT NULL,</w:t>
            </w:r>
          </w:p>
          <w:p>
            <w:pPr>
              <w:spacing w:after="20" w:before="20" w:line="20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state_payload JSONB NOT NULL,</w:t>
            </w:r>
          </w:p>
          <w:p>
            <w:pPr>
              <w:spacing w:after="20" w:before="20" w:line="20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item_count INT NOT NULL DEFAULT 0,</w:t>
            </w:r>
          </w:p>
          <w:p>
            <w:pPr>
              <w:spacing w:after="20" w:before="20" w:line="20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batch_count INT NOT NULL DEFAULT 0,</w:t>
            </w:r>
          </w:p>
          <w:p>
            <w:pPr>
              <w:spacing w:after="20" w:before="20" w:line="20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movement_count INT NOT NULL DEFAULT 0,</w:t>
            </w:r>
          </w:p>
          <w:p>
            <w:pPr>
              <w:spacing w:after="20" w:before="20" w:line="20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retention_class TEXT NOT NULL CHECK (retention_class IN ('FREQUENT', 'DAILY', 'MONTHLY')),</w:t>
            </w:r>
          </w:p>
          <w:p>
            <w:pPr>
              <w:spacing w:after="20" w:before="20" w:line="20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is_protected BOOLEAN NOT NULL DEFAULT FALSE,</w:t>
            </w:r>
          </w:p>
          <w:p>
            <w:pPr>
              <w:spacing w:after="20" w:before="20" w:line="20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verification_status TEXT NOT NULL DEFAULT 'VERIFIED' CHECK (verification_status IN ('PENDING', 'VERIFIED', 'FAILED')),</w:t>
            </w:r>
          </w:p>
          <w:p>
            <w:pPr>
              <w:spacing w:after="20" w:before="20" w:line="20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created_by UUID REFERENCES auth.users(id) ON DELETE SET NULL</w:t>
            </w:r>
          </w:p>
          <w:p>
            <w:pPr>
              <w:spacing w:after="20" w:before="20" w:line="20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);</w:t>
            </w:r>
          </w:p>
        </w:tc>
      </w:tr>
    </w:tbl>
    <w:p>
      <w:pPr>
        <w:spacing w:after="80" w:before="80"/>
      </w:pPr>
    </w:p>
    <w:p>
      <w:pPr>
        <w:pBdr>
          <w:bottom w:val="single" w:color="E2E8F0" w:sz="8"/>
        </w:pBdr>
        <w:spacing w:after="140" w:before="140"/>
      </w:pPr>
    </w:p>
    <w:p>
      <w:pPr>
        <w:pStyle w:val="Heading2"/>
        <w:spacing w:after="100" w:before="260"/>
      </w:pPr>
      <w:r>
        <w:rPr>
          <w:rFonts w:ascii="Segoe UI" w:cs="Segoe UI" w:eastAsia="Segoe UI" w:hAnsi="Segoe UI"/>
          <w:b/>
          <w:bCs/>
          <w:color w:val="8A5A36"/>
          <w:sz w:val="26"/>
          <w:szCs w:val="26"/>
        </w:rPr>
        <w:t xml:space="preserve">4. Multi-Step Restoration Workflow (Rule 120–122)</w:t>
      </w:r>
    </w:p>
    <w:p>
      <w:pPr>
        <w:spacing w:after="80" w:before="60" w:line="26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Restoration must execute the following sequential protocol without shortcutting: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E2E8F0" w:sz="4"/>
              <w:left w:val="single" w:color="8A5A36" w:sz="12"/>
              <w:bottom w:val="single" w:color="E2E8F0" w:sz="4"/>
              <w:right w:val="single" w:color="E2E8F0" w:sz="4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 w:line="20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[1. Select Checkpoint]</w:t>
            </w:r>
          </w:p>
          <w:p>
            <w:pPr>
              <w:spacing w:after="20" w:before="20" w:line="20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       │</w:t>
            </w:r>
          </w:p>
          <w:p>
            <w:pPr>
              <w:spacing w:after="20" w:before="20" w:line="20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       ▼</w:t>
            </w:r>
          </w:p>
          <w:p>
            <w:pPr>
              <w:spacing w:after="20" w:before="20" w:line="20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[2. Read-Only Preview] ────► Verify item counts, batch queues &amp; schema compatibility</w:t>
            </w:r>
          </w:p>
          <w:p>
            <w:pPr>
              <w:spacing w:after="20" w:before="20" w:line="20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       │</w:t>
            </w:r>
          </w:p>
          <w:p>
            <w:pPr>
              <w:spacing w:after="20" w:before="20" w:line="20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       ▼</w:t>
            </w:r>
          </w:p>
          <w:p>
            <w:pPr>
              <w:spacing w:after="20" w:before="20" w:line="20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[3. Show Impact Warning] ──► Explicitly list transactions/data that will be reverted</w:t>
            </w:r>
          </w:p>
          <w:p>
            <w:pPr>
              <w:spacing w:after="20" w:before="20" w:line="20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       │</w:t>
            </w:r>
          </w:p>
          <w:p>
            <w:pPr>
              <w:spacing w:after="20" w:before="20" w:line="20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       ▼</w:t>
            </w:r>
          </w:p>
          <w:p>
            <w:pPr>
              <w:spacing w:after="20" w:before="20" w:line="20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[4. Re-Authenticate] ─────► Master Admin enters password / step-up credentials</w:t>
            </w:r>
          </w:p>
          <w:p>
            <w:pPr>
              <w:spacing w:after="20" w:before="20" w:line="20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       │</w:t>
            </w:r>
          </w:p>
          <w:p>
            <w:pPr>
              <w:spacing w:after="20" w:before="20" w:line="20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       ▼</w:t>
            </w:r>
          </w:p>
          <w:p>
            <w:pPr>
              <w:spacing w:after="20" w:before="20" w:line="20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[5. Safety Point Capture] ─► Create pre-restore safety snapshot of current live state</w:t>
            </w:r>
          </w:p>
          <w:p>
            <w:pPr>
              <w:spacing w:after="20" w:before="20" w:line="20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       │</w:t>
            </w:r>
          </w:p>
          <w:p>
            <w:pPr>
              <w:spacing w:after="20" w:before="20" w:line="20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       ▼</w:t>
            </w:r>
          </w:p>
          <w:p>
            <w:pPr>
              <w:spacing w:after="20" w:before="20" w:line="20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[6. Enter Recovery Mode] ──► Lock concurrent writes to prevent corrupted mutations</w:t>
            </w:r>
          </w:p>
          <w:p>
            <w:pPr>
              <w:spacing w:after="20" w:before="20" w:line="20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       │</w:t>
            </w:r>
          </w:p>
          <w:p>
            <w:pPr>
              <w:spacing w:after="20" w:before="20" w:line="20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       ▼</w:t>
            </w:r>
          </w:p>
          <w:p>
            <w:pPr>
              <w:spacing w:after="20" w:before="20" w:line="20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[7. Authoritative Restore] ─► Restore tables in dependency order within atomic transaction</w:t>
            </w:r>
          </w:p>
          <w:p>
            <w:pPr>
              <w:spacing w:after="20" w:before="20" w:line="20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       │</w:t>
            </w:r>
          </w:p>
          <w:p>
            <w:pPr>
              <w:spacing w:after="20" w:before="20" w:line="20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         ▼</w:t>
            </w:r>
          </w:p>
          <w:p>
            <w:pPr>
              <w:spacing w:after="20" w:before="20" w:line="20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[8. Post-Restore Audit] ───► Verify balances, foreign keys, unread alerts, and exit mode</w:t>
            </w:r>
          </w:p>
        </w:tc>
      </w:tr>
    </w:tbl>
    <w:p>
      <w:pPr>
        <w:spacing w:after="80" w:before="80"/>
      </w:pPr>
    </w:p>
    <w:p>
      <w:pPr>
        <w:pBdr>
          <w:bottom w:val="single" w:color="E2E8F0" w:sz="8"/>
        </w:pBdr>
        <w:spacing w:after="140" w:before="140"/>
      </w:pPr>
    </w:p>
    <w:p>
      <w:pPr>
        <w:pStyle w:val="Heading2"/>
        <w:spacing w:after="100" w:before="260"/>
      </w:pPr>
      <w:r>
        <w:rPr>
          <w:rFonts w:ascii="Segoe UI" w:cs="Segoe UI" w:eastAsia="Segoe UI" w:hAnsi="Segoe UI"/>
          <w:b/>
          <w:bCs/>
          <w:color w:val="8A5A36"/>
          <w:sz w:val="26"/>
          <w:szCs w:val="26"/>
        </w:rPr>
        <w:t xml:space="preserve">5. Pre-Restore Safety Checkpoint Rule (Rule 119)</w:t>
      </w:r>
    </w:p>
    <w:p>
      <w:pPr>
        <w:spacing w:after="80" w:before="60" w:line="26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Before applying any restored data over live tables:</w:t>
      </w:r>
    </w:p>
    <w:p>
      <w:pPr>
        <w:pStyle w:val="ListParagraph"/>
        <w:numPr>
          <w:ilvl w:val="0"/>
          <w:numId w:val="1"/>
        </w:numPr>
        <w:spacing w:after="40" w:before="40" w:line="24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The system automatically triggers </w:t>
      </w:r>
      <w:r>
        <w:rPr>
          <w:rFonts w:ascii="Consolas" w:cs="Consolas" w:eastAsia="Consolas" w:hAnsi="Consolas"/>
          <w:color w:val="0F172A"/>
          <w:sz w:val="19"/>
          <w:szCs w:val="19"/>
          <w:shd w:fill="F1F5F9" w:val="clear"/>
        </w:rPr>
        <w:t xml:space="preserve">create_recovery_checkpoint()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 with </w:t>
      </w:r>
      <w:r>
        <w:rPr>
          <w:rFonts w:ascii="Consolas" w:cs="Consolas" w:eastAsia="Consolas" w:hAnsi="Consolas"/>
          <w:color w:val="0F172A"/>
          <w:sz w:val="19"/>
          <w:szCs w:val="19"/>
          <w:shd w:fill="F1F5F9" w:val="clear"/>
        </w:rPr>
        <w:t xml:space="preserve">name = 'PRE_RESTORE_SAFETY_SNAPSHOT'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 and </w:t>
      </w:r>
      <w:r>
        <w:rPr>
          <w:rFonts w:ascii="Consolas" w:cs="Consolas" w:eastAsia="Consolas" w:hAnsi="Consolas"/>
          <w:color w:val="0F172A"/>
          <w:sz w:val="19"/>
          <w:szCs w:val="19"/>
          <w:shd w:fill="F1F5F9" w:val="clear"/>
        </w:rPr>
        <w:t xml:space="preserve">is_protected = true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1"/>
        </w:numPr>
        <w:spacing w:after="40" w:before="40" w:line="24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If the administrator selected an incorrect recovery point or needs to undo the restoration, this safety snapshot remains immediately available as a rollback target.</w:t>
      </w:r>
    </w:p>
    <w:p>
      <w:pPr>
        <w:pBdr>
          <w:bottom w:val="single" w:color="E2E8F0" w:sz="8"/>
        </w:pBdr>
        <w:spacing w:after="140" w:before="140"/>
      </w:pPr>
    </w:p>
    <w:p>
      <w:pPr>
        <w:pStyle w:val="Heading2"/>
        <w:spacing w:after="100" w:before="260"/>
      </w:pPr>
      <w:r>
        <w:rPr>
          <w:rFonts w:ascii="Segoe UI" w:cs="Segoe UI" w:eastAsia="Segoe UI" w:hAnsi="Segoe UI"/>
          <w:b/>
          <w:bCs/>
          <w:color w:val="8A5A36"/>
          <w:sz w:val="26"/>
          <w:szCs w:val="26"/>
        </w:rPr>
        <w:t xml:space="preserve">6. Retention &amp; Automated Cleanup Policy (Rules 105–107)</w:t>
      </w:r>
    </w:p>
    <w:p>
      <w:pPr>
        <w:pStyle w:val="ListParagraph"/>
        <w:numPr>
          <w:ilvl w:val="0"/>
          <w:numId w:val="1"/>
        </w:numPr>
        <w:spacing w:after="40" w:before="40" w:line="240"/>
      </w:pPr>
      <w:r>
        <w:rPr>
          <w:rFonts w:ascii="Segoe UI" w:cs="Segoe UI" w:eastAsia="Segoe UI" w:hAnsi="Segoe UI"/>
          <w:b/>
          <w:bCs/>
          <w:color w:val="1E293B"/>
          <w:sz w:val="20"/>
          <w:szCs w:val="20"/>
        </w:rPr>
        <w:t xml:space="preserve">FREQUENT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: Retained for 14 days (automated prune).</w:t>
      </w:r>
    </w:p>
    <w:p>
      <w:pPr>
        <w:pStyle w:val="ListParagraph"/>
        <w:numPr>
          <w:ilvl w:val="0"/>
          <w:numId w:val="1"/>
        </w:numPr>
        <w:spacing w:after="40" w:before="40" w:line="240"/>
      </w:pPr>
      <w:r>
        <w:rPr>
          <w:rFonts w:ascii="Segoe UI" w:cs="Segoe UI" w:eastAsia="Segoe UI" w:hAnsi="Segoe UI"/>
          <w:b/>
          <w:bCs/>
          <w:color w:val="1E293B"/>
          <w:sz w:val="20"/>
          <w:szCs w:val="20"/>
        </w:rPr>
        <w:t xml:space="preserve">DAILY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: Retained for 180 days.</w:t>
      </w:r>
    </w:p>
    <w:p>
      <w:pPr>
        <w:pStyle w:val="ListParagraph"/>
        <w:numPr>
          <w:ilvl w:val="0"/>
          <w:numId w:val="1"/>
        </w:numPr>
        <w:spacing w:after="40" w:before="40" w:line="240"/>
      </w:pPr>
      <w:r>
        <w:rPr>
          <w:rFonts w:ascii="Segoe UI" w:cs="Segoe UI" w:eastAsia="Segoe UI" w:hAnsi="Segoe UI"/>
          <w:b/>
          <w:bCs/>
          <w:color w:val="1E293B"/>
          <w:sz w:val="20"/>
          <w:szCs w:val="20"/>
        </w:rPr>
        <w:t xml:space="preserve">MONTHLY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: Retained for 12 months.</w:t>
      </w:r>
    </w:p>
    <w:p>
      <w:pPr>
        <w:pStyle w:val="ListParagraph"/>
        <w:numPr>
          <w:ilvl w:val="0"/>
          <w:numId w:val="1"/>
        </w:numPr>
        <w:spacing w:after="40" w:before="40" w:line="240"/>
      </w:pPr>
      <w:r>
        <w:rPr>
          <w:rFonts w:ascii="Segoe UI" w:cs="Segoe UI" w:eastAsia="Segoe UI" w:hAnsi="Segoe UI"/>
          <w:b/>
          <w:bCs/>
          <w:color w:val="1E293B"/>
          <w:sz w:val="20"/>
          <w:szCs w:val="20"/>
        </w:rPr>
        <w:t xml:space="preserve">NEVER PRUNED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:</w:t>
      </w:r>
    </w:p>
    <w:p>
      <w:pPr>
        <w:pStyle w:val="ListParagraph"/>
        <w:numPr>
          <w:ilvl w:val="0"/>
          <w:numId w:val="1"/>
        </w:numPr>
        <w:spacing w:after="40" w:before="40" w:line="24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The latest verified recovery point.</w:t>
      </w:r>
    </w:p>
    <w:p>
      <w:pPr>
        <w:pStyle w:val="ListParagraph"/>
        <w:numPr>
          <w:ilvl w:val="0"/>
          <w:numId w:val="1"/>
        </w:numPr>
        <w:spacing w:after="40" w:before="40" w:line="24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Recovery points marked </w:t>
      </w:r>
      <w:r>
        <w:rPr>
          <w:rFonts w:ascii="Consolas" w:cs="Consolas" w:eastAsia="Consolas" w:hAnsi="Consolas"/>
          <w:color w:val="0F172A"/>
          <w:sz w:val="19"/>
          <w:szCs w:val="19"/>
          <w:shd w:fill="F1F5F9" w:val="clear"/>
        </w:rPr>
        <w:t xml:space="preserve">is_protected = true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1"/>
        </w:numPr>
        <w:spacing w:after="40" w:before="40" w:line="24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Checkpoints associated with an unresolved incident report.</w:t>
      </w:r>
    </w:p>
    <w:p>
      <w:pPr>
        <w:pStyle w:val="ListParagraph"/>
        <w:numPr>
          <w:ilvl w:val="0"/>
          <w:numId w:val="1"/>
        </w:numPr>
        <w:spacing w:after="40" w:before="40" w:line="24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The current pre-restore safety snapshot.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egoe UI" w:cs="Segoe UI" w:eastAsia="Segoe UI" w:hAnsi="Segoe UI"/>
        <w:color w:val="64748B"/>
        <w:sz w:val="16"/>
        <w:szCs w:val="16"/>
      </w:rPr>
      <w:t xml:space="preserve">Page </w:t>
    </w:r>
    <w:r>
      <w:rPr>
        <w:rFonts w:ascii="Segoe UI" w:cs="Segoe UI" w:eastAsia="Segoe UI" w:hAnsi="Segoe UI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Segoe UI" w:cs="Segoe UI" w:eastAsia="Segoe UI" w:hAnsi="Segoe UI"/>
        <w:color w:val="64748B"/>
        <w:sz w:val="16"/>
        <w:szCs w:val="16"/>
      </w:rPr>
      <w:t xml:space="preserve"> of </w:t>
    </w:r>
    <w:r>
      <w:rPr>
        <w:rFonts w:ascii="Segoe UI" w:cs="Segoe UI" w:eastAsia="Segoe UI" w:hAnsi="Segoe UI"/>
        <w:color w:val="64748B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20"/>
      <w:jc w:val="right"/>
    </w:pPr>
    <w:r>
      <w:rPr>
        <w:rFonts w:ascii="Segoe UI" w:cs="Segoe UI" w:eastAsia="Segoe UI" w:hAnsi="Segoe UI"/>
        <w:color w:val="64748B"/>
        <w:sz w:val="16"/>
        <w:szCs w:val="16"/>
      </w:rPr>
      <w:t xml:space="preserve">KUVENTORY™ 5-Tier Disaster Recovery &amp; Backup Architecture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color w:val="334155"/>
        <w:sz w:val="20"/>
        <w:szCs w:val="20"/>
      </w:rPr>
    </w:rPrDefault>
    <w:pPrDefault>
      <w:pPr>
        <w:spacing w:line="2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2026-10-04T15:54:23.198Z</dcterms:created>
  <dcterms:modified xsi:type="dcterms:W3CDTF">2026-10-04T15:54:23.198Z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