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sz w:val="44"/>
        </w:rPr>
        <w:t>Statistical Arbitrage in Cryptocurrencies</w:t>
      </w:r>
    </w:p>
    <w:p>
      <w:pPr>
        <w:spacing w:after="480"/>
        <w:jc w:val="center"/>
      </w:pPr>
      <w:r>
        <w:rPr>
          <w:b w:val="0"/>
          <w:i/>
          <w:sz w:val="28"/>
        </w:rPr>
        <w:t>Momentum and Reversal Research on Live Market Data - Version 2</w:t>
      </w:r>
    </w:p>
    <w:p>
      <w:pPr>
        <w:spacing w:after="80"/>
        <w:jc w:val="center"/>
      </w:pPr>
      <w:r>
        <w:rPr>
          <w:b w:val="0"/>
          <w:i w:val="0"/>
          <w:sz w:val="24"/>
        </w:rPr>
        <w:t>Wall Street Quants - Bootcamp Project</w:t>
      </w:r>
    </w:p>
    <w:p>
      <w:pPr>
        <w:spacing w:after="80"/>
        <w:jc w:val="center"/>
      </w:pPr>
      <w:r>
        <w:rPr>
          <w:b w:val="0"/>
          <w:i w:val="0"/>
          <w:sz w:val="22"/>
        </w:rPr>
        <w:t>Survivorship-free universe of 39 coins | data 2021-01-01 to 2026-10-08</w:t>
      </w:r>
    </w:p>
    <w:p>
      <w:pPr>
        <w:spacing w:after="120"/>
        <w:jc w:val="center"/>
      </w:pPr>
      <w:r>
        <w:rPr>
          <w:b w:val="0"/>
          <w:i w:val="0"/>
          <w:sz w:val="22"/>
        </w:rPr>
        <w:t>October 2026</w:t>
      </w:r>
    </w:p>
    <w:p>
      <w:r>
        <w:br w:type="page"/>
      </w:r>
    </w:p>
    <w:p>
      <w:pPr>
        <w:pStyle w:val="Heading1"/>
      </w:pPr>
      <w:r>
        <w:t>Contents</w:t>
      </w:r>
    </w:p>
    <w:p>
      <w:pPr>
        <w:tabs>
          <w:tab w:pos="9360" w:val="right" w:leader="dot"/>
        </w:tabs>
        <w:spacing w:after="60" w:before="60"/>
        <w:ind w:left="0"/>
      </w:pPr>
      <w:r>
        <w:rPr>
          <w:b/>
          <w:sz w:val="21"/>
        </w:rPr>
        <w:t>Executive Summary</w:t>
        <w:tab/>
        <w:t>3</w:t>
      </w:r>
    </w:p>
    <w:p>
      <w:pPr>
        <w:tabs>
          <w:tab w:pos="9360" w:val="right" w:leader="dot"/>
        </w:tabs>
        <w:spacing w:after="60" w:before="60"/>
        <w:ind w:left="0"/>
      </w:pPr>
      <w:r>
        <w:rPr>
          <w:b/>
          <w:sz w:val="21"/>
        </w:rPr>
        <w:t>0. Changes in Version 2</w:t>
        <w:tab/>
        <w:t>3</w:t>
      </w:r>
    </w:p>
    <w:p>
      <w:pPr>
        <w:tabs>
          <w:tab w:pos="9360" w:val="right" w:leader="dot"/>
        </w:tabs>
        <w:spacing w:after="60" w:before="60"/>
        <w:ind w:left="0"/>
      </w:pPr>
      <w:r>
        <w:rPr>
          <w:b/>
          <w:sz w:val="21"/>
        </w:rPr>
        <w:t>1. Introduction</w:t>
        <w:tab/>
        <w:t>4</w:t>
      </w:r>
    </w:p>
    <w:p>
      <w:pPr>
        <w:tabs>
          <w:tab w:pos="9360" w:val="right" w:leader="dot"/>
        </w:tabs>
        <w:spacing w:after="60" w:before="60"/>
        <w:ind w:left="0"/>
      </w:pPr>
      <w:r>
        <w:rPr>
          <w:b/>
          <w:sz w:val="21"/>
        </w:rPr>
        <w:t>2. Literature Review</w:t>
        <w:tab/>
        <w:t>4</w:t>
      </w:r>
    </w:p>
    <w:p>
      <w:pPr>
        <w:tabs>
          <w:tab w:pos="9360" w:val="right" w:leader="dot"/>
        </w:tabs>
        <w:spacing w:after="60" w:before="60"/>
        <w:ind w:left="0"/>
      </w:pPr>
      <w:r>
        <w:rPr>
          <w:b/>
          <w:sz w:val="21"/>
        </w:rPr>
        <w:t>3. Data</w:t>
        <w:tab/>
        <w:t>4</w:t>
      </w:r>
    </w:p>
    <w:p>
      <w:pPr>
        <w:tabs>
          <w:tab w:pos="9360" w:val="right" w:leader="dot"/>
        </w:tabs>
        <w:spacing w:after="20" w:before="0"/>
        <w:ind w:left="432"/>
      </w:pPr>
      <w:r>
        <w:rPr>
          <w:b w:val="0"/>
          <w:sz w:val="20"/>
        </w:rPr>
        <w:t>3.1 A survivorship-free universe</w:t>
        <w:tab/>
        <w:t>4</w:t>
      </w:r>
    </w:p>
    <w:p>
      <w:pPr>
        <w:tabs>
          <w:tab w:pos="9360" w:val="right" w:leader="dot"/>
        </w:tabs>
        <w:spacing w:after="20" w:before="0"/>
        <w:ind w:left="432"/>
      </w:pPr>
      <w:r>
        <w:rPr>
          <w:b w:val="0"/>
          <w:sz w:val="20"/>
        </w:rPr>
        <w:t>3.2 Prices and sources</w:t>
        <w:tab/>
        <w:t>5</w:t>
      </w:r>
    </w:p>
    <w:p>
      <w:pPr>
        <w:tabs>
          <w:tab w:pos="9360" w:val="right" w:leader="dot"/>
        </w:tabs>
        <w:spacing w:after="20" w:before="0"/>
        <w:ind w:left="432"/>
      </w:pPr>
      <w:r>
        <w:rPr>
          <w:b w:val="0"/>
          <w:sz w:val="20"/>
        </w:rPr>
        <w:t>3.3 Investment themes</w:t>
        <w:tab/>
        <w:t>6</w:t>
      </w:r>
    </w:p>
    <w:p>
      <w:pPr>
        <w:tabs>
          <w:tab w:pos="9360" w:val="right" w:leader="dot"/>
        </w:tabs>
        <w:spacing w:after="60" w:before="60"/>
        <w:ind w:left="0"/>
      </w:pPr>
      <w:r>
        <w:rPr>
          <w:b/>
          <w:sz w:val="21"/>
        </w:rPr>
        <w:t>4. Backtest Methodology</w:t>
        <w:tab/>
        <w:t>6</w:t>
      </w:r>
    </w:p>
    <w:p>
      <w:pPr>
        <w:tabs>
          <w:tab w:pos="9360" w:val="right" w:leader="dot"/>
        </w:tabs>
        <w:spacing w:after="20" w:before="0"/>
        <w:ind w:left="432"/>
      </w:pPr>
      <w:r>
        <w:rPr>
          <w:b w:val="0"/>
          <w:sz w:val="20"/>
        </w:rPr>
        <w:t>4.1 Unconstrained backtest</w:t>
        <w:tab/>
        <w:t>6</w:t>
      </w:r>
    </w:p>
    <w:p>
      <w:pPr>
        <w:tabs>
          <w:tab w:pos="9360" w:val="right" w:leader="dot"/>
        </w:tabs>
        <w:spacing w:after="20" w:before="0"/>
        <w:ind w:left="432"/>
      </w:pPr>
      <w:r>
        <w:rPr>
          <w:b w:val="0"/>
          <w:sz w:val="20"/>
        </w:rPr>
        <w:t>4.2 Costs</w:t>
        <w:tab/>
        <w:t>6</w:t>
      </w:r>
    </w:p>
    <w:p>
      <w:pPr>
        <w:tabs>
          <w:tab w:pos="9360" w:val="right" w:leader="dot"/>
        </w:tabs>
        <w:spacing w:after="20" w:before="0"/>
        <w:ind w:left="432"/>
      </w:pPr>
      <w:r>
        <w:rPr>
          <w:b w:val="0"/>
          <w:sz w:val="20"/>
        </w:rPr>
        <w:t>4.3 Metrics</w:t>
        <w:tab/>
        <w:t>6</w:t>
      </w:r>
    </w:p>
    <w:p>
      <w:pPr>
        <w:tabs>
          <w:tab w:pos="9360" w:val="right" w:leader="dot"/>
        </w:tabs>
        <w:spacing w:after="20" w:before="0"/>
        <w:ind w:left="432"/>
      </w:pPr>
      <w:r>
        <w:rPr>
          <w:b w:val="0"/>
          <w:sz w:val="20"/>
        </w:rPr>
        <w:t>4.4 Pre-registered protocol</w:t>
        <w:tab/>
        <w:t>6</w:t>
      </w:r>
    </w:p>
    <w:p>
      <w:pPr>
        <w:tabs>
          <w:tab w:pos="9360" w:val="right" w:leader="dot"/>
        </w:tabs>
        <w:spacing w:after="60" w:before="60"/>
        <w:ind w:left="0"/>
      </w:pPr>
      <w:r>
        <w:rPr>
          <w:b/>
          <w:sz w:val="21"/>
        </w:rPr>
        <w:t>5. Momentum Research (Research Period)</w:t>
        <w:tab/>
        <w:t>7</w:t>
      </w:r>
    </w:p>
    <w:p>
      <w:pPr>
        <w:tabs>
          <w:tab w:pos="9360" w:val="right" w:leader="dot"/>
        </w:tabs>
        <w:spacing w:after="20" w:before="0"/>
        <w:ind w:left="432"/>
      </w:pPr>
      <w:r>
        <w:rPr>
          <w:b w:val="0"/>
          <w:sz w:val="20"/>
        </w:rPr>
        <w:t>5.1 Time horizon</w:t>
        <w:tab/>
        <w:t>7</w:t>
      </w:r>
    </w:p>
    <w:p>
      <w:pPr>
        <w:tabs>
          <w:tab w:pos="9360" w:val="right" w:leader="dot"/>
        </w:tabs>
        <w:spacing w:after="20" w:before="0"/>
        <w:ind w:left="432"/>
      </w:pPr>
      <w:r>
        <w:rPr>
          <w:b w:val="0"/>
          <w:sz w:val="20"/>
        </w:rPr>
        <w:t>5.2 New information and activity</w:t>
        <w:tab/>
        <w:t>8</w:t>
      </w:r>
    </w:p>
    <w:p>
      <w:pPr>
        <w:tabs>
          <w:tab w:pos="9360" w:val="right" w:leader="dot"/>
        </w:tabs>
        <w:spacing w:after="20" w:before="0"/>
        <w:ind w:left="432"/>
      </w:pPr>
      <w:r>
        <w:rPr>
          <w:b w:val="0"/>
          <w:sz w:val="20"/>
        </w:rPr>
        <w:t>5.3 Seasonality</w:t>
        <w:tab/>
        <w:t>8</w:t>
      </w:r>
    </w:p>
    <w:p>
      <w:pPr>
        <w:tabs>
          <w:tab w:pos="9360" w:val="right" w:leader="dot"/>
        </w:tabs>
        <w:spacing w:after="20" w:before="0"/>
        <w:ind w:left="432"/>
      </w:pPr>
      <w:r>
        <w:rPr>
          <w:b w:val="0"/>
          <w:sz w:val="20"/>
        </w:rPr>
        <w:t>5.4 Investment themes</w:t>
        <w:tab/>
        <w:t>9</w:t>
      </w:r>
    </w:p>
    <w:p>
      <w:pPr>
        <w:tabs>
          <w:tab w:pos="9360" w:val="right" w:leader="dot"/>
        </w:tabs>
        <w:spacing w:after="20" w:before="0"/>
        <w:ind w:left="432"/>
      </w:pPr>
      <w:r>
        <w:rPr>
          <w:b w:val="0"/>
          <w:sz w:val="20"/>
        </w:rPr>
        <w:t>5.5 Technical plays: front-running the US session</w:t>
        <w:tab/>
        <w:t>9</w:t>
      </w:r>
    </w:p>
    <w:p>
      <w:pPr>
        <w:tabs>
          <w:tab w:pos="9360" w:val="right" w:leader="dot"/>
        </w:tabs>
        <w:spacing w:after="60" w:before="60"/>
        <w:ind w:left="0"/>
      </w:pPr>
      <w:r>
        <w:rPr>
          <w:b/>
          <w:sz w:val="21"/>
        </w:rPr>
        <w:t>6. Reversal Research (Research Period)</w:t>
        <w:tab/>
        <w:t>10</w:t>
      </w:r>
    </w:p>
    <w:p>
      <w:pPr>
        <w:tabs>
          <w:tab w:pos="9360" w:val="right" w:leader="dot"/>
        </w:tabs>
        <w:spacing w:after="20" w:before="0"/>
        <w:ind w:left="432"/>
      </w:pPr>
      <w:r>
        <w:rPr>
          <w:b w:val="0"/>
          <w:sz w:val="20"/>
        </w:rPr>
        <w:t>6.1 Time horizon</w:t>
        <w:tab/>
        <w:t>10</w:t>
      </w:r>
    </w:p>
    <w:p>
      <w:pPr>
        <w:tabs>
          <w:tab w:pos="9360" w:val="right" w:leader="dot"/>
        </w:tabs>
        <w:spacing w:after="20" w:before="0"/>
        <w:ind w:left="432"/>
      </w:pPr>
      <w:r>
        <w:rPr>
          <w:b w:val="0"/>
          <w:sz w:val="20"/>
        </w:rPr>
        <w:t>6.2 Correlation: residual baskets and cointegrated pairs</w:t>
        <w:tab/>
        <w:t>10</w:t>
      </w:r>
    </w:p>
    <w:p>
      <w:pPr>
        <w:tabs>
          <w:tab w:pos="9360" w:val="right" w:leader="dot"/>
        </w:tabs>
        <w:spacing w:after="20" w:before="0"/>
        <w:ind w:left="432"/>
      </w:pPr>
      <w:r>
        <w:rPr>
          <w:b w:val="0"/>
          <w:sz w:val="20"/>
        </w:rPr>
        <w:t>6.3 Macro: volatility and dislocation</w:t>
        <w:tab/>
        <w:t>11</w:t>
      </w:r>
    </w:p>
    <w:p>
      <w:pPr>
        <w:tabs>
          <w:tab w:pos="9360" w:val="right" w:leader="dot"/>
        </w:tabs>
        <w:spacing w:after="60" w:before="60"/>
        <w:ind w:left="0"/>
      </w:pPr>
      <w:r>
        <w:rPr>
          <w:b/>
          <w:sz w:val="21"/>
        </w:rPr>
        <w:t>7. Mechanical Strategy Selection</w:t>
        <w:tab/>
        <w:t>11</w:t>
      </w:r>
    </w:p>
    <w:p>
      <w:pPr>
        <w:tabs>
          <w:tab w:pos="9360" w:val="right" w:leader="dot"/>
        </w:tabs>
        <w:spacing w:after="60" w:before="60"/>
        <w:ind w:left="0"/>
      </w:pPr>
      <w:r>
        <w:rPr>
          <w:b/>
          <w:sz w:val="21"/>
        </w:rPr>
        <w:t>8. Execution</w:t>
        <w:tab/>
        <w:t>12</w:t>
      </w:r>
    </w:p>
    <w:p>
      <w:pPr>
        <w:tabs>
          <w:tab w:pos="9360" w:val="right" w:leader="dot"/>
        </w:tabs>
        <w:spacing w:after="60" w:before="60"/>
        <w:ind w:left="0"/>
      </w:pPr>
      <w:r>
        <w:rPr>
          <w:b/>
          <w:sz w:val="21"/>
        </w:rPr>
        <w:t>9. Weighting</w:t>
        <w:tab/>
        <w:t>12</w:t>
      </w:r>
    </w:p>
    <w:p>
      <w:pPr>
        <w:tabs>
          <w:tab w:pos="9360" w:val="right" w:leader="dot"/>
        </w:tabs>
        <w:spacing w:after="60" w:before="60"/>
        <w:ind w:left="0"/>
      </w:pPr>
      <w:r>
        <w:rPr>
          <w:b/>
          <w:sz w:val="21"/>
        </w:rPr>
        <w:t>10. Performance Evaluation</w:t>
        <w:tab/>
        <w:t>13</w:t>
      </w:r>
    </w:p>
    <w:p>
      <w:pPr>
        <w:tabs>
          <w:tab w:pos="9360" w:val="right" w:leader="dot"/>
        </w:tabs>
        <w:spacing w:after="60" w:before="60"/>
        <w:ind w:left="0"/>
      </w:pPr>
      <w:r>
        <w:rPr>
          <w:b/>
          <w:sz w:val="21"/>
        </w:rPr>
        <w:t>11. Discussion</w:t>
        <w:tab/>
        <w:t>15</w:t>
      </w:r>
    </w:p>
    <w:p>
      <w:pPr>
        <w:tabs>
          <w:tab w:pos="9360" w:val="right" w:leader="dot"/>
        </w:tabs>
        <w:spacing w:after="20" w:before="0"/>
        <w:ind w:left="432"/>
      </w:pPr>
      <w:r>
        <w:rPr>
          <w:b w:val="0"/>
          <w:sz w:val="20"/>
        </w:rPr>
        <w:t>11.1 Version 1 versus version 2</w:t>
        <w:tab/>
        <w:t>15</w:t>
      </w:r>
    </w:p>
    <w:p>
      <w:pPr>
        <w:tabs>
          <w:tab w:pos="9360" w:val="right" w:leader="dot"/>
        </w:tabs>
        <w:spacing w:after="20" w:before="0"/>
        <w:ind w:left="432"/>
      </w:pPr>
      <w:r>
        <w:rPr>
          <w:b w:val="0"/>
          <w:sz w:val="20"/>
        </w:rPr>
        <w:t>11.2 What the research shows</w:t>
        <w:tab/>
        <w:t>16</w:t>
      </w:r>
    </w:p>
    <w:p>
      <w:pPr>
        <w:tabs>
          <w:tab w:pos="9360" w:val="right" w:leader="dot"/>
        </w:tabs>
        <w:spacing w:after="20" w:before="0"/>
        <w:ind w:left="432"/>
      </w:pPr>
      <w:r>
        <w:rPr>
          <w:b w:val="0"/>
          <w:sz w:val="20"/>
        </w:rPr>
        <w:t>11.3 Limitations</w:t>
        <w:tab/>
        <w:t>16</w:t>
      </w:r>
    </w:p>
    <w:p>
      <w:pPr>
        <w:tabs>
          <w:tab w:pos="9360" w:val="right" w:leader="dot"/>
        </w:tabs>
        <w:spacing w:after="20" w:before="0"/>
        <w:ind w:left="432"/>
      </w:pPr>
      <w:r>
        <w:rPr>
          <w:b w:val="0"/>
          <w:sz w:val="20"/>
        </w:rPr>
        <w:t>11.4 Next steps</w:t>
        <w:tab/>
        <w:t>16</w:t>
      </w:r>
    </w:p>
    <w:p>
      <w:pPr>
        <w:tabs>
          <w:tab w:pos="9360" w:val="right" w:leader="dot"/>
        </w:tabs>
        <w:spacing w:after="60" w:before="60"/>
        <w:ind w:left="0"/>
      </w:pPr>
      <w:r>
        <w:rPr>
          <w:b/>
          <w:sz w:val="21"/>
        </w:rPr>
        <w:t>12. Conclusion</w:t>
        <w:tab/>
        <w:t>16</w:t>
      </w:r>
    </w:p>
    <w:p>
      <w:pPr>
        <w:tabs>
          <w:tab w:pos="9360" w:val="right" w:leader="dot"/>
        </w:tabs>
        <w:spacing w:after="60" w:before="60"/>
        <w:ind w:left="0"/>
      </w:pPr>
      <w:r>
        <w:rPr>
          <w:b/>
          <w:sz w:val="21"/>
        </w:rPr>
        <w:t>Appendix A. Reproducibility</w:t>
        <w:tab/>
        <w:t>16</w:t>
      </w:r>
    </w:p>
    <w:p>
      <w:pPr>
        <w:tabs>
          <w:tab w:pos="9360" w:val="right" w:leader="dot"/>
        </w:tabs>
        <w:spacing w:after="60" w:before="60"/>
        <w:ind w:left="0"/>
      </w:pPr>
      <w:r>
        <w:rPr>
          <w:b/>
          <w:sz w:val="21"/>
        </w:rPr>
        <w:t>References</w:t>
        <w:tab/>
        <w:t>17</w:t>
      </w:r>
    </w:p>
    <w:p>
      <w:r>
        <w:br w:type="page"/>
      </w:r>
    </w:p>
    <w:p>
      <w:pPr>
        <w:pStyle w:val="Heading1"/>
      </w:pPr>
      <w:r>
        <w:t>Executive Summary</w:t>
      </w:r>
    </w:p>
    <w:p>
      <w:pPr>
        <w:spacing w:after="120"/>
      </w:pPr>
      <w:r>
        <w:rPr>
          <w:b w:val="0"/>
          <w:i w:val="0"/>
        </w:rPr>
        <w:t>This is version 2 of the project. It answers the class brief - research momentum and reversal strategies in crypto, test them with unconstrained backtests at 20 bps (market orders) and 7 bps (limit orders), combine them with a weighting scheme and report returns, volatility, Sharpe, drawdown and alpha / beta - and it corrects five issues in version 1 (Section 0).</w:t>
      </w:r>
    </w:p>
    <w:p>
      <w:pPr>
        <w:spacing w:after="60"/>
      </w:pPr>
      <w:r>
        <w:rPr>
          <w:b/>
          <w:i w:val="0"/>
        </w:rPr>
        <w:t>Headline: the hold-out result</w:t>
      </w:r>
    </w:p>
    <w:p>
      <w:pPr>
        <w:spacing w:after="120"/>
      </w:pPr>
      <w:r>
        <w:rPr>
          <w:b w:val="0"/>
          <w:i w:val="0"/>
        </w:rPr>
        <w:t>All research and every design decision used only 2021-07 to 2023-12. On the untouched hold-out (2024-01-01 to 2026-10-08) the combined momentum + reversal portfolio earned a net Sharpe of 0.20, an annualised alpha of 2.8% with a t-statistic of only 0.52, a beta to Bitcoin of -0.03 and a correlation to Bitcoin of -0.12. In the research period the same portfolio had a Sharpe of 0.93 and an alpha t-statistic of 1.64. The edge did not survive out of sample at a statistically meaningful level.</w:t>
      </w:r>
    </w:p>
    <w:p>
      <w:pPr>
        <w:keepNext/>
        <w:spacing w:after="60"/>
      </w:pPr>
      <w:r>
        <w:rPr>
          <w:b/>
          <w:sz w:val="20"/>
        </w:rPr>
        <w:t>Table 1. Combined portfolio, net of costs. Hold-out first.</w:t>
      </w:r>
    </w:p>
    <w:tbl>
      <w:tblPr>
        <w:tblStyle w:val="TableGrid"/>
        <w:tblW w:type="auto" w:w="0"/>
        <w:jc w:val="center"/>
        <w:tblLayout w:type="fixed"/>
        <w:tblLook w:firstColumn="1" w:firstRow="1" w:lastColumn="0" w:lastRow="0" w:noHBand="0" w:noVBand="1" w:val="04A0"/>
      </w:tblPr>
      <w:tblGrid>
        <w:gridCol w:w="2520"/>
        <w:gridCol w:w="792"/>
        <w:gridCol w:w="936"/>
        <w:gridCol w:w="864"/>
        <w:gridCol w:w="864"/>
        <w:gridCol w:w="792"/>
        <w:gridCol w:w="792"/>
        <w:gridCol w:w="720"/>
        <w:gridCol w:w="936"/>
      </w:tblGrid>
      <w:tr>
        <w:tc>
          <w:tcPr>
            <w:tcW w:type="dxa" w:w="2520"/>
            <w:shd w:val="clear" w:fill="1F3864"/>
          </w:tcPr>
          <w:p>
            <w:pPr>
              <w:jc w:val="left"/>
            </w:pPr>
            <w:r/>
            <w:r>
              <w:rPr>
                <w:b/>
                <w:color w:val="FFFFFF"/>
                <w:sz w:val="18"/>
              </w:rPr>
              <w:t>Combined portfolio</w:t>
            </w:r>
          </w:p>
        </w:tc>
        <w:tc>
          <w:tcPr>
            <w:tcW w:type="dxa" w:w="792"/>
            <w:shd w:val="clear" w:fill="1F3864"/>
          </w:tcPr>
          <w:p>
            <w:pPr>
              <w:jc w:val="center"/>
            </w:pPr>
            <w:r/>
            <w:r>
              <w:rPr>
                <w:b/>
                <w:color w:val="FFFFFF"/>
                <w:sz w:val="18"/>
              </w:rPr>
              <w:t>Sharpe</w:t>
            </w:r>
          </w:p>
        </w:tc>
        <w:tc>
          <w:tcPr>
            <w:tcW w:type="dxa" w:w="936"/>
            <w:shd w:val="clear" w:fill="1F3864"/>
          </w:tcPr>
          <w:p>
            <w:pPr>
              <w:jc w:val="center"/>
            </w:pPr>
            <w:r/>
            <w:r>
              <w:rPr>
                <w:b/>
                <w:color w:val="FFFFFF"/>
                <w:sz w:val="18"/>
              </w:rPr>
              <w:t>Ann. return</w:t>
            </w:r>
          </w:p>
        </w:tc>
        <w:tc>
          <w:tcPr>
            <w:tcW w:type="dxa" w:w="864"/>
            <w:shd w:val="clear" w:fill="1F3864"/>
          </w:tcPr>
          <w:p>
            <w:pPr>
              <w:jc w:val="center"/>
            </w:pPr>
            <w:r/>
            <w:r>
              <w:rPr>
                <w:b/>
                <w:color w:val="FFFFFF"/>
                <w:sz w:val="18"/>
              </w:rPr>
              <w:t>Ann. vol</w:t>
            </w:r>
          </w:p>
        </w:tc>
        <w:tc>
          <w:tcPr>
            <w:tcW w:type="dxa" w:w="864"/>
            <w:shd w:val="clear" w:fill="1F3864"/>
          </w:tcPr>
          <w:p>
            <w:pPr>
              <w:jc w:val="center"/>
            </w:pPr>
            <w:r/>
            <w:r>
              <w:rPr>
                <w:b/>
                <w:color w:val="FFFFFF"/>
                <w:sz w:val="18"/>
              </w:rPr>
              <w:t>Max DD</w:t>
            </w:r>
          </w:p>
        </w:tc>
        <w:tc>
          <w:tcPr>
            <w:tcW w:type="dxa" w:w="792"/>
            <w:shd w:val="clear" w:fill="1F3864"/>
          </w:tcPr>
          <w:p>
            <w:pPr>
              <w:jc w:val="center"/>
            </w:pPr>
            <w:r/>
            <w:r>
              <w:rPr>
                <w:b/>
                <w:color w:val="FFFFFF"/>
                <w:sz w:val="18"/>
              </w:rPr>
              <w:t>Alpha</w:t>
            </w:r>
          </w:p>
        </w:tc>
        <w:tc>
          <w:tcPr>
            <w:tcW w:type="dxa" w:w="792"/>
            <w:shd w:val="clear" w:fill="1F3864"/>
          </w:tcPr>
          <w:p>
            <w:pPr>
              <w:jc w:val="center"/>
            </w:pPr>
            <w:r/>
            <w:r>
              <w:rPr>
                <w:b/>
                <w:color w:val="FFFFFF"/>
                <w:sz w:val="18"/>
              </w:rPr>
              <w:t>Alpha t</w:t>
            </w:r>
          </w:p>
        </w:tc>
        <w:tc>
          <w:tcPr>
            <w:tcW w:type="dxa" w:w="720"/>
            <w:shd w:val="clear" w:fill="1F3864"/>
          </w:tcPr>
          <w:p>
            <w:pPr>
              <w:jc w:val="center"/>
            </w:pPr>
            <w:r/>
            <w:r>
              <w:rPr>
                <w:b/>
                <w:color w:val="FFFFFF"/>
                <w:sz w:val="18"/>
              </w:rPr>
              <w:t>Beta</w:t>
            </w:r>
          </w:p>
        </w:tc>
        <w:tc>
          <w:tcPr>
            <w:tcW w:type="dxa" w:w="936"/>
            <w:shd w:val="clear" w:fill="1F3864"/>
          </w:tcPr>
          <w:p>
            <w:pPr>
              <w:jc w:val="center"/>
            </w:pPr>
            <w:r/>
            <w:r>
              <w:rPr>
                <w:b/>
                <w:color w:val="FFFFFF"/>
                <w:sz w:val="18"/>
              </w:rPr>
              <w:t>Corr BTC</w:t>
            </w:r>
          </w:p>
        </w:tc>
      </w:tr>
      <w:tr>
        <w:tc>
          <w:tcPr>
            <w:tcW w:type="dxa" w:w="2520"/>
            <w:shd w:val="clear" w:fill="DCE6F1"/>
          </w:tcPr>
          <w:p>
            <w:pPr>
              <w:spacing w:after="0"/>
            </w:pPr>
            <w:r/>
            <w:r>
              <w:rPr>
                <w:b/>
                <w:sz w:val="18"/>
              </w:rPr>
              <w:t>Hold-out 2024-2026</w:t>
            </w:r>
          </w:p>
        </w:tc>
        <w:tc>
          <w:tcPr>
            <w:tcW w:type="dxa" w:w="792"/>
            <w:shd w:val="clear" w:fill="DCE6F1"/>
          </w:tcPr>
          <w:p>
            <w:pPr>
              <w:spacing w:after="0"/>
              <w:jc w:val="center"/>
            </w:pPr>
            <w:r/>
            <w:r>
              <w:rPr>
                <w:b/>
                <w:sz w:val="18"/>
              </w:rPr>
              <w:t>0.20</w:t>
            </w:r>
          </w:p>
        </w:tc>
        <w:tc>
          <w:tcPr>
            <w:tcW w:type="dxa" w:w="936"/>
            <w:shd w:val="clear" w:fill="DCE6F1"/>
          </w:tcPr>
          <w:p>
            <w:pPr>
              <w:spacing w:after="0"/>
              <w:jc w:val="center"/>
            </w:pPr>
            <w:r/>
            <w:r>
              <w:rPr>
                <w:b/>
                <w:sz w:val="18"/>
              </w:rPr>
              <w:t>2.1%</w:t>
            </w:r>
          </w:p>
        </w:tc>
        <w:tc>
          <w:tcPr>
            <w:tcW w:type="dxa" w:w="864"/>
            <w:shd w:val="clear" w:fill="DCE6F1"/>
          </w:tcPr>
          <w:p>
            <w:pPr>
              <w:spacing w:after="0"/>
              <w:jc w:val="center"/>
            </w:pPr>
            <w:r/>
            <w:r>
              <w:rPr>
                <w:b/>
                <w:sz w:val="18"/>
              </w:rPr>
              <w:t>10.3%</w:t>
            </w:r>
          </w:p>
        </w:tc>
        <w:tc>
          <w:tcPr>
            <w:tcW w:type="dxa" w:w="864"/>
            <w:shd w:val="clear" w:fill="DCE6F1"/>
          </w:tcPr>
          <w:p>
            <w:pPr>
              <w:spacing w:after="0"/>
              <w:jc w:val="center"/>
            </w:pPr>
            <w:r/>
            <w:r>
              <w:rPr>
                <w:b/>
                <w:sz w:val="18"/>
              </w:rPr>
              <w:t>-26.7%</w:t>
            </w:r>
          </w:p>
        </w:tc>
        <w:tc>
          <w:tcPr>
            <w:tcW w:type="dxa" w:w="792"/>
            <w:shd w:val="clear" w:fill="DCE6F1"/>
          </w:tcPr>
          <w:p>
            <w:pPr>
              <w:spacing w:after="0"/>
              <w:jc w:val="center"/>
            </w:pPr>
            <w:r/>
            <w:r>
              <w:rPr>
                <w:b/>
                <w:sz w:val="18"/>
              </w:rPr>
              <w:t>2.8%</w:t>
            </w:r>
          </w:p>
        </w:tc>
        <w:tc>
          <w:tcPr>
            <w:tcW w:type="dxa" w:w="792"/>
            <w:shd w:val="clear" w:fill="DCE6F1"/>
          </w:tcPr>
          <w:p>
            <w:pPr>
              <w:spacing w:after="0"/>
              <w:jc w:val="center"/>
            </w:pPr>
            <w:r/>
            <w:r>
              <w:rPr>
                <w:b/>
                <w:sz w:val="18"/>
              </w:rPr>
              <w:t>0.52</w:t>
            </w:r>
          </w:p>
        </w:tc>
        <w:tc>
          <w:tcPr>
            <w:tcW w:type="dxa" w:w="720"/>
            <w:shd w:val="clear" w:fill="DCE6F1"/>
          </w:tcPr>
          <w:p>
            <w:pPr>
              <w:spacing w:after="0"/>
              <w:jc w:val="center"/>
            </w:pPr>
            <w:r/>
            <w:r>
              <w:rPr>
                <w:b/>
                <w:sz w:val="18"/>
              </w:rPr>
              <w:t>-0.03</w:t>
            </w:r>
          </w:p>
        </w:tc>
        <w:tc>
          <w:tcPr>
            <w:tcW w:type="dxa" w:w="936"/>
            <w:shd w:val="clear" w:fill="DCE6F1"/>
          </w:tcPr>
          <w:p>
            <w:pPr>
              <w:spacing w:after="0"/>
              <w:jc w:val="center"/>
            </w:pPr>
            <w:r/>
            <w:r>
              <w:rPr>
                <w:b/>
                <w:sz w:val="18"/>
              </w:rPr>
              <w:t>-0.12</w:t>
            </w:r>
          </w:p>
        </w:tc>
      </w:tr>
      <w:tr>
        <w:tc>
          <w:tcPr>
            <w:tcW w:type="dxa" w:w="2520"/>
          </w:tcPr>
          <w:p>
            <w:pPr>
              <w:spacing w:after="0"/>
            </w:pPr>
            <w:r/>
            <w:r>
              <w:rPr>
                <w:sz w:val="18"/>
              </w:rPr>
              <w:t>Research 2021-2023</w:t>
            </w:r>
          </w:p>
        </w:tc>
        <w:tc>
          <w:tcPr>
            <w:tcW w:type="dxa" w:w="792"/>
          </w:tcPr>
          <w:p>
            <w:pPr>
              <w:spacing w:after="0"/>
              <w:jc w:val="center"/>
            </w:pPr>
            <w:r/>
            <w:r>
              <w:rPr>
                <w:sz w:val="18"/>
              </w:rPr>
              <w:t>0.93</w:t>
            </w:r>
          </w:p>
        </w:tc>
        <w:tc>
          <w:tcPr>
            <w:tcW w:type="dxa" w:w="936"/>
          </w:tcPr>
          <w:p>
            <w:pPr>
              <w:spacing w:after="0"/>
              <w:jc w:val="center"/>
            </w:pPr>
            <w:r/>
            <w:r>
              <w:rPr>
                <w:sz w:val="18"/>
              </w:rPr>
              <w:t>9.4%</w:t>
            </w:r>
          </w:p>
        </w:tc>
        <w:tc>
          <w:tcPr>
            <w:tcW w:type="dxa" w:w="864"/>
          </w:tcPr>
          <w:p>
            <w:pPr>
              <w:spacing w:after="0"/>
              <w:jc w:val="center"/>
            </w:pPr>
            <w:r/>
            <w:r>
              <w:rPr>
                <w:sz w:val="18"/>
              </w:rPr>
              <w:t>10.1%</w:t>
            </w:r>
          </w:p>
        </w:tc>
        <w:tc>
          <w:tcPr>
            <w:tcW w:type="dxa" w:w="864"/>
          </w:tcPr>
          <w:p>
            <w:pPr>
              <w:spacing w:after="0"/>
              <w:jc w:val="center"/>
            </w:pPr>
            <w:r/>
            <w:r>
              <w:rPr>
                <w:sz w:val="18"/>
              </w:rPr>
              <w:t>-13.3%</w:t>
            </w:r>
          </w:p>
        </w:tc>
        <w:tc>
          <w:tcPr>
            <w:tcW w:type="dxa" w:w="792"/>
          </w:tcPr>
          <w:p>
            <w:pPr>
              <w:spacing w:after="0"/>
              <w:jc w:val="center"/>
            </w:pPr>
            <w:r/>
            <w:r>
              <w:rPr>
                <w:sz w:val="18"/>
              </w:rPr>
              <w:t>9.6%</w:t>
            </w:r>
          </w:p>
        </w:tc>
        <w:tc>
          <w:tcPr>
            <w:tcW w:type="dxa" w:w="792"/>
          </w:tcPr>
          <w:p>
            <w:pPr>
              <w:spacing w:after="0"/>
              <w:jc w:val="center"/>
            </w:pPr>
            <w:r/>
            <w:r>
              <w:rPr>
                <w:sz w:val="18"/>
              </w:rPr>
              <w:t>1.64</w:t>
            </w:r>
          </w:p>
        </w:tc>
        <w:tc>
          <w:tcPr>
            <w:tcW w:type="dxa" w:w="720"/>
          </w:tcPr>
          <w:p>
            <w:pPr>
              <w:spacing w:after="0"/>
              <w:jc w:val="center"/>
            </w:pPr>
            <w:r/>
            <w:r>
              <w:rPr>
                <w:sz w:val="18"/>
              </w:rPr>
              <w:t>-0.03</w:t>
            </w:r>
          </w:p>
        </w:tc>
        <w:tc>
          <w:tcPr>
            <w:tcW w:type="dxa" w:w="936"/>
          </w:tcPr>
          <w:p>
            <w:pPr>
              <w:spacing w:after="0"/>
              <w:jc w:val="center"/>
            </w:pPr>
            <w:r/>
            <w:r>
              <w:rPr>
                <w:sz w:val="18"/>
              </w:rPr>
              <w:t>-0.15</w:t>
            </w:r>
          </w:p>
        </w:tc>
      </w:tr>
      <w:tr>
        <w:tc>
          <w:tcPr>
            <w:tcW w:type="dxa" w:w="2520"/>
          </w:tcPr>
          <w:p>
            <w:pPr>
              <w:spacing w:after="0"/>
            </w:pPr>
            <w:r/>
            <w:r>
              <w:rPr>
                <w:sz w:val="18"/>
              </w:rPr>
              <w:t>Full backtest</w:t>
            </w:r>
          </w:p>
        </w:tc>
        <w:tc>
          <w:tcPr>
            <w:tcW w:type="dxa" w:w="792"/>
          </w:tcPr>
          <w:p>
            <w:pPr>
              <w:spacing w:after="0"/>
              <w:jc w:val="center"/>
            </w:pPr>
            <w:r/>
            <w:r>
              <w:rPr>
                <w:sz w:val="18"/>
              </w:rPr>
              <w:t>0.50</w:t>
            </w:r>
          </w:p>
        </w:tc>
        <w:tc>
          <w:tcPr>
            <w:tcW w:type="dxa" w:w="936"/>
          </w:tcPr>
          <w:p>
            <w:pPr>
              <w:spacing w:after="0"/>
              <w:jc w:val="center"/>
            </w:pPr>
            <w:r/>
            <w:r>
              <w:rPr>
                <w:sz w:val="18"/>
              </w:rPr>
              <w:t>5.2%</w:t>
            </w:r>
          </w:p>
        </w:tc>
        <w:tc>
          <w:tcPr>
            <w:tcW w:type="dxa" w:w="864"/>
          </w:tcPr>
          <w:p>
            <w:pPr>
              <w:spacing w:after="0"/>
              <w:jc w:val="center"/>
            </w:pPr>
            <w:r/>
            <w:r>
              <w:rPr>
                <w:sz w:val="18"/>
              </w:rPr>
              <w:t>10.2%</w:t>
            </w:r>
          </w:p>
        </w:tc>
        <w:tc>
          <w:tcPr>
            <w:tcW w:type="dxa" w:w="864"/>
          </w:tcPr>
          <w:p>
            <w:pPr>
              <w:spacing w:after="0"/>
              <w:jc w:val="center"/>
            </w:pPr>
            <w:r/>
            <w:r>
              <w:rPr>
                <w:sz w:val="18"/>
              </w:rPr>
              <w:t>-26.7%</w:t>
            </w:r>
          </w:p>
        </w:tc>
        <w:tc>
          <w:tcPr>
            <w:tcW w:type="dxa" w:w="792"/>
          </w:tcPr>
          <w:p>
            <w:pPr>
              <w:spacing w:after="0"/>
              <w:jc w:val="center"/>
            </w:pPr>
            <w:r/>
            <w:r>
              <w:rPr>
                <w:sz w:val="18"/>
              </w:rPr>
              <w:t>5.7%</w:t>
            </w:r>
          </w:p>
        </w:tc>
        <w:tc>
          <w:tcPr>
            <w:tcW w:type="dxa" w:w="792"/>
          </w:tcPr>
          <w:p>
            <w:pPr>
              <w:spacing w:after="0"/>
              <w:jc w:val="center"/>
            </w:pPr>
            <w:r/>
            <w:r>
              <w:rPr>
                <w:sz w:val="18"/>
              </w:rPr>
              <w:t>1.42</w:t>
            </w:r>
          </w:p>
        </w:tc>
        <w:tc>
          <w:tcPr>
            <w:tcW w:type="dxa" w:w="720"/>
          </w:tcPr>
          <w:p>
            <w:pPr>
              <w:spacing w:after="0"/>
              <w:jc w:val="center"/>
            </w:pPr>
            <w:r/>
            <w:r>
              <w:rPr>
                <w:sz w:val="18"/>
              </w:rPr>
              <w:t>-0.03</w:t>
            </w:r>
          </w:p>
        </w:tc>
        <w:tc>
          <w:tcPr>
            <w:tcW w:type="dxa" w:w="936"/>
          </w:tcPr>
          <w:p>
            <w:pPr>
              <w:spacing w:after="0"/>
              <w:jc w:val="center"/>
            </w:pPr>
            <w:r/>
            <w:r>
              <w:rPr>
                <w:sz w:val="18"/>
              </w:rPr>
              <w:t>-0.13</w:t>
            </w:r>
          </w:p>
        </w:tc>
      </w:tr>
      <w:tr>
        <w:tc>
          <w:tcPr>
            <w:tcW w:type="dxa" w:w="2520"/>
          </w:tcPr>
          <w:p>
            <w:pPr>
              <w:spacing w:after="0"/>
            </w:pPr>
            <w:r/>
            <w:r>
              <w:rPr>
                <w:sz w:val="18"/>
              </w:rPr>
              <w:t>Buy &amp; hold BTC, hold-out</w:t>
            </w:r>
          </w:p>
        </w:tc>
        <w:tc>
          <w:tcPr>
            <w:tcW w:type="dxa" w:w="792"/>
          </w:tcPr>
          <w:p>
            <w:pPr>
              <w:spacing w:after="0"/>
              <w:jc w:val="center"/>
            </w:pPr>
            <w:r/>
            <w:r>
              <w:rPr>
                <w:sz w:val="18"/>
              </w:rPr>
              <w:t>0.61</w:t>
            </w:r>
          </w:p>
        </w:tc>
        <w:tc>
          <w:tcPr>
            <w:tcW w:type="dxa" w:w="936"/>
          </w:tcPr>
          <w:p>
            <w:pPr>
              <w:spacing w:after="0"/>
              <w:jc w:val="center"/>
            </w:pPr>
            <w:r/>
            <w:r>
              <w:rPr>
                <w:sz w:val="18"/>
              </w:rPr>
              <w:t>24.1%</w:t>
            </w:r>
          </w:p>
        </w:tc>
        <w:tc>
          <w:tcPr>
            <w:tcW w:type="dxa" w:w="864"/>
          </w:tcPr>
          <w:p>
            <w:pPr>
              <w:spacing w:after="0"/>
              <w:jc w:val="center"/>
            </w:pPr>
            <w:r/>
            <w:r>
              <w:rPr>
                <w:sz w:val="18"/>
              </w:rPr>
              <w:t>39.4%</w:t>
            </w:r>
          </w:p>
        </w:tc>
        <w:tc>
          <w:tcPr>
            <w:tcW w:type="dxa" w:w="864"/>
          </w:tcPr>
          <w:p>
            <w:pPr>
              <w:spacing w:after="0"/>
              <w:jc w:val="center"/>
            </w:pPr>
            <w:r/>
            <w:r>
              <w:rPr>
                <w:sz w:val="18"/>
              </w:rPr>
              <w:t>-53.1%</w:t>
            </w:r>
          </w:p>
        </w:tc>
        <w:tc>
          <w:tcPr>
            <w:tcW w:type="dxa" w:w="792"/>
          </w:tcPr>
          <w:p>
            <w:pPr>
              <w:spacing w:after="0"/>
              <w:jc w:val="center"/>
            </w:pPr>
            <w:r/>
            <w:r>
              <w:rPr>
                <w:sz w:val="18"/>
              </w:rPr>
              <w:t>0.0%</w:t>
            </w:r>
          </w:p>
        </w:tc>
        <w:tc>
          <w:tcPr>
            <w:tcW w:type="dxa" w:w="792"/>
          </w:tcPr>
          <w:p>
            <w:pPr>
              <w:spacing w:after="0"/>
              <w:jc w:val="center"/>
            </w:pPr>
            <w:r/>
            <w:r>
              <w:rPr>
                <w:sz w:val="18"/>
              </w:rPr>
              <w:t>0.33</w:t>
            </w:r>
          </w:p>
        </w:tc>
        <w:tc>
          <w:tcPr>
            <w:tcW w:type="dxa" w:w="720"/>
          </w:tcPr>
          <w:p>
            <w:pPr>
              <w:spacing w:after="0"/>
              <w:jc w:val="center"/>
            </w:pPr>
            <w:r/>
            <w:r>
              <w:rPr>
                <w:sz w:val="18"/>
              </w:rPr>
              <w:t>1.00</w:t>
            </w:r>
          </w:p>
        </w:tc>
        <w:tc>
          <w:tcPr>
            <w:tcW w:type="dxa" w:w="936"/>
          </w:tcPr>
          <w:p>
            <w:pPr>
              <w:spacing w:after="0"/>
              <w:jc w:val="center"/>
            </w:pPr>
            <w:r/>
            <w:r>
              <w:rPr>
                <w:sz w:val="18"/>
              </w:rPr>
              <w:t>1.00</w:t>
            </w:r>
          </w:p>
        </w:tc>
      </w:tr>
    </w:tbl>
    <w:p>
      <w:pPr>
        <w:spacing w:after="160"/>
      </w:pPr>
      <w:r>
        <w:rPr>
          <w:i/>
          <w:sz w:val="18"/>
        </w:rPr>
        <w:t>* Momentum book at 20 bps (market orders), reversal book at 7 bps (limit orders). Sharpe = mean / std x sqrt(252); return, volatility and alpha annualised with 252 days. Alpha, beta and correlation vs daily Bitcoin returns; alpha t uses Newey-West (5-lag) errors.</w:t>
      </w:r>
    </w:p>
    <w:p>
      <w:pPr>
        <w:spacing w:after="60"/>
      </w:pPr>
      <w:r>
        <w:rPr>
          <w:b/>
          <w:i w:val="0"/>
        </w:rPr>
        <w:t>Key findings</w:t>
      </w:r>
    </w:p>
    <w:p>
      <w:pPr>
        <w:pStyle w:val="ListBullet"/>
      </w:pPr>
      <w:r>
        <w:rPr>
          <w:b/>
        </w:rPr>
        <w:t xml:space="preserve">Horizon. </w:t>
      </w:r>
      <w:r>
        <w:t>With 39 coins chosen by market cap at the start of 2021, research-period data show cross-sectional reversal at 1-5 days (1-day gross Sharpe -0.85) and at 21-120 days, and time-series momentum at 1-4 week horizons (0.45 at 30 days).</w:t>
      </w:r>
    </w:p>
    <w:p>
      <w:pPr>
        <w:pStyle w:val="ListBullet"/>
      </w:pPr>
      <w:r>
        <w:rPr>
          <w:b/>
        </w:rPr>
        <w:t xml:space="preserve">Costs. </w:t>
      </w:r>
      <w:r>
        <w:t>Short-horizon reversal is real in gross terms but its turnover makes it lose money even with 7 bps limit orders; only slow signals survive the brief's costs.</w:t>
      </w:r>
    </w:p>
    <w:p>
      <w:pPr>
        <w:pStyle w:val="ListBullet"/>
      </w:pPr>
      <w:r>
        <w:rPr>
          <w:b/>
        </w:rPr>
        <w:t xml:space="preserve">What survived. </w:t>
      </w:r>
      <w:r>
        <w:t>Time-series momentum with an implied-volatility (DVOL) filter is the one component that held up: research net Sharpe 0.55, hold-out 0.62 at 20 bps. Theme momentum and the slow reversal signals that looked best in 2021-2023 decayed.</w:t>
      </w:r>
    </w:p>
    <w:p>
      <w:pPr>
        <w:pStyle w:val="ListBullet"/>
      </w:pPr>
      <w:r>
        <w:rPr>
          <w:b/>
        </w:rPr>
        <w:t xml:space="preserve">Version 1 vs version 2. </w:t>
      </w:r>
      <w:r>
        <w:t>Version 1 reported a Sharpe of 1.02 using sqrt(365). On the class sqrt(252) scale that is 0.85 (full) and 0.46 (hold-out). Removing survivorship bias and hold-out contamination takes the hold-out Sharpe from 0.46 to 0.20.</w:t>
      </w:r>
    </w:p>
    <w:p>
      <w:pPr>
        <w:pStyle w:val="Heading1"/>
      </w:pPr>
      <w:r>
        <w:t>0. Changes in Version 2</w:t>
      </w:r>
    </w:p>
    <w:p>
      <w:pPr>
        <w:keepNext/>
        <w:spacing w:after="60"/>
      </w:pPr>
      <w:r>
        <w:rPr>
          <w:b/>
          <w:sz w:val="20"/>
        </w:rPr>
        <w:t>Table 2. Changes from version 1 to version 2.</w:t>
      </w:r>
    </w:p>
    <w:tbl>
      <w:tblPr>
        <w:tblStyle w:val="TableGrid"/>
        <w:tblW w:type="auto" w:w="0"/>
        <w:jc w:val="center"/>
        <w:tblLayout w:type="fixed"/>
        <w:tblLook w:firstColumn="1" w:firstRow="1" w:lastColumn="0" w:lastRow="0" w:noHBand="0" w:noVBand="1" w:val="04A0"/>
      </w:tblPr>
      <w:tblGrid>
        <w:gridCol w:w="2808"/>
        <w:gridCol w:w="3816"/>
        <w:gridCol w:w="2736"/>
      </w:tblGrid>
      <w:tr>
        <w:tc>
          <w:tcPr>
            <w:tcW w:type="dxa" w:w="2808"/>
            <w:shd w:val="clear" w:fill="1F3864"/>
          </w:tcPr>
          <w:p>
            <w:pPr>
              <w:jc w:val="left"/>
            </w:pPr>
            <w:r/>
            <w:r>
              <w:rPr>
                <w:b/>
                <w:color w:val="FFFFFF"/>
                <w:sz w:val="17"/>
              </w:rPr>
              <w:t>V1</w:t>
            </w:r>
          </w:p>
        </w:tc>
        <w:tc>
          <w:tcPr>
            <w:tcW w:type="dxa" w:w="3816"/>
            <w:shd w:val="clear" w:fill="1F3864"/>
          </w:tcPr>
          <w:p>
            <w:pPr>
              <w:jc w:val="center"/>
            </w:pPr>
            <w:r/>
            <w:r>
              <w:rPr>
                <w:b/>
                <w:color w:val="FFFFFF"/>
                <w:sz w:val="17"/>
              </w:rPr>
              <w:t>V2</w:t>
            </w:r>
          </w:p>
        </w:tc>
        <w:tc>
          <w:tcPr>
            <w:tcW w:type="dxa" w:w="2736"/>
            <w:shd w:val="clear" w:fill="1F3864"/>
          </w:tcPr>
          <w:p>
            <w:pPr>
              <w:jc w:val="center"/>
            </w:pPr>
            <w:r/>
            <w:r>
              <w:rPr>
                <w:b/>
                <w:color w:val="FFFFFF"/>
                <w:sz w:val="17"/>
              </w:rPr>
              <w:t>Effect</w:t>
            </w:r>
          </w:p>
        </w:tc>
      </w:tr>
      <w:tr>
        <w:tc>
          <w:tcPr>
            <w:tcW w:type="dxa" w:w="2808"/>
          </w:tcPr>
          <w:p>
            <w:pPr>
              <w:spacing w:after="0"/>
            </w:pPr>
            <w:r/>
            <w:r>
              <w:rPr>
                <w:sz w:val="17"/>
              </w:rPr>
              <w:t>Sharpe annualised with sqrt(365)</w:t>
            </w:r>
          </w:p>
        </w:tc>
        <w:tc>
          <w:tcPr>
            <w:tcW w:type="dxa" w:w="3816"/>
          </w:tcPr>
          <w:p>
            <w:pPr>
              <w:spacing w:after="0"/>
              <w:jc w:val="center"/>
            </w:pPr>
            <w:r/>
            <w:r>
              <w:rPr>
                <w:sz w:val="17"/>
              </w:rPr>
              <w:t>All Sharpe ratios = mean / std x sqrt(252); returns, volatility and alpha annualised with 252 days (sa_core.ANN = 252)</w:t>
            </w:r>
          </w:p>
        </w:tc>
        <w:tc>
          <w:tcPr>
            <w:tcW w:type="dxa" w:w="2736"/>
          </w:tcPr>
          <w:p>
            <w:pPr>
              <w:spacing w:after="0"/>
              <w:jc w:val="center"/>
            </w:pPr>
            <w:r/>
            <w:r>
              <w:rPr>
                <w:sz w:val="17"/>
              </w:rPr>
              <w:t>V1 combined Sharpe 1.02 -&gt; 0.85 (full), 0.55 -&gt; 0.46 (hold-out)</w:t>
            </w:r>
          </w:p>
        </w:tc>
      </w:tr>
      <w:tr>
        <w:tc>
          <w:tcPr>
            <w:tcW w:type="dxa" w:w="2808"/>
          </w:tcPr>
          <w:p>
            <w:pPr>
              <w:spacing w:after="0"/>
            </w:pPr>
            <w:r/>
            <w:r>
              <w:rPr>
                <w:sz w:val="17"/>
              </w:rPr>
              <w:t>Exploration ran on the full 2021-2026 sample, so the hold-out was not untouched (the 60/90-day reversal only appears in 2024-2026)</w:t>
            </w:r>
          </w:p>
        </w:tc>
        <w:tc>
          <w:tcPr>
            <w:tcW w:type="dxa" w:w="3816"/>
          </w:tcPr>
          <w:p>
            <w:pPr>
              <w:spacing w:after="0"/>
              <w:jc w:val="center"/>
            </w:pPr>
            <w:r/>
            <w:r>
              <w:rPr>
                <w:sz w:val="17"/>
              </w:rPr>
              <w:t>Pre-registered mechanical protocol: every signal's direction, every candidate, the execution rule and the weighting are chosen on 2021-07 to 2023-12 only (Section 4.4)</w:t>
            </w:r>
          </w:p>
        </w:tc>
        <w:tc>
          <w:tcPr>
            <w:tcW w:type="dxa" w:w="2736"/>
          </w:tcPr>
          <w:p>
            <w:pPr>
              <w:spacing w:after="0"/>
              <w:jc w:val="center"/>
            </w:pPr>
            <w:r/>
            <w:r>
              <w:rPr>
                <w:sz w:val="17"/>
              </w:rPr>
              <w:t>The hold-out is now a true out-of-sample test; the combined hold-out Sharpe is 0.20</w:t>
            </w:r>
          </w:p>
        </w:tc>
      </w:tr>
      <w:tr>
        <w:tc>
          <w:tcPr>
            <w:tcW w:type="dxa" w:w="2808"/>
          </w:tcPr>
          <w:p>
            <w:pPr>
              <w:spacing w:after="0"/>
            </w:pPr>
            <w:r/>
            <w:r>
              <w:rPr>
                <w:sz w:val="17"/>
              </w:rPr>
              <w:t>Full-sample results reported first; no correlation to BTC (hold-out alpha t was 0.90 vs 2.19 full sample)</w:t>
            </w:r>
          </w:p>
        </w:tc>
        <w:tc>
          <w:tcPr>
            <w:tcW w:type="dxa" w:w="3816"/>
          </w:tcPr>
          <w:p>
            <w:pPr>
              <w:spacing w:after="0"/>
              <w:jc w:val="center"/>
            </w:pPr>
            <w:r/>
            <w:r>
              <w:rPr>
                <w:sz w:val="17"/>
              </w:rPr>
              <w:t>Hold-out reported first everywhere (summary, tables, README, deck); correlation to BTC added to every table</w:t>
            </w:r>
          </w:p>
        </w:tc>
        <w:tc>
          <w:tcPr>
            <w:tcW w:type="dxa" w:w="2736"/>
          </w:tcPr>
          <w:p>
            <w:pPr>
              <w:spacing w:after="0"/>
              <w:jc w:val="center"/>
            </w:pPr>
            <w:r/>
            <w:r>
              <w:rPr>
                <w:sz w:val="17"/>
              </w:rPr>
              <w:t>Hold-out alpha t = 0.52; correlation to BTC = -0.12</w:t>
            </w:r>
          </w:p>
        </w:tc>
      </w:tr>
      <w:tr>
        <w:tc>
          <w:tcPr>
            <w:tcW w:type="dxa" w:w="2808"/>
          </w:tcPr>
          <w:p>
            <w:pPr>
              <w:spacing w:after="0"/>
            </w:pPr>
            <w:r/>
            <w:r>
              <w:rPr>
                <w:sz w:val="17"/>
              </w:rPr>
              <w:t>16 coins that survived to 2026 (survivorship bias)</w:t>
            </w:r>
          </w:p>
        </w:tc>
        <w:tc>
          <w:tcPr>
            <w:tcW w:type="dxa" w:w="3816"/>
          </w:tcPr>
          <w:p>
            <w:pPr>
              <w:spacing w:after="0"/>
              <w:jc w:val="center"/>
            </w:pPr>
            <w:r/>
            <w:r>
              <w:rPr>
                <w:sz w:val="17"/>
              </w:rPr>
              <w:t>Top 40 coins by market cap on 2021-01-03 (stablecoins and wrapped tokens excluded); 39 have free data. Coins that collapsed or were delisted (FTT, EOS, MKR) are kept until their prices end</w:t>
            </w:r>
          </w:p>
        </w:tc>
        <w:tc>
          <w:tcPr>
            <w:tcW w:type="dxa" w:w="2736"/>
          </w:tcPr>
          <w:p>
            <w:pPr>
              <w:spacing w:after="0"/>
              <w:jc w:val="center"/>
            </w:pPr>
            <w:r/>
            <w:r>
              <w:rPr>
                <w:sz w:val="17"/>
              </w:rPr>
              <w:t>Removes survivorship bias; the universe includes the FTX collapse and other failures</w:t>
            </w:r>
          </w:p>
        </w:tc>
      </w:tr>
      <w:tr>
        <w:tc>
          <w:tcPr>
            <w:tcW w:type="dxa" w:w="2808"/>
          </w:tcPr>
          <w:p>
            <w:pPr>
              <w:spacing w:after="0"/>
            </w:pPr>
            <w:r/>
            <w:r>
              <w:rPr>
                <w:sz w:val="17"/>
              </w:rPr>
              <w:t>No standalone rebuild or methodology guide</w:t>
            </w:r>
          </w:p>
        </w:tc>
        <w:tc>
          <w:tcPr>
            <w:tcW w:type="dxa" w:w="3816"/>
          </w:tcPr>
          <w:p>
            <w:pPr>
              <w:spacing w:after="0"/>
              <w:jc w:val="center"/>
            </w:pPr>
            <w:r/>
            <w:r>
              <w:rPr>
                <w:sz w:val="17"/>
              </w:rPr>
              <w:t>src/minimal_backtest.py rebuilds a strategy in ~60 lines and checks it against the engine; a separate methodology explainer covers every choice and likely interview questions</w:t>
            </w:r>
          </w:p>
        </w:tc>
        <w:tc>
          <w:tcPr>
            <w:tcW w:type="dxa" w:w="2736"/>
          </w:tcPr>
          <w:p>
            <w:pPr>
              <w:spacing w:after="0"/>
              <w:jc w:val="center"/>
            </w:pPr>
            <w:r/>
            <w:r>
              <w:rPr>
                <w:sz w:val="17"/>
              </w:rPr>
              <w:t>Engine and minimal backtest agree to machine precision</w:t>
            </w:r>
          </w:p>
        </w:tc>
      </w:tr>
    </w:tbl>
    <w:p>
      <w:pPr>
        <w:spacing w:after="40"/>
      </w:pPr>
    </w:p>
    <w:p>
      <w:pPr>
        <w:pStyle w:val="Heading1"/>
      </w:pPr>
      <w:r>
        <w:t>1. Introduction</w:t>
      </w:r>
    </w:p>
    <w:p>
      <w:pPr>
        <w:spacing w:after="120"/>
      </w:pPr>
      <w:r>
        <w:rPr>
          <w:b w:val="0"/>
          <w:i w:val="0"/>
        </w:rPr>
        <w:t>Statistical arbitrage looks for price-volume patterns that predict returns. The brief highlights momentum (recent winners keep winning) and reversal (recent moves undo themselves), and gives a research outline for each: time horizon, new information and activity, seasonality, investment themes and technical plays for momentum; time horizon, uninformed trading, correlation and macro dislocation for reversal. It then asks for unconstrained backtests, realistic execution costs, a weighting scheme and standard performance metrics.</w:t>
      </w:r>
    </w:p>
    <w:p>
      <w:pPr>
        <w:spacing w:after="120"/>
      </w:pPr>
      <w:r>
        <w:rPr>
          <w:b w:val="0"/>
          <w:i w:val="0"/>
        </w:rPr>
        <w:t>Version 2 keeps the research outline of version 1 but changes how conclusions are drawn. The universe is fixed by market cap at the start of the sample, so it includes coins that later failed. All exploration and selection uses the 2021-2023 research period, through a mechanical rule set written down before the hold-out is examined. The research question is unchanged: which momentum and reversal patterns exist in crypto, which survive realistic costs, and how should they be combined?</w:t>
      </w:r>
    </w:p>
    <w:p>
      <w:pPr>
        <w:pStyle w:val="Heading1"/>
      </w:pPr>
      <w:r>
        <w:t>2. Literature Review</w:t>
      </w:r>
    </w:p>
    <w:p>
      <w:pPr>
        <w:spacing w:after="120"/>
      </w:pPr>
      <w:r>
        <w:rPr>
          <w:b w:val="0"/>
          <w:i w:val="0"/>
        </w:rPr>
        <w:t>Cross-sectional momentum (Jegadeesh &amp; Titman, 1993), time-series momentum (Moskowitz, Ooi &amp; Pedersen, 2012) and industry momentum (Moskowitz &amp; Grinblatt, 1999) are robust across asset classes, but momentum crashes in high-volatility rebounds (Daniel &amp; Moskowitz, 2016) and benefits from volatility scaling (Barroso &amp; Santa-Clara, 2015). Short-term reversal (Lehmann, 1990) is a reward for supplying liquidity: low-volume moves reverse more (Campbell, Grossman &amp; Wang, 1993) and reversal profits rise with market volatility (Nagel, 2012). Long-horizon reversal reflects overreaction (De Bondt &amp; Thaler, 1985). In crypto, Liu and Tsyvinski (2021) and Liu, Tsyvinski and Wu (2022) document a momentum factor, Han, Kang and Ryu (2024) find time-series momentum more robust than cross-sectional momentum after costs, and Fil and Kristoufek (2020) find pairs relationships unstable. Garleanu and Pedersen (2013) motivate partial trading toward targets; DeMiguel, Garlappi and Uppal (2009) show that simple weights are hard to beat. Harvey, Liu and Zhu (2016) and Bailey and Lopez de Prado (2014) warn that testing many strategies inflates backtest Sharpe ratios - the reason for version 2's protocol. Survivorship bias, the reason for version 2's universe, is a standard concern in any backtest that conditions on assets that still exist at the end of the sample.</w:t>
      </w:r>
    </w:p>
    <w:p>
      <w:pPr>
        <w:pStyle w:val="Heading1"/>
      </w:pPr>
      <w:r>
        <w:t>3. Data</w:t>
      </w:r>
    </w:p>
    <w:p>
      <w:pPr>
        <w:pStyle w:val="Heading2"/>
      </w:pPr>
      <w:r>
        <w:t>3.1 A survivorship-free universe</w:t>
      </w:r>
    </w:p>
    <w:p>
      <w:pPr>
        <w:spacing w:after="120"/>
      </w:pPr>
      <w:r>
        <w:rPr>
          <w:b w:val="0"/>
          <w:i w:val="0"/>
        </w:rPr>
        <w:t>Version 1 traded 16 coins that were still liquid on Coinbase in 2026, which quietly excludes every coin that failed. Version 2 fixes the universe at the start of the sample: the 40 largest coins by market capitalisation in the CoinMarketCap historical snapshot of 2021-01-03, after removing stablecoins (USDT, USDC, DAI, BUSD) and wrapped tokens (WBTC). Membership never changes with hindsight. A coin leaves the cross-section only when its price history ends. Of the 40, 39 have free price history; Revain (REV) has none and is the only drop.</w:t>
      </w:r>
    </w:p>
    <w:p>
      <w:pPr>
        <w:keepNext/>
        <w:spacing w:after="60"/>
      </w:pPr>
      <w:r>
        <w:rPr>
          <w:b/>
          <w:sz w:val="20"/>
        </w:rPr>
        <w:t>Table 3. Universe: top 40 non-stablecoin coins by market cap on 2021-01-03.</w:t>
      </w:r>
    </w:p>
    <w:tbl>
      <w:tblPr>
        <w:tblStyle w:val="TableGrid"/>
        <w:tblW w:type="auto" w:w="0"/>
        <w:jc w:val="center"/>
        <w:tblLayout w:type="fixed"/>
        <w:tblLook w:firstColumn="1" w:firstRow="1" w:lastColumn="0" w:lastRow="0" w:noHBand="0" w:noVBand="1" w:val="04A0"/>
      </w:tblPr>
      <w:tblGrid>
        <w:gridCol w:w="648"/>
        <w:gridCol w:w="792"/>
        <w:gridCol w:w="1872"/>
        <w:gridCol w:w="1080"/>
        <w:gridCol w:w="1296"/>
        <w:gridCol w:w="1296"/>
        <w:gridCol w:w="2376"/>
      </w:tblGrid>
      <w:tr>
        <w:tc>
          <w:tcPr>
            <w:tcW w:type="dxa" w:w="648"/>
            <w:shd w:val="clear" w:fill="1F3864"/>
          </w:tcPr>
          <w:p>
            <w:pPr>
              <w:jc w:val="left"/>
            </w:pPr>
            <w:r/>
            <w:r>
              <w:rPr>
                <w:b/>
                <w:color w:val="FFFFFF"/>
                <w:sz w:val="16"/>
              </w:rPr>
              <w:t>Rank</w:t>
            </w:r>
          </w:p>
        </w:tc>
        <w:tc>
          <w:tcPr>
            <w:tcW w:type="dxa" w:w="792"/>
            <w:shd w:val="clear" w:fill="1F3864"/>
          </w:tcPr>
          <w:p>
            <w:pPr>
              <w:jc w:val="center"/>
            </w:pPr>
            <w:r/>
            <w:r>
              <w:rPr>
                <w:b/>
                <w:color w:val="FFFFFF"/>
                <w:sz w:val="16"/>
              </w:rPr>
              <w:t>Coin</w:t>
            </w:r>
          </w:p>
        </w:tc>
        <w:tc>
          <w:tcPr>
            <w:tcW w:type="dxa" w:w="1872"/>
            <w:shd w:val="clear" w:fill="1F3864"/>
          </w:tcPr>
          <w:p>
            <w:pPr>
              <w:jc w:val="center"/>
            </w:pPr>
            <w:r/>
            <w:r>
              <w:rPr>
                <w:b/>
                <w:color w:val="FFFFFF"/>
                <w:sz w:val="16"/>
              </w:rPr>
              <w:t>Name</w:t>
            </w:r>
          </w:p>
        </w:tc>
        <w:tc>
          <w:tcPr>
            <w:tcW w:type="dxa" w:w="1080"/>
            <w:shd w:val="clear" w:fill="1F3864"/>
          </w:tcPr>
          <w:p>
            <w:pPr>
              <w:jc w:val="center"/>
            </w:pPr>
            <w:r/>
            <w:r>
              <w:rPr>
                <w:b/>
                <w:color w:val="FFFFFF"/>
                <w:sz w:val="16"/>
              </w:rPr>
              <w:t>Source</w:t>
            </w:r>
          </w:p>
        </w:tc>
        <w:tc>
          <w:tcPr>
            <w:tcW w:type="dxa" w:w="1296"/>
            <w:shd w:val="clear" w:fill="1F3864"/>
          </w:tcPr>
          <w:p>
            <w:pPr>
              <w:jc w:val="center"/>
            </w:pPr>
            <w:r/>
            <w:r>
              <w:rPr>
                <w:b/>
                <w:color w:val="FFFFFF"/>
                <w:sz w:val="16"/>
              </w:rPr>
              <w:t>First price</w:t>
            </w:r>
          </w:p>
        </w:tc>
        <w:tc>
          <w:tcPr>
            <w:tcW w:type="dxa" w:w="1296"/>
            <w:shd w:val="clear" w:fill="1F3864"/>
          </w:tcPr>
          <w:p>
            <w:pPr>
              <w:jc w:val="center"/>
            </w:pPr>
            <w:r/>
            <w:r>
              <w:rPr>
                <w:b/>
                <w:color w:val="FFFFFF"/>
                <w:sz w:val="16"/>
              </w:rPr>
              <w:t>Last price</w:t>
            </w:r>
          </w:p>
        </w:tc>
        <w:tc>
          <w:tcPr>
            <w:tcW w:type="dxa" w:w="2376"/>
            <w:shd w:val="clear" w:fill="1F3864"/>
          </w:tcPr>
          <w:p>
            <w:pPr>
              <w:jc w:val="center"/>
            </w:pPr>
            <w:r/>
            <w:r>
              <w:rPr>
                <w:b/>
                <w:color w:val="FFFFFF"/>
                <w:sz w:val="16"/>
              </w:rPr>
              <w:t>Status</w:t>
            </w:r>
          </w:p>
        </w:tc>
      </w:tr>
      <w:tr>
        <w:tc>
          <w:tcPr>
            <w:tcW w:type="dxa" w:w="648"/>
          </w:tcPr>
          <w:p>
            <w:pPr>
              <w:spacing w:after="0"/>
            </w:pPr>
            <w:r/>
            <w:r>
              <w:rPr>
                <w:sz w:val="16"/>
              </w:rPr>
              <w:t>1</w:t>
            </w:r>
          </w:p>
        </w:tc>
        <w:tc>
          <w:tcPr>
            <w:tcW w:type="dxa" w:w="792"/>
          </w:tcPr>
          <w:p>
            <w:pPr>
              <w:spacing w:after="0"/>
              <w:jc w:val="center"/>
            </w:pPr>
            <w:r/>
            <w:r>
              <w:rPr>
                <w:sz w:val="16"/>
              </w:rPr>
              <w:t>BTC</w:t>
            </w:r>
          </w:p>
        </w:tc>
        <w:tc>
          <w:tcPr>
            <w:tcW w:type="dxa" w:w="1872"/>
          </w:tcPr>
          <w:p>
            <w:pPr>
              <w:spacing w:after="0"/>
              <w:jc w:val="center"/>
            </w:pPr>
            <w:r/>
            <w:r>
              <w:rPr>
                <w:sz w:val="16"/>
              </w:rPr>
              <w:t>Bitcoin</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w:t>
            </w:r>
          </w:p>
        </w:tc>
        <w:tc>
          <w:tcPr>
            <w:tcW w:type="dxa" w:w="792"/>
          </w:tcPr>
          <w:p>
            <w:pPr>
              <w:spacing w:after="0"/>
              <w:jc w:val="center"/>
            </w:pPr>
            <w:r/>
            <w:r>
              <w:rPr>
                <w:sz w:val="16"/>
              </w:rPr>
              <w:t>ETH</w:t>
            </w:r>
          </w:p>
        </w:tc>
        <w:tc>
          <w:tcPr>
            <w:tcW w:type="dxa" w:w="1872"/>
          </w:tcPr>
          <w:p>
            <w:pPr>
              <w:spacing w:after="0"/>
              <w:jc w:val="center"/>
            </w:pPr>
            <w:r/>
            <w:r>
              <w:rPr>
                <w:sz w:val="16"/>
              </w:rPr>
              <w:t>Ethereum</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4</w:t>
            </w:r>
          </w:p>
        </w:tc>
        <w:tc>
          <w:tcPr>
            <w:tcW w:type="dxa" w:w="792"/>
          </w:tcPr>
          <w:p>
            <w:pPr>
              <w:spacing w:after="0"/>
              <w:jc w:val="center"/>
            </w:pPr>
            <w:r/>
            <w:r>
              <w:rPr>
                <w:sz w:val="16"/>
              </w:rPr>
              <w:t>LTC</w:t>
            </w:r>
          </w:p>
        </w:tc>
        <w:tc>
          <w:tcPr>
            <w:tcW w:type="dxa" w:w="1872"/>
          </w:tcPr>
          <w:p>
            <w:pPr>
              <w:spacing w:after="0"/>
              <w:jc w:val="center"/>
            </w:pPr>
            <w:r/>
            <w:r>
              <w:rPr>
                <w:sz w:val="16"/>
              </w:rPr>
              <w:t>Litecoin</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5</w:t>
            </w:r>
          </w:p>
        </w:tc>
        <w:tc>
          <w:tcPr>
            <w:tcW w:type="dxa" w:w="792"/>
          </w:tcPr>
          <w:p>
            <w:pPr>
              <w:spacing w:after="0"/>
              <w:jc w:val="center"/>
            </w:pPr>
            <w:r/>
            <w:r>
              <w:rPr>
                <w:sz w:val="16"/>
              </w:rPr>
              <w:t>XRP</w:t>
            </w:r>
          </w:p>
        </w:tc>
        <w:tc>
          <w:tcPr>
            <w:tcW w:type="dxa" w:w="1872"/>
          </w:tcPr>
          <w:p>
            <w:pPr>
              <w:spacing w:after="0"/>
              <w:jc w:val="center"/>
            </w:pPr>
            <w:r/>
            <w:r>
              <w:rPr>
                <w:sz w:val="16"/>
              </w:rPr>
              <w:t>XRP</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6</w:t>
            </w:r>
          </w:p>
        </w:tc>
        <w:tc>
          <w:tcPr>
            <w:tcW w:type="dxa" w:w="792"/>
          </w:tcPr>
          <w:p>
            <w:pPr>
              <w:spacing w:after="0"/>
              <w:jc w:val="center"/>
            </w:pPr>
            <w:r/>
            <w:r>
              <w:rPr>
                <w:sz w:val="16"/>
              </w:rPr>
              <w:t>DOT</w:t>
            </w:r>
          </w:p>
        </w:tc>
        <w:tc>
          <w:tcPr>
            <w:tcW w:type="dxa" w:w="1872"/>
          </w:tcPr>
          <w:p>
            <w:pPr>
              <w:spacing w:after="0"/>
              <w:jc w:val="center"/>
            </w:pPr>
            <w:r/>
            <w:r>
              <w:rPr>
                <w:sz w:val="16"/>
              </w:rPr>
              <w:t>Polkadot</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7</w:t>
            </w:r>
          </w:p>
        </w:tc>
        <w:tc>
          <w:tcPr>
            <w:tcW w:type="dxa" w:w="792"/>
          </w:tcPr>
          <w:p>
            <w:pPr>
              <w:spacing w:after="0"/>
              <w:jc w:val="center"/>
            </w:pPr>
            <w:r/>
            <w:r>
              <w:rPr>
                <w:sz w:val="16"/>
              </w:rPr>
              <w:t>BCH</w:t>
            </w:r>
          </w:p>
        </w:tc>
        <w:tc>
          <w:tcPr>
            <w:tcW w:type="dxa" w:w="1872"/>
          </w:tcPr>
          <w:p>
            <w:pPr>
              <w:spacing w:after="0"/>
              <w:jc w:val="center"/>
            </w:pPr>
            <w:r/>
            <w:r>
              <w:rPr>
                <w:sz w:val="16"/>
              </w:rPr>
              <w:t>Bitcoin Cash</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8</w:t>
            </w:r>
          </w:p>
        </w:tc>
        <w:tc>
          <w:tcPr>
            <w:tcW w:type="dxa" w:w="792"/>
          </w:tcPr>
          <w:p>
            <w:pPr>
              <w:spacing w:after="0"/>
              <w:jc w:val="center"/>
            </w:pPr>
            <w:r/>
            <w:r>
              <w:rPr>
                <w:sz w:val="16"/>
              </w:rPr>
              <w:t>ADA</w:t>
            </w:r>
          </w:p>
        </w:tc>
        <w:tc>
          <w:tcPr>
            <w:tcW w:type="dxa" w:w="1872"/>
          </w:tcPr>
          <w:p>
            <w:pPr>
              <w:spacing w:after="0"/>
              <w:jc w:val="center"/>
            </w:pPr>
            <w:r/>
            <w:r>
              <w:rPr>
                <w:sz w:val="16"/>
              </w:rPr>
              <w:t>Cardano</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9</w:t>
            </w:r>
          </w:p>
        </w:tc>
        <w:tc>
          <w:tcPr>
            <w:tcW w:type="dxa" w:w="792"/>
          </w:tcPr>
          <w:p>
            <w:pPr>
              <w:spacing w:after="0"/>
              <w:jc w:val="center"/>
            </w:pPr>
            <w:r/>
            <w:r>
              <w:rPr>
                <w:sz w:val="16"/>
              </w:rPr>
              <w:t>BNB</w:t>
            </w:r>
          </w:p>
        </w:tc>
        <w:tc>
          <w:tcPr>
            <w:tcW w:type="dxa" w:w="1872"/>
          </w:tcPr>
          <w:p>
            <w:pPr>
              <w:spacing w:after="0"/>
              <w:jc w:val="center"/>
            </w:pPr>
            <w:r/>
            <w:r>
              <w:rPr>
                <w:sz w:val="16"/>
              </w:rPr>
              <w:t>Binance Coin</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10</w:t>
            </w:r>
          </w:p>
        </w:tc>
        <w:tc>
          <w:tcPr>
            <w:tcW w:type="dxa" w:w="792"/>
          </w:tcPr>
          <w:p>
            <w:pPr>
              <w:spacing w:after="0"/>
              <w:jc w:val="center"/>
            </w:pPr>
            <w:r/>
            <w:r>
              <w:rPr>
                <w:sz w:val="16"/>
              </w:rPr>
              <w:t>LINK</w:t>
            </w:r>
          </w:p>
        </w:tc>
        <w:tc>
          <w:tcPr>
            <w:tcW w:type="dxa" w:w="1872"/>
          </w:tcPr>
          <w:p>
            <w:pPr>
              <w:spacing w:after="0"/>
              <w:jc w:val="center"/>
            </w:pPr>
            <w:r/>
            <w:r>
              <w:rPr>
                <w:sz w:val="16"/>
              </w:rPr>
              <w:t>Chainlink</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13</w:t>
            </w:r>
          </w:p>
        </w:tc>
        <w:tc>
          <w:tcPr>
            <w:tcW w:type="dxa" w:w="792"/>
          </w:tcPr>
          <w:p>
            <w:pPr>
              <w:spacing w:after="0"/>
              <w:jc w:val="center"/>
            </w:pPr>
            <w:r/>
            <w:r>
              <w:rPr>
                <w:sz w:val="16"/>
              </w:rPr>
              <w:t>BSV</w:t>
            </w:r>
          </w:p>
        </w:tc>
        <w:tc>
          <w:tcPr>
            <w:tcW w:type="dxa" w:w="1872"/>
          </w:tcPr>
          <w:p>
            <w:pPr>
              <w:spacing w:after="0"/>
              <w:jc w:val="center"/>
            </w:pPr>
            <w:r/>
            <w:r>
              <w:rPr>
                <w:sz w:val="16"/>
              </w:rPr>
              <w:t>Bitcoin SV</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14</w:t>
            </w:r>
          </w:p>
        </w:tc>
        <w:tc>
          <w:tcPr>
            <w:tcW w:type="dxa" w:w="792"/>
          </w:tcPr>
          <w:p>
            <w:pPr>
              <w:spacing w:after="0"/>
              <w:jc w:val="center"/>
            </w:pPr>
            <w:r/>
            <w:r>
              <w:rPr>
                <w:sz w:val="16"/>
              </w:rPr>
              <w:t>XLM</w:t>
            </w:r>
          </w:p>
        </w:tc>
        <w:tc>
          <w:tcPr>
            <w:tcW w:type="dxa" w:w="1872"/>
          </w:tcPr>
          <w:p>
            <w:pPr>
              <w:spacing w:after="0"/>
              <w:jc w:val="center"/>
            </w:pPr>
            <w:r/>
            <w:r>
              <w:rPr>
                <w:sz w:val="16"/>
              </w:rPr>
              <w:t>Stellar</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15</w:t>
            </w:r>
          </w:p>
        </w:tc>
        <w:tc>
          <w:tcPr>
            <w:tcW w:type="dxa" w:w="792"/>
          </w:tcPr>
          <w:p>
            <w:pPr>
              <w:spacing w:after="0"/>
              <w:jc w:val="center"/>
            </w:pPr>
            <w:r/>
            <w:r>
              <w:rPr>
                <w:sz w:val="16"/>
              </w:rPr>
              <w:t>EOS</w:t>
            </w:r>
          </w:p>
        </w:tc>
        <w:tc>
          <w:tcPr>
            <w:tcW w:type="dxa" w:w="1872"/>
          </w:tcPr>
          <w:p>
            <w:pPr>
              <w:spacing w:after="0"/>
              <w:jc w:val="center"/>
            </w:pPr>
            <w:r/>
            <w:r>
              <w:rPr>
                <w:sz w:val="16"/>
              </w:rPr>
              <w:t>EOS</w:t>
            </w:r>
          </w:p>
        </w:tc>
        <w:tc>
          <w:tcPr>
            <w:tcW w:type="dxa" w:w="1080"/>
          </w:tcPr>
          <w:p>
            <w:pPr>
              <w:spacing w:after="0"/>
              <w:jc w:val="center"/>
            </w:pPr>
            <w:r/>
            <w:r>
              <w:rPr>
                <w:sz w:val="16"/>
              </w:rPr>
              <w:t>bitfinex</w:t>
            </w:r>
          </w:p>
        </w:tc>
        <w:tc>
          <w:tcPr>
            <w:tcW w:type="dxa" w:w="1296"/>
          </w:tcPr>
          <w:p>
            <w:pPr>
              <w:spacing w:after="0"/>
              <w:jc w:val="center"/>
            </w:pPr>
            <w:r/>
            <w:r>
              <w:rPr>
                <w:sz w:val="16"/>
              </w:rPr>
              <w:t>2021-01-01</w:t>
            </w:r>
          </w:p>
        </w:tc>
        <w:tc>
          <w:tcPr>
            <w:tcW w:type="dxa" w:w="1296"/>
          </w:tcPr>
          <w:p>
            <w:pPr>
              <w:spacing w:after="0"/>
              <w:jc w:val="center"/>
            </w:pPr>
            <w:r/>
            <w:r>
              <w:rPr>
                <w:sz w:val="16"/>
              </w:rPr>
              <w:t>2026-07-03</w:t>
            </w:r>
          </w:p>
        </w:tc>
        <w:tc>
          <w:tcPr>
            <w:tcW w:type="dxa" w:w="2376"/>
          </w:tcPr>
          <w:p>
            <w:pPr>
              <w:spacing w:after="0"/>
              <w:jc w:val="center"/>
            </w:pPr>
            <w:r/>
            <w:r>
              <w:rPr>
                <w:sz w:val="16"/>
              </w:rPr>
              <w:t>history ends (delisted / collapsed)</w:t>
            </w:r>
          </w:p>
        </w:tc>
      </w:tr>
      <w:tr>
        <w:tc>
          <w:tcPr>
            <w:tcW w:type="dxa" w:w="648"/>
          </w:tcPr>
          <w:p>
            <w:pPr>
              <w:spacing w:after="0"/>
            </w:pPr>
            <w:r/>
            <w:r>
              <w:rPr>
                <w:sz w:val="16"/>
              </w:rPr>
              <w:t>16</w:t>
            </w:r>
          </w:p>
        </w:tc>
        <w:tc>
          <w:tcPr>
            <w:tcW w:type="dxa" w:w="792"/>
          </w:tcPr>
          <w:p>
            <w:pPr>
              <w:spacing w:after="0"/>
              <w:jc w:val="center"/>
            </w:pPr>
            <w:r/>
            <w:r>
              <w:rPr>
                <w:sz w:val="16"/>
              </w:rPr>
              <w:t>XMR</w:t>
            </w:r>
          </w:p>
        </w:tc>
        <w:tc>
          <w:tcPr>
            <w:tcW w:type="dxa" w:w="1872"/>
          </w:tcPr>
          <w:p>
            <w:pPr>
              <w:spacing w:after="0"/>
              <w:jc w:val="center"/>
            </w:pPr>
            <w:r/>
            <w:r>
              <w:rPr>
                <w:sz w:val="16"/>
              </w:rPr>
              <w:t>Monero</w:t>
            </w:r>
          </w:p>
        </w:tc>
        <w:tc>
          <w:tcPr>
            <w:tcW w:type="dxa" w:w="1080"/>
          </w:tcPr>
          <w:p>
            <w:pPr>
              <w:spacing w:after="0"/>
              <w:jc w:val="center"/>
            </w:pPr>
            <w:r/>
            <w:r>
              <w:rPr>
                <w:sz w:val="16"/>
              </w:rPr>
              <w:t>bitfinex</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17</w:t>
            </w:r>
          </w:p>
        </w:tc>
        <w:tc>
          <w:tcPr>
            <w:tcW w:type="dxa" w:w="792"/>
          </w:tcPr>
          <w:p>
            <w:pPr>
              <w:spacing w:after="0"/>
              <w:jc w:val="center"/>
            </w:pPr>
            <w:r/>
            <w:r>
              <w:rPr>
                <w:sz w:val="16"/>
              </w:rPr>
              <w:t>THETA</w:t>
            </w:r>
          </w:p>
        </w:tc>
        <w:tc>
          <w:tcPr>
            <w:tcW w:type="dxa" w:w="1872"/>
          </w:tcPr>
          <w:p>
            <w:pPr>
              <w:spacing w:after="0"/>
              <w:jc w:val="center"/>
            </w:pPr>
            <w:r/>
            <w:r>
              <w:rPr>
                <w:sz w:val="16"/>
              </w:rPr>
              <w:t>THETA</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18</w:t>
            </w:r>
          </w:p>
        </w:tc>
        <w:tc>
          <w:tcPr>
            <w:tcW w:type="dxa" w:w="792"/>
          </w:tcPr>
          <w:p>
            <w:pPr>
              <w:spacing w:after="0"/>
              <w:jc w:val="center"/>
            </w:pPr>
            <w:r/>
            <w:r>
              <w:rPr>
                <w:sz w:val="16"/>
              </w:rPr>
              <w:t>TRX</w:t>
            </w:r>
          </w:p>
        </w:tc>
        <w:tc>
          <w:tcPr>
            <w:tcW w:type="dxa" w:w="1872"/>
          </w:tcPr>
          <w:p>
            <w:pPr>
              <w:spacing w:after="0"/>
              <w:jc w:val="center"/>
            </w:pPr>
            <w:r/>
            <w:r>
              <w:rPr>
                <w:sz w:val="16"/>
              </w:rPr>
              <w:t>TRON</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19</w:t>
            </w:r>
          </w:p>
        </w:tc>
        <w:tc>
          <w:tcPr>
            <w:tcW w:type="dxa" w:w="792"/>
          </w:tcPr>
          <w:p>
            <w:pPr>
              <w:spacing w:after="0"/>
              <w:jc w:val="center"/>
            </w:pPr>
            <w:r/>
            <w:r>
              <w:rPr>
                <w:sz w:val="16"/>
              </w:rPr>
              <w:t>XEM</w:t>
            </w:r>
          </w:p>
        </w:tc>
        <w:tc>
          <w:tcPr>
            <w:tcW w:type="dxa" w:w="1872"/>
          </w:tcPr>
          <w:p>
            <w:pPr>
              <w:spacing w:after="0"/>
              <w:jc w:val="center"/>
            </w:pPr>
            <w:r/>
            <w:r>
              <w:rPr>
                <w:sz w:val="16"/>
              </w:rPr>
              <w:t>NEM</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20</w:t>
            </w:r>
          </w:p>
        </w:tc>
        <w:tc>
          <w:tcPr>
            <w:tcW w:type="dxa" w:w="792"/>
          </w:tcPr>
          <w:p>
            <w:pPr>
              <w:spacing w:after="0"/>
              <w:jc w:val="center"/>
            </w:pPr>
            <w:r/>
            <w:r>
              <w:rPr>
                <w:sz w:val="16"/>
              </w:rPr>
              <w:t>VET</w:t>
            </w:r>
          </w:p>
        </w:tc>
        <w:tc>
          <w:tcPr>
            <w:tcW w:type="dxa" w:w="1872"/>
          </w:tcPr>
          <w:p>
            <w:pPr>
              <w:spacing w:after="0"/>
              <w:jc w:val="center"/>
            </w:pPr>
            <w:r/>
            <w:r>
              <w:rPr>
                <w:sz w:val="16"/>
              </w:rPr>
              <w:t>VeChain</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21</w:t>
            </w:r>
          </w:p>
        </w:tc>
        <w:tc>
          <w:tcPr>
            <w:tcW w:type="dxa" w:w="792"/>
          </w:tcPr>
          <w:p>
            <w:pPr>
              <w:spacing w:after="0"/>
              <w:jc w:val="center"/>
            </w:pPr>
            <w:r/>
            <w:r>
              <w:rPr>
                <w:sz w:val="16"/>
              </w:rPr>
              <w:t>XTZ</w:t>
            </w:r>
          </w:p>
        </w:tc>
        <w:tc>
          <w:tcPr>
            <w:tcW w:type="dxa" w:w="1872"/>
          </w:tcPr>
          <w:p>
            <w:pPr>
              <w:spacing w:after="0"/>
              <w:jc w:val="center"/>
            </w:pPr>
            <w:r/>
            <w:r>
              <w:rPr>
                <w:sz w:val="16"/>
              </w:rPr>
              <w:t>Tezos</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22</w:t>
            </w:r>
          </w:p>
        </w:tc>
        <w:tc>
          <w:tcPr>
            <w:tcW w:type="dxa" w:w="792"/>
          </w:tcPr>
          <w:p>
            <w:pPr>
              <w:spacing w:after="0"/>
              <w:jc w:val="center"/>
            </w:pPr>
            <w:r/>
            <w:r>
              <w:rPr>
                <w:sz w:val="16"/>
              </w:rPr>
              <w:t>CEL</w:t>
            </w:r>
          </w:p>
        </w:tc>
        <w:tc>
          <w:tcPr>
            <w:tcW w:type="dxa" w:w="1872"/>
          </w:tcPr>
          <w:p>
            <w:pPr>
              <w:spacing w:after="0"/>
              <w:jc w:val="center"/>
            </w:pPr>
            <w:r/>
            <w:r>
              <w:rPr>
                <w:sz w:val="16"/>
              </w:rPr>
              <w:t>Celsius</w:t>
            </w:r>
          </w:p>
        </w:tc>
        <w:tc>
          <w:tcPr>
            <w:tcW w:type="dxa" w:w="1080"/>
          </w:tcPr>
          <w:p>
            <w:pPr>
              <w:spacing w:after="0"/>
              <w:jc w:val="center"/>
            </w:pPr>
            <w:r/>
            <w:r>
              <w:rPr>
                <w:sz w:val="16"/>
              </w:rPr>
              <w:t>gate</w:t>
            </w:r>
          </w:p>
        </w:tc>
        <w:tc>
          <w:tcPr>
            <w:tcW w:type="dxa" w:w="1296"/>
          </w:tcPr>
          <w:p>
            <w:pPr>
              <w:spacing w:after="0"/>
              <w:jc w:val="center"/>
            </w:pPr>
            <w:r/>
            <w:r>
              <w:rPr>
                <w:sz w:val="16"/>
              </w:rPr>
              <w:t>2021-04-09</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23</w:t>
            </w:r>
          </w:p>
        </w:tc>
        <w:tc>
          <w:tcPr>
            <w:tcW w:type="dxa" w:w="792"/>
          </w:tcPr>
          <w:p>
            <w:pPr>
              <w:spacing w:after="0"/>
              <w:jc w:val="center"/>
            </w:pPr>
            <w:r/>
            <w:r>
              <w:rPr>
                <w:sz w:val="16"/>
              </w:rPr>
              <w:t>UNI</w:t>
            </w:r>
          </w:p>
        </w:tc>
        <w:tc>
          <w:tcPr>
            <w:tcW w:type="dxa" w:w="1872"/>
          </w:tcPr>
          <w:p>
            <w:pPr>
              <w:spacing w:after="0"/>
              <w:jc w:val="center"/>
            </w:pPr>
            <w:r/>
            <w:r>
              <w:rPr>
                <w:sz w:val="16"/>
              </w:rPr>
              <w:t>Uniswap</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24</w:t>
            </w:r>
          </w:p>
        </w:tc>
        <w:tc>
          <w:tcPr>
            <w:tcW w:type="dxa" w:w="792"/>
          </w:tcPr>
          <w:p>
            <w:pPr>
              <w:spacing w:after="0"/>
              <w:jc w:val="center"/>
            </w:pPr>
            <w:r/>
            <w:r>
              <w:rPr>
                <w:sz w:val="16"/>
              </w:rPr>
              <w:t>LEO</w:t>
            </w:r>
          </w:p>
        </w:tc>
        <w:tc>
          <w:tcPr>
            <w:tcW w:type="dxa" w:w="1872"/>
          </w:tcPr>
          <w:p>
            <w:pPr>
              <w:spacing w:after="0"/>
              <w:jc w:val="center"/>
            </w:pPr>
            <w:r/>
            <w:r>
              <w:rPr>
                <w:sz w:val="16"/>
              </w:rPr>
              <w:t>UNUS SED LEO</w:t>
            </w:r>
          </w:p>
        </w:tc>
        <w:tc>
          <w:tcPr>
            <w:tcW w:type="dxa" w:w="1080"/>
          </w:tcPr>
          <w:p>
            <w:pPr>
              <w:spacing w:after="0"/>
              <w:jc w:val="center"/>
            </w:pPr>
            <w:r/>
            <w:r>
              <w:rPr>
                <w:sz w:val="16"/>
              </w:rPr>
              <w:t>bitfinex</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25</w:t>
            </w:r>
          </w:p>
        </w:tc>
        <w:tc>
          <w:tcPr>
            <w:tcW w:type="dxa" w:w="792"/>
          </w:tcPr>
          <w:p>
            <w:pPr>
              <w:spacing w:after="0"/>
              <w:jc w:val="center"/>
            </w:pPr>
            <w:r/>
            <w:r>
              <w:rPr>
                <w:sz w:val="16"/>
              </w:rPr>
              <w:t>CRO</w:t>
            </w:r>
          </w:p>
        </w:tc>
        <w:tc>
          <w:tcPr>
            <w:tcW w:type="dxa" w:w="1872"/>
          </w:tcPr>
          <w:p>
            <w:pPr>
              <w:spacing w:after="0"/>
              <w:jc w:val="center"/>
            </w:pPr>
            <w:r/>
            <w:r>
              <w:rPr>
                <w:sz w:val="16"/>
              </w:rPr>
              <w:t>Crypto.com Coin</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26</w:t>
            </w:r>
          </w:p>
        </w:tc>
        <w:tc>
          <w:tcPr>
            <w:tcW w:type="dxa" w:w="792"/>
          </w:tcPr>
          <w:p>
            <w:pPr>
              <w:spacing w:after="0"/>
              <w:jc w:val="center"/>
            </w:pPr>
            <w:r/>
            <w:r>
              <w:rPr>
                <w:sz w:val="16"/>
              </w:rPr>
              <w:t>DOGE</w:t>
            </w:r>
          </w:p>
        </w:tc>
        <w:tc>
          <w:tcPr>
            <w:tcW w:type="dxa" w:w="1872"/>
          </w:tcPr>
          <w:p>
            <w:pPr>
              <w:spacing w:after="0"/>
              <w:jc w:val="center"/>
            </w:pPr>
            <w:r/>
            <w:r>
              <w:rPr>
                <w:sz w:val="16"/>
              </w:rPr>
              <w:t>Dogecoin</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27</w:t>
            </w:r>
          </w:p>
        </w:tc>
        <w:tc>
          <w:tcPr>
            <w:tcW w:type="dxa" w:w="792"/>
          </w:tcPr>
          <w:p>
            <w:pPr>
              <w:spacing w:after="0"/>
              <w:jc w:val="center"/>
            </w:pPr>
            <w:r/>
            <w:r>
              <w:rPr>
                <w:sz w:val="16"/>
              </w:rPr>
              <w:t>ATOM</w:t>
            </w:r>
          </w:p>
        </w:tc>
        <w:tc>
          <w:tcPr>
            <w:tcW w:type="dxa" w:w="1872"/>
          </w:tcPr>
          <w:p>
            <w:pPr>
              <w:spacing w:after="0"/>
              <w:jc w:val="center"/>
            </w:pPr>
            <w:r/>
            <w:r>
              <w:rPr>
                <w:sz w:val="16"/>
              </w:rPr>
              <w:t>Cosmos</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30</w:t>
            </w:r>
          </w:p>
        </w:tc>
        <w:tc>
          <w:tcPr>
            <w:tcW w:type="dxa" w:w="792"/>
          </w:tcPr>
          <w:p>
            <w:pPr>
              <w:spacing w:after="0"/>
              <w:jc w:val="center"/>
            </w:pPr>
            <w:r/>
            <w:r>
              <w:rPr>
                <w:sz w:val="16"/>
              </w:rPr>
              <w:t>NEO</w:t>
            </w:r>
          </w:p>
        </w:tc>
        <w:tc>
          <w:tcPr>
            <w:tcW w:type="dxa" w:w="1872"/>
          </w:tcPr>
          <w:p>
            <w:pPr>
              <w:spacing w:after="0"/>
              <w:jc w:val="center"/>
            </w:pPr>
            <w:r/>
            <w:r>
              <w:rPr>
                <w:sz w:val="16"/>
              </w:rPr>
              <w:t>Neo</w:t>
            </w:r>
          </w:p>
        </w:tc>
        <w:tc>
          <w:tcPr>
            <w:tcW w:type="dxa" w:w="1080"/>
          </w:tcPr>
          <w:p>
            <w:pPr>
              <w:spacing w:after="0"/>
              <w:jc w:val="center"/>
            </w:pPr>
            <w:r/>
            <w:r>
              <w:rPr>
                <w:sz w:val="16"/>
              </w:rPr>
              <w:t>kucoin</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31</w:t>
            </w:r>
          </w:p>
        </w:tc>
        <w:tc>
          <w:tcPr>
            <w:tcW w:type="dxa" w:w="792"/>
          </w:tcPr>
          <w:p>
            <w:pPr>
              <w:spacing w:after="0"/>
              <w:jc w:val="center"/>
            </w:pPr>
            <w:r/>
            <w:r>
              <w:rPr>
                <w:sz w:val="16"/>
              </w:rPr>
              <w:t>AAVE</w:t>
            </w:r>
          </w:p>
        </w:tc>
        <w:tc>
          <w:tcPr>
            <w:tcW w:type="dxa" w:w="1872"/>
          </w:tcPr>
          <w:p>
            <w:pPr>
              <w:spacing w:after="0"/>
              <w:jc w:val="center"/>
            </w:pPr>
            <w:r/>
            <w:r>
              <w:rPr>
                <w:sz w:val="16"/>
              </w:rPr>
              <w:t>Aave</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32</w:t>
            </w:r>
          </w:p>
        </w:tc>
        <w:tc>
          <w:tcPr>
            <w:tcW w:type="dxa" w:w="792"/>
          </w:tcPr>
          <w:p>
            <w:pPr>
              <w:spacing w:after="0"/>
              <w:jc w:val="center"/>
            </w:pPr>
            <w:r/>
            <w:r>
              <w:rPr>
                <w:sz w:val="16"/>
              </w:rPr>
              <w:t>SNX</w:t>
            </w:r>
          </w:p>
        </w:tc>
        <w:tc>
          <w:tcPr>
            <w:tcW w:type="dxa" w:w="1872"/>
          </w:tcPr>
          <w:p>
            <w:pPr>
              <w:spacing w:after="0"/>
              <w:jc w:val="center"/>
            </w:pPr>
            <w:r/>
            <w:r>
              <w:rPr>
                <w:sz w:val="16"/>
              </w:rPr>
              <w:t>Synthetix</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33</w:t>
            </w:r>
          </w:p>
        </w:tc>
        <w:tc>
          <w:tcPr>
            <w:tcW w:type="dxa" w:w="792"/>
          </w:tcPr>
          <w:p>
            <w:pPr>
              <w:spacing w:after="0"/>
              <w:jc w:val="center"/>
            </w:pPr>
            <w:r/>
            <w:r>
              <w:rPr>
                <w:sz w:val="16"/>
              </w:rPr>
              <w:t>REV</w:t>
            </w:r>
          </w:p>
        </w:tc>
        <w:tc>
          <w:tcPr>
            <w:tcW w:type="dxa" w:w="1872"/>
          </w:tcPr>
          <w:p>
            <w:pPr>
              <w:spacing w:after="0"/>
              <w:jc w:val="center"/>
            </w:pPr>
            <w:r/>
            <w:r>
              <w:rPr>
                <w:sz w:val="16"/>
              </w:rPr>
              <w:t>Revain</w:t>
            </w:r>
          </w:p>
        </w:tc>
        <w:tc>
          <w:tcPr>
            <w:tcW w:type="dxa" w:w="1080"/>
          </w:tcPr>
          <w:p>
            <w:pPr>
              <w:spacing w:after="0"/>
              <w:jc w:val="center"/>
            </w:pPr>
            <w:r/>
            <w:r>
              <w:rPr>
                <w:sz w:val="16"/>
              </w:rPr>
              <w:t>-</w:t>
            </w:r>
          </w:p>
        </w:tc>
        <w:tc>
          <w:tcPr>
            <w:tcW w:type="dxa" w:w="1296"/>
          </w:tcPr>
          <w:p>
            <w:pPr>
              <w:spacing w:after="0"/>
              <w:jc w:val="center"/>
            </w:pPr>
            <w:r/>
            <w:r>
              <w:rPr>
                <w:sz w:val="16"/>
              </w:rPr>
              <w:t>-</w:t>
            </w:r>
          </w:p>
        </w:tc>
        <w:tc>
          <w:tcPr>
            <w:tcW w:type="dxa" w:w="1296"/>
          </w:tcPr>
          <w:p>
            <w:pPr>
              <w:spacing w:after="0"/>
              <w:jc w:val="center"/>
            </w:pPr>
            <w:r/>
            <w:r>
              <w:rPr>
                <w:sz w:val="16"/>
              </w:rPr>
              <w:t>-</w:t>
            </w:r>
          </w:p>
        </w:tc>
        <w:tc>
          <w:tcPr>
            <w:tcW w:type="dxa" w:w="2376"/>
          </w:tcPr>
          <w:p>
            <w:pPr>
              <w:spacing w:after="0"/>
              <w:jc w:val="center"/>
            </w:pPr>
            <w:r/>
            <w:r>
              <w:rPr>
                <w:sz w:val="16"/>
              </w:rPr>
              <w:t>no free price history found</w:t>
            </w:r>
          </w:p>
        </w:tc>
      </w:tr>
      <w:tr>
        <w:tc>
          <w:tcPr>
            <w:tcW w:type="dxa" w:w="648"/>
          </w:tcPr>
          <w:p>
            <w:pPr>
              <w:spacing w:after="0"/>
            </w:pPr>
            <w:r/>
            <w:r>
              <w:rPr>
                <w:sz w:val="16"/>
              </w:rPr>
              <w:t>34</w:t>
            </w:r>
          </w:p>
        </w:tc>
        <w:tc>
          <w:tcPr>
            <w:tcW w:type="dxa" w:w="792"/>
          </w:tcPr>
          <w:p>
            <w:pPr>
              <w:spacing w:after="0"/>
              <w:jc w:val="center"/>
            </w:pPr>
            <w:r/>
            <w:r>
              <w:rPr>
                <w:sz w:val="16"/>
              </w:rPr>
              <w:t>HT</w:t>
            </w:r>
          </w:p>
        </w:tc>
        <w:tc>
          <w:tcPr>
            <w:tcW w:type="dxa" w:w="1872"/>
          </w:tcPr>
          <w:p>
            <w:pPr>
              <w:spacing w:after="0"/>
              <w:jc w:val="center"/>
            </w:pPr>
            <w:r/>
            <w:r>
              <w:rPr>
                <w:sz w:val="16"/>
              </w:rPr>
              <w:t>Huobi Token</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35</w:t>
            </w:r>
          </w:p>
        </w:tc>
        <w:tc>
          <w:tcPr>
            <w:tcW w:type="dxa" w:w="792"/>
          </w:tcPr>
          <w:p>
            <w:pPr>
              <w:spacing w:after="0"/>
              <w:jc w:val="center"/>
            </w:pPr>
            <w:r/>
            <w:r>
              <w:rPr>
                <w:sz w:val="16"/>
              </w:rPr>
              <w:t>FIL</w:t>
            </w:r>
          </w:p>
        </w:tc>
        <w:tc>
          <w:tcPr>
            <w:tcW w:type="dxa" w:w="1872"/>
          </w:tcPr>
          <w:p>
            <w:pPr>
              <w:spacing w:after="0"/>
              <w:jc w:val="center"/>
            </w:pPr>
            <w:r/>
            <w:r>
              <w:rPr>
                <w:sz w:val="16"/>
              </w:rPr>
              <w:t>Filecoin</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36</w:t>
            </w:r>
          </w:p>
        </w:tc>
        <w:tc>
          <w:tcPr>
            <w:tcW w:type="dxa" w:w="792"/>
          </w:tcPr>
          <w:p>
            <w:pPr>
              <w:spacing w:after="0"/>
              <w:jc w:val="center"/>
            </w:pPr>
            <w:r/>
            <w:r>
              <w:rPr>
                <w:sz w:val="16"/>
              </w:rPr>
              <w:t>DASH</w:t>
            </w:r>
          </w:p>
        </w:tc>
        <w:tc>
          <w:tcPr>
            <w:tcW w:type="dxa" w:w="1872"/>
          </w:tcPr>
          <w:p>
            <w:pPr>
              <w:spacing w:after="0"/>
              <w:jc w:val="center"/>
            </w:pPr>
            <w:r/>
            <w:r>
              <w:rPr>
                <w:sz w:val="16"/>
              </w:rPr>
              <w:t>Dash</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37</w:t>
            </w:r>
          </w:p>
        </w:tc>
        <w:tc>
          <w:tcPr>
            <w:tcW w:type="dxa" w:w="792"/>
          </w:tcPr>
          <w:p>
            <w:pPr>
              <w:spacing w:after="0"/>
              <w:jc w:val="center"/>
            </w:pPr>
            <w:r/>
            <w:r>
              <w:rPr>
                <w:sz w:val="16"/>
              </w:rPr>
              <w:t>IOTA</w:t>
            </w:r>
          </w:p>
        </w:tc>
        <w:tc>
          <w:tcPr>
            <w:tcW w:type="dxa" w:w="1872"/>
          </w:tcPr>
          <w:p>
            <w:pPr>
              <w:spacing w:after="0"/>
              <w:jc w:val="center"/>
            </w:pPr>
            <w:r/>
            <w:r>
              <w:rPr>
                <w:sz w:val="16"/>
              </w:rPr>
              <w:t>IOTA</w:t>
            </w:r>
          </w:p>
        </w:tc>
        <w:tc>
          <w:tcPr>
            <w:tcW w:type="dxa" w:w="1080"/>
          </w:tcPr>
          <w:p>
            <w:pPr>
              <w:spacing w:after="0"/>
              <w:jc w:val="center"/>
            </w:pPr>
            <w:r/>
            <w:r>
              <w:rPr>
                <w:sz w:val="16"/>
              </w:rPr>
              <w:t>bitfinex</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38</w:t>
            </w:r>
          </w:p>
        </w:tc>
        <w:tc>
          <w:tcPr>
            <w:tcW w:type="dxa" w:w="792"/>
          </w:tcPr>
          <w:p>
            <w:pPr>
              <w:spacing w:after="0"/>
              <w:jc w:val="center"/>
            </w:pPr>
            <w:r/>
            <w:r>
              <w:rPr>
                <w:sz w:val="16"/>
              </w:rPr>
              <w:t>ETC</w:t>
            </w:r>
          </w:p>
        </w:tc>
        <w:tc>
          <w:tcPr>
            <w:tcW w:type="dxa" w:w="1872"/>
          </w:tcPr>
          <w:p>
            <w:pPr>
              <w:spacing w:after="0"/>
              <w:jc w:val="center"/>
            </w:pPr>
            <w:r/>
            <w:r>
              <w:rPr>
                <w:sz w:val="16"/>
              </w:rPr>
              <w:t>Ethereum Classic</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39</w:t>
            </w:r>
          </w:p>
        </w:tc>
        <w:tc>
          <w:tcPr>
            <w:tcW w:type="dxa" w:w="792"/>
          </w:tcPr>
          <w:p>
            <w:pPr>
              <w:spacing w:after="0"/>
              <w:jc w:val="center"/>
            </w:pPr>
            <w:r/>
            <w:r>
              <w:rPr>
                <w:sz w:val="16"/>
              </w:rPr>
              <w:t>ZIL</w:t>
            </w:r>
          </w:p>
        </w:tc>
        <w:tc>
          <w:tcPr>
            <w:tcW w:type="dxa" w:w="1872"/>
          </w:tcPr>
          <w:p>
            <w:pPr>
              <w:spacing w:after="0"/>
              <w:jc w:val="center"/>
            </w:pPr>
            <w:r/>
            <w:r>
              <w:rPr>
                <w:sz w:val="16"/>
              </w:rPr>
              <w:t>Zilliqa</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40</w:t>
            </w:r>
          </w:p>
        </w:tc>
        <w:tc>
          <w:tcPr>
            <w:tcW w:type="dxa" w:w="792"/>
          </w:tcPr>
          <w:p>
            <w:pPr>
              <w:spacing w:after="0"/>
              <w:jc w:val="center"/>
            </w:pPr>
            <w:r/>
            <w:r>
              <w:rPr>
                <w:sz w:val="16"/>
              </w:rPr>
              <w:t>YFI</w:t>
            </w:r>
          </w:p>
        </w:tc>
        <w:tc>
          <w:tcPr>
            <w:tcW w:type="dxa" w:w="1872"/>
          </w:tcPr>
          <w:p>
            <w:pPr>
              <w:spacing w:after="0"/>
              <w:jc w:val="center"/>
            </w:pPr>
            <w:r/>
            <w:r>
              <w:rPr>
                <w:sz w:val="16"/>
              </w:rPr>
              <w:t>yearn.finance</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41</w:t>
            </w:r>
          </w:p>
        </w:tc>
        <w:tc>
          <w:tcPr>
            <w:tcW w:type="dxa" w:w="792"/>
          </w:tcPr>
          <w:p>
            <w:pPr>
              <w:spacing w:after="0"/>
              <w:jc w:val="center"/>
            </w:pPr>
            <w:r/>
            <w:r>
              <w:rPr>
                <w:sz w:val="16"/>
              </w:rPr>
              <w:t>MKR</w:t>
            </w:r>
          </w:p>
        </w:tc>
        <w:tc>
          <w:tcPr>
            <w:tcW w:type="dxa" w:w="1872"/>
          </w:tcPr>
          <w:p>
            <w:pPr>
              <w:spacing w:after="0"/>
              <w:jc w:val="center"/>
            </w:pPr>
            <w:r/>
            <w:r>
              <w:rPr>
                <w:sz w:val="16"/>
              </w:rPr>
              <w:t>Maker</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2026-01-12</w:t>
            </w:r>
          </w:p>
        </w:tc>
        <w:tc>
          <w:tcPr>
            <w:tcW w:type="dxa" w:w="2376"/>
          </w:tcPr>
          <w:p>
            <w:pPr>
              <w:spacing w:after="0"/>
              <w:jc w:val="center"/>
            </w:pPr>
            <w:r/>
            <w:r>
              <w:rPr>
                <w:sz w:val="16"/>
              </w:rPr>
              <w:t>history ends (delisted / collapsed)</w:t>
            </w:r>
          </w:p>
        </w:tc>
      </w:tr>
      <w:tr>
        <w:tc>
          <w:tcPr>
            <w:tcW w:type="dxa" w:w="648"/>
          </w:tcPr>
          <w:p>
            <w:pPr>
              <w:spacing w:after="0"/>
            </w:pPr>
            <w:r/>
            <w:r>
              <w:rPr>
                <w:sz w:val="16"/>
              </w:rPr>
              <w:t>42</w:t>
            </w:r>
          </w:p>
        </w:tc>
        <w:tc>
          <w:tcPr>
            <w:tcW w:type="dxa" w:w="792"/>
          </w:tcPr>
          <w:p>
            <w:pPr>
              <w:spacing w:after="0"/>
              <w:jc w:val="center"/>
            </w:pPr>
            <w:r/>
            <w:r>
              <w:rPr>
                <w:sz w:val="16"/>
              </w:rPr>
              <w:t>FTT</w:t>
            </w:r>
          </w:p>
        </w:tc>
        <w:tc>
          <w:tcPr>
            <w:tcW w:type="dxa" w:w="1872"/>
          </w:tcPr>
          <w:p>
            <w:pPr>
              <w:spacing w:after="0"/>
              <w:jc w:val="center"/>
            </w:pPr>
            <w:r/>
            <w:r>
              <w:rPr>
                <w:sz w:val="16"/>
              </w:rPr>
              <w:t>FTX Token</w:t>
            </w:r>
          </w:p>
        </w:tc>
        <w:tc>
          <w:tcPr>
            <w:tcW w:type="dxa" w:w="1080"/>
          </w:tcPr>
          <w:p>
            <w:pPr>
              <w:spacing w:after="0"/>
              <w:jc w:val="center"/>
            </w:pPr>
            <w:r/>
            <w:r>
              <w:rPr>
                <w:sz w:val="16"/>
              </w:rPr>
              <w:t>bitfinex</w:t>
            </w:r>
          </w:p>
        </w:tc>
        <w:tc>
          <w:tcPr>
            <w:tcW w:type="dxa" w:w="1296"/>
          </w:tcPr>
          <w:p>
            <w:pPr>
              <w:spacing w:after="0"/>
              <w:jc w:val="center"/>
            </w:pPr>
            <w:r/>
            <w:r>
              <w:rPr>
                <w:sz w:val="16"/>
              </w:rPr>
              <w:t>2021-01-01</w:t>
            </w:r>
          </w:p>
        </w:tc>
        <w:tc>
          <w:tcPr>
            <w:tcW w:type="dxa" w:w="1296"/>
          </w:tcPr>
          <w:p>
            <w:pPr>
              <w:spacing w:after="0"/>
              <w:jc w:val="center"/>
            </w:pPr>
            <w:r/>
            <w:r>
              <w:rPr>
                <w:sz w:val="16"/>
              </w:rPr>
              <w:t>2022-11-29</w:t>
            </w:r>
          </w:p>
        </w:tc>
        <w:tc>
          <w:tcPr>
            <w:tcW w:type="dxa" w:w="2376"/>
          </w:tcPr>
          <w:p>
            <w:pPr>
              <w:spacing w:after="0"/>
              <w:jc w:val="center"/>
            </w:pPr>
            <w:r/>
            <w:r>
              <w:rPr>
                <w:sz w:val="16"/>
              </w:rPr>
              <w:t>history ends (delisted / collapsed)</w:t>
            </w:r>
          </w:p>
        </w:tc>
      </w:tr>
      <w:tr>
        <w:tc>
          <w:tcPr>
            <w:tcW w:type="dxa" w:w="648"/>
          </w:tcPr>
          <w:p>
            <w:pPr>
              <w:spacing w:after="0"/>
            </w:pPr>
            <w:r/>
            <w:r>
              <w:rPr>
                <w:sz w:val="16"/>
              </w:rPr>
              <w:t>43</w:t>
            </w:r>
          </w:p>
        </w:tc>
        <w:tc>
          <w:tcPr>
            <w:tcW w:type="dxa" w:w="792"/>
          </w:tcPr>
          <w:p>
            <w:pPr>
              <w:spacing w:after="0"/>
              <w:jc w:val="center"/>
            </w:pPr>
            <w:r/>
            <w:r>
              <w:rPr>
                <w:sz w:val="16"/>
              </w:rPr>
              <w:t>COMP</w:t>
            </w:r>
          </w:p>
        </w:tc>
        <w:tc>
          <w:tcPr>
            <w:tcW w:type="dxa" w:w="1872"/>
          </w:tcPr>
          <w:p>
            <w:pPr>
              <w:spacing w:after="0"/>
              <w:jc w:val="center"/>
            </w:pPr>
            <w:r/>
            <w:r>
              <w:rPr>
                <w:sz w:val="16"/>
              </w:rPr>
              <w:t>Compound</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44</w:t>
            </w:r>
          </w:p>
        </w:tc>
        <w:tc>
          <w:tcPr>
            <w:tcW w:type="dxa" w:w="792"/>
          </w:tcPr>
          <w:p>
            <w:pPr>
              <w:spacing w:after="0"/>
              <w:jc w:val="center"/>
            </w:pPr>
            <w:r/>
            <w:r>
              <w:rPr>
                <w:sz w:val="16"/>
              </w:rPr>
              <w:t>ZEC</w:t>
            </w:r>
          </w:p>
        </w:tc>
        <w:tc>
          <w:tcPr>
            <w:tcW w:type="dxa" w:w="1872"/>
          </w:tcPr>
          <w:p>
            <w:pPr>
              <w:spacing w:after="0"/>
              <w:jc w:val="center"/>
            </w:pPr>
            <w:r/>
            <w:r>
              <w:rPr>
                <w:sz w:val="16"/>
              </w:rPr>
              <w:t>Zcash</w:t>
            </w:r>
          </w:p>
        </w:tc>
        <w:tc>
          <w:tcPr>
            <w:tcW w:type="dxa" w:w="1080"/>
          </w:tcPr>
          <w:p>
            <w:pPr>
              <w:spacing w:after="0"/>
              <w:jc w:val="center"/>
            </w:pPr>
            <w:r/>
            <w:r>
              <w:rPr>
                <w:sz w:val="16"/>
              </w:rPr>
              <w:t>coinbase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r>
        <w:tc>
          <w:tcPr>
            <w:tcW w:type="dxa" w:w="648"/>
          </w:tcPr>
          <w:p>
            <w:pPr>
              <w:spacing w:after="0"/>
            </w:pPr>
            <w:r/>
            <w:r>
              <w:rPr>
                <w:sz w:val="16"/>
              </w:rPr>
              <w:t>45</w:t>
            </w:r>
          </w:p>
        </w:tc>
        <w:tc>
          <w:tcPr>
            <w:tcW w:type="dxa" w:w="792"/>
          </w:tcPr>
          <w:p>
            <w:pPr>
              <w:spacing w:after="0"/>
              <w:jc w:val="center"/>
            </w:pPr>
            <w:r/>
            <w:r>
              <w:rPr>
                <w:sz w:val="16"/>
              </w:rPr>
              <w:t>SUSHI</w:t>
            </w:r>
          </w:p>
        </w:tc>
        <w:tc>
          <w:tcPr>
            <w:tcW w:type="dxa" w:w="1872"/>
          </w:tcPr>
          <w:p>
            <w:pPr>
              <w:spacing w:after="0"/>
              <w:jc w:val="center"/>
            </w:pPr>
            <w:r/>
            <w:r>
              <w:rPr>
                <w:sz w:val="16"/>
              </w:rPr>
              <w:t>SushiSwap</w:t>
            </w:r>
          </w:p>
        </w:tc>
        <w:tc>
          <w:tcPr>
            <w:tcW w:type="dxa" w:w="1080"/>
          </w:tcPr>
          <w:p>
            <w:pPr>
              <w:spacing w:after="0"/>
              <w:jc w:val="center"/>
            </w:pPr>
            <w:r/>
            <w:r>
              <w:rPr>
                <w:sz w:val="16"/>
              </w:rPr>
              <w:t>gate</w:t>
            </w:r>
          </w:p>
        </w:tc>
        <w:tc>
          <w:tcPr>
            <w:tcW w:type="dxa" w:w="1296"/>
          </w:tcPr>
          <w:p>
            <w:pPr>
              <w:spacing w:after="0"/>
              <w:jc w:val="center"/>
            </w:pPr>
            <w:r/>
            <w:r>
              <w:rPr>
                <w:sz w:val="16"/>
              </w:rPr>
              <w:t>2021-01-01</w:t>
            </w:r>
          </w:p>
        </w:tc>
        <w:tc>
          <w:tcPr>
            <w:tcW w:type="dxa" w:w="1296"/>
          </w:tcPr>
          <w:p>
            <w:pPr>
              <w:spacing w:after="0"/>
              <w:jc w:val="center"/>
            </w:pPr>
            <w:r/>
            <w:r>
              <w:rPr>
                <w:sz w:val="16"/>
              </w:rPr>
              <w:t>2026-10-08</w:t>
            </w:r>
          </w:p>
        </w:tc>
        <w:tc>
          <w:tcPr>
            <w:tcW w:type="dxa" w:w="2376"/>
          </w:tcPr>
          <w:p>
            <w:pPr>
              <w:spacing w:after="0"/>
              <w:jc w:val="center"/>
            </w:pPr>
            <w:r/>
            <w:r>
              <w:rPr>
                <w:sz w:val="16"/>
              </w:rPr>
              <w:t>active</w:t>
            </w:r>
          </w:p>
        </w:tc>
      </w:tr>
    </w:tbl>
    <w:p>
      <w:pPr>
        <w:spacing w:after="40"/>
      </w:pPr>
    </w:p>
    <w:p>
      <w:pPr>
        <w:pStyle w:val="Heading2"/>
      </w:pPr>
      <w:r>
        <w:t>3.2 Prices and sources</w:t>
      </w:r>
    </w:p>
    <w:p>
      <w:pPr>
        <w:spacing w:after="120"/>
      </w:pPr>
      <w:r>
        <w:rPr>
          <w:b w:val="0"/>
          <w:i w:val="0"/>
        </w:rPr>
        <w:t>For each coin, daily candles were requested from three free public APIs - Coinbase Exchange (USD), KuCoin and Gate.io (USDT) and Bitfinex (USD) - and the source with the most complete history from January 2021 was used, breaking ties by dollar volume. The same source supplies hourly candles where available. USDT is treated as USD. Binance is geo-restricted from the research environment (HTTP 451). Bitfinex keeps the history of delisted pairs, which is how FTX Token (FTT, collapsed November 2022) enters the sample. Implied volatility is the Deribit DVOL index.</w:t>
      </w:r>
    </w:p>
    <w:p>
      <w:pPr>
        <w:spacing w:after="120"/>
      </w:pPr>
      <w:r>
        <w:rPr>
          <w:b w:val="0"/>
          <w:i w:val="0"/>
        </w:rPr>
        <w:t>Several coins trade thinly at their chosen venue (median daily dollar volume below $100,000 for XEM, CEL and FTT). Their prices are real but noisy, and a fund could not trade them at size; Section 11.3 discusses this. Prices are aligned to a daily calendar, gaps of up to three days are forward-filled, and simple close-to-close returns are used.</w:t>
      </w:r>
    </w:p>
    <w:p>
      <w:pPr>
        <w:pStyle w:val="Heading2"/>
      </w:pPr>
      <w:r>
        <w:t>3.3 Investment themes</w:t>
      </w:r>
    </w:p>
    <w:p>
      <w:pPr>
        <w:keepNext/>
        <w:spacing w:after="60"/>
      </w:pPr>
      <w:r>
        <w:rPr>
          <w:b/>
          <w:sz w:val="20"/>
        </w:rPr>
        <w:t>Table 4. Themes, assigned from each project's function rather than from returns.</w:t>
      </w:r>
    </w:p>
    <w:tbl>
      <w:tblPr>
        <w:tblStyle w:val="TableGrid"/>
        <w:tblW w:type="auto" w:w="0"/>
        <w:jc w:val="center"/>
        <w:tblLayout w:type="fixed"/>
        <w:tblLook w:firstColumn="1" w:firstRow="1" w:lastColumn="0" w:lastRow="0" w:noHBand="0" w:noVBand="1" w:val="04A0"/>
      </w:tblPr>
      <w:tblGrid>
        <w:gridCol w:w="2880"/>
        <w:gridCol w:w="6480"/>
      </w:tblGrid>
      <w:tr>
        <w:tc>
          <w:tcPr>
            <w:tcW w:type="dxa" w:w="2880"/>
            <w:shd w:val="clear" w:fill="1F3864"/>
          </w:tcPr>
          <w:p>
            <w:pPr>
              <w:jc w:val="left"/>
            </w:pPr>
            <w:r/>
            <w:r>
              <w:rPr>
                <w:b/>
                <w:color w:val="FFFFFF"/>
                <w:sz w:val="18"/>
              </w:rPr>
              <w:t>Theme</w:t>
            </w:r>
          </w:p>
        </w:tc>
        <w:tc>
          <w:tcPr>
            <w:tcW w:type="dxa" w:w="6480"/>
            <w:shd w:val="clear" w:fill="1F3864"/>
          </w:tcPr>
          <w:p>
            <w:pPr>
              <w:jc w:val="center"/>
            </w:pPr>
            <w:r/>
            <w:r>
              <w:rPr>
                <w:b/>
                <w:color w:val="FFFFFF"/>
                <w:sz w:val="18"/>
              </w:rPr>
              <w:t>Coins</w:t>
            </w:r>
          </w:p>
        </w:tc>
      </w:tr>
      <w:tr>
        <w:tc>
          <w:tcPr>
            <w:tcW w:type="dxa" w:w="2880"/>
          </w:tcPr>
          <w:p>
            <w:pPr>
              <w:spacing w:after="0"/>
            </w:pPr>
            <w:r/>
            <w:r>
              <w:rPr>
                <w:sz w:val="18"/>
              </w:rPr>
              <w:t>Payments &amp; Privacy</w:t>
            </w:r>
          </w:p>
        </w:tc>
        <w:tc>
          <w:tcPr>
            <w:tcW w:type="dxa" w:w="6480"/>
          </w:tcPr>
          <w:p>
            <w:pPr>
              <w:spacing w:after="0"/>
              <w:jc w:val="center"/>
            </w:pPr>
            <w:r/>
            <w:r>
              <w:rPr>
                <w:sz w:val="18"/>
              </w:rPr>
              <w:t>BTC, LTC, BCH, BSV, XRP, XLM, DOGE, DASH, ZEC, XMR, XEM</w:t>
            </w:r>
          </w:p>
        </w:tc>
      </w:tr>
      <w:tr>
        <w:tc>
          <w:tcPr>
            <w:tcW w:type="dxa" w:w="2880"/>
          </w:tcPr>
          <w:p>
            <w:pPr>
              <w:spacing w:after="0"/>
            </w:pPr>
            <w:r/>
            <w:r>
              <w:rPr>
                <w:sz w:val="18"/>
              </w:rPr>
              <w:t>Smart-Contract Platforms</w:t>
            </w:r>
          </w:p>
        </w:tc>
        <w:tc>
          <w:tcPr>
            <w:tcW w:type="dxa" w:w="6480"/>
          </w:tcPr>
          <w:p>
            <w:pPr>
              <w:spacing w:after="0"/>
              <w:jc w:val="center"/>
            </w:pPr>
            <w:r/>
            <w:r>
              <w:rPr>
                <w:sz w:val="18"/>
              </w:rPr>
              <w:t>ETH, ADA, DOT, EOS, TRX, XTZ, ATOM, NEO, ETC, ZIL</w:t>
            </w:r>
          </w:p>
        </w:tc>
      </w:tr>
      <w:tr>
        <w:tc>
          <w:tcPr>
            <w:tcW w:type="dxa" w:w="2880"/>
          </w:tcPr>
          <w:p>
            <w:pPr>
              <w:spacing w:after="0"/>
            </w:pPr>
            <w:r/>
            <w:r>
              <w:rPr>
                <w:sz w:val="18"/>
              </w:rPr>
              <w:t>DeFi &amp; Oracle</w:t>
            </w:r>
          </w:p>
        </w:tc>
        <w:tc>
          <w:tcPr>
            <w:tcW w:type="dxa" w:w="6480"/>
          </w:tcPr>
          <w:p>
            <w:pPr>
              <w:spacing w:after="0"/>
              <w:jc w:val="center"/>
            </w:pPr>
            <w:r/>
            <w:r>
              <w:rPr>
                <w:sz w:val="18"/>
              </w:rPr>
              <w:t>UNI, AAVE, SNX, YFI, MKR, COMP, SUSHI, LINK</w:t>
            </w:r>
          </w:p>
        </w:tc>
      </w:tr>
      <w:tr>
        <w:tc>
          <w:tcPr>
            <w:tcW w:type="dxa" w:w="2880"/>
          </w:tcPr>
          <w:p>
            <w:pPr>
              <w:spacing w:after="0"/>
            </w:pPr>
            <w:r/>
            <w:r>
              <w:rPr>
                <w:sz w:val="18"/>
              </w:rPr>
              <w:t>Exchange &amp; CeFi Tokens</w:t>
            </w:r>
          </w:p>
        </w:tc>
        <w:tc>
          <w:tcPr>
            <w:tcW w:type="dxa" w:w="6480"/>
          </w:tcPr>
          <w:p>
            <w:pPr>
              <w:spacing w:after="0"/>
              <w:jc w:val="center"/>
            </w:pPr>
            <w:r/>
            <w:r>
              <w:rPr>
                <w:sz w:val="18"/>
              </w:rPr>
              <w:t>BNB, LEO, CRO, HT, FTT, CEL</w:t>
            </w:r>
          </w:p>
        </w:tc>
      </w:tr>
      <w:tr>
        <w:tc>
          <w:tcPr>
            <w:tcW w:type="dxa" w:w="2880"/>
          </w:tcPr>
          <w:p>
            <w:pPr>
              <w:spacing w:after="0"/>
            </w:pPr>
            <w:r/>
            <w:r>
              <w:rPr>
                <w:sz w:val="18"/>
              </w:rPr>
              <w:t>Data, IoT &amp; Media</w:t>
            </w:r>
          </w:p>
        </w:tc>
        <w:tc>
          <w:tcPr>
            <w:tcW w:type="dxa" w:w="6480"/>
          </w:tcPr>
          <w:p>
            <w:pPr>
              <w:spacing w:after="0"/>
              <w:jc w:val="center"/>
            </w:pPr>
            <w:r/>
            <w:r>
              <w:rPr>
                <w:sz w:val="18"/>
              </w:rPr>
              <w:t>THETA, FIL, VET, IOTA</w:t>
            </w:r>
          </w:p>
        </w:tc>
      </w:tr>
    </w:tbl>
    <w:p>
      <w:pPr>
        <w:spacing w:after="40"/>
      </w:pPr>
    </w:p>
    <w:p>
      <w:pPr>
        <w:pStyle w:val="Heading1"/>
      </w:pPr>
      <w:r>
        <w:t>4. Backtest Methodology</w:t>
      </w:r>
    </w:p>
    <w:p>
      <w:pPr>
        <w:pStyle w:val="Heading2"/>
      </w:pPr>
      <w:r>
        <w:t>4.1 Unconstrained backtest</w:t>
      </w:r>
    </w:p>
    <w:p>
      <w:pPr>
        <w:spacing w:after="120"/>
      </w:pPr>
      <w:r>
        <w:rPr>
          <w:b w:val="0"/>
          <w:i w:val="0"/>
        </w:rPr>
        <w:t>Each day a signal is turned into weights using information up to that day's close; the weights earn the next day's return, so there is no look-ahead. Gross exposure (sum of absolute weights) is one. Cross-sectional strategies are dollar-neutral, with weights proportional to each coin's demeaned rank. Time-series strategies hold each coin long or short on its own signal, scaled by the inverse of its 30-day volatility. src/minimal_backtest.py reproduces this in about 60 lines and checks itself against the engine.</w:t>
      </w:r>
    </w:p>
    <w:p>
      <w:pPr>
        <w:pStyle w:val="Heading2"/>
      </w:pPr>
      <w:r>
        <w:t>4.2 Costs</w:t>
      </w:r>
    </w:p>
    <w:p>
      <w:pPr>
        <w:spacing w:after="120"/>
      </w:pPr>
      <w:r>
        <w:rPr>
          <w:b w:val="0"/>
          <w:i w:val="0"/>
        </w:rPr>
        <w:t>Costs follow the brief: 20 bps per unit of turnover for market orders and 7 bps for limit orders. Momentum-direction strategies are charged 20 bps because they chase price and need immediate fills. Reversal-direction strategies are charged 7 bps because they buy what has fallen and sell what has risen, supplying liquidity, and they trade slowly enough to work passive orders. Every result is also shown with all trades at 20 bps.</w:t>
      </w:r>
    </w:p>
    <w:p>
      <w:pPr>
        <w:pStyle w:val="Heading2"/>
      </w:pPr>
      <w:r>
        <w:t>4.3 Metrics</w:t>
      </w:r>
    </w:p>
    <w:p>
      <w:pPr>
        <w:spacing w:after="120"/>
      </w:pPr>
      <w:r>
        <w:rPr>
          <w:b w:val="0"/>
          <w:i w:val="0"/>
        </w:rPr>
        <w:t>Following the class convention, Sharpe = mean / standard deviation x sqrt(252) on daily returns, and annual return, volatility and alpha use 252 days. Crypto trades 365 days a year, so these are a common yardstick across projects rather than calendar-year figures (multiply by sqrt(365/252) = 1.20 for the calendar Sharpe). Alpha, beta and correlation come from daily returns against Bitcoin; the alpha t-statistic uses Newey-West (5-lag) standard errors. Maximum drawdown and CAGR use actual compounded returns.</w:t>
      </w:r>
    </w:p>
    <w:p>
      <w:pPr>
        <w:pStyle w:val="Heading2"/>
      </w:pPr>
      <w:r>
        <w:t>4.4 Pre-registered protocol</w:t>
      </w:r>
    </w:p>
    <w:p>
      <w:pPr>
        <w:spacing w:after="120"/>
      </w:pPr>
      <w:r>
        <w:rPr>
          <w:b w:val="0"/>
          <w:i w:val="0"/>
        </w:rPr>
        <w:t>The research period is 2021-07-01 to 2023-12-31; the hold-out is 2024-01-01 onward. The protocol, written before the hold-out was examined, makes every decision mechanically from research-period data:</w:t>
      </w:r>
    </w:p>
    <w:p>
      <w:pPr>
        <w:pStyle w:val="ListBullet"/>
      </w:pPr>
      <w:r>
        <w:rPr>
          <w:b/>
        </w:rPr>
        <w:t xml:space="preserve">Signals: </w:t>
      </w:r>
      <w:r>
        <w:t>51 signal variants across seven families - cross-sectional return (1-120 days, with and without a 14-day skip and volume weighting), time-series return (with and without a DVOL filter), theme return, residual versus the market, residual versus the coin's theme, short-term reversal in high-volatility regimes, and cointegrated pairs.</w:t>
      </w:r>
    </w:p>
    <w:p>
      <w:pPr>
        <w:pStyle w:val="ListBullet"/>
      </w:pPr>
      <w:r>
        <w:rPr>
          <w:b/>
        </w:rPr>
        <w:t xml:space="preserve">Direction: </w:t>
      </w:r>
      <w:r>
        <w:t>each signal's direction - follow it (momentum) or fade it (reversal) - is the sign of its research-period gross Sharpe. Nothing about direction is chosen by hand.</w:t>
      </w:r>
    </w:p>
    <w:p>
      <w:pPr>
        <w:pStyle w:val="ListBullet"/>
      </w:pPr>
      <w:r>
        <w:rPr>
          <w:b/>
        </w:rPr>
        <w:t xml:space="preserve">Candidates: </w:t>
      </w:r>
      <w:r>
        <w:t>every signal is crossed with a grid of holding periods, giving 167 candidates, each charged its book's cost.</w:t>
      </w:r>
    </w:p>
    <w:p>
      <w:pPr>
        <w:pStyle w:val="ListBullet"/>
      </w:pPr>
      <w:r>
        <w:rPr>
          <w:b/>
        </w:rPr>
        <w:t xml:space="preserve">Books: </w:t>
      </w:r>
      <w:r>
        <w:t>in each book (momentum, reversal) the best variant of each family is kept if its research-period net Sharpe is positive; the book is an equal-weight ensemble of the top three families.</w:t>
      </w:r>
    </w:p>
    <w:p>
      <w:pPr>
        <w:pStyle w:val="ListBullet"/>
      </w:pPr>
      <w:r>
        <w:rPr>
          <w:b/>
        </w:rPr>
        <w:t xml:space="preserve">Execution and weighting: </w:t>
      </w:r>
      <w:r>
        <w:t>the execution rule (holding period or no-trade band) for each book and the weighting method for combining the books are chosen by research-period Sharpe.</w:t>
      </w:r>
    </w:p>
    <w:p>
      <w:pPr>
        <w:spacing w:after="120"/>
      </w:pPr>
      <w:r>
        <w:rPr>
          <w:b w:val="0"/>
          <w:i w:val="0"/>
        </w:rPr>
        <w:t>Exploration tables in Sections 5-6 show both periods for transparency, but only the research-period columns feed any decision. One caveat remains: version 1 results on a different 16-coin universe were seen before this protocol was written, and the protocol's ingredients (for example the DVOL filter and skip-period signals) were informed by that work. Because version 2 selects among them mechanically on 2021-2023 data, that influence is limited to which ingredients were available, not which were chosen.</w:t>
      </w:r>
    </w:p>
    <w:p>
      <w:pPr>
        <w:pStyle w:val="Heading1"/>
      </w:pPr>
      <w:r>
        <w:t>5. Momentum Research (Research Period)</w:t>
      </w:r>
    </w:p>
    <w:p>
      <w:pPr>
        <w:pStyle w:val="Heading2"/>
      </w:pPr>
      <w:r>
        <w:t>5.1 Time horizon</w:t>
      </w:r>
    </w:p>
    <w:p>
      <w:pPr>
        <w:keepNext/>
        <w:jc w:val="center"/>
      </w:pPr>
      <w:r>
        <w:drawing>
          <wp:inline xmlns:a="http://schemas.openxmlformats.org/drawingml/2006/main" xmlns:pic="http://schemas.openxmlformats.org/drawingml/2006/picture">
            <wp:extent cx="5760720" cy="2112264"/>
            <wp:docPr id="1" name="Picture 1"/>
            <wp:cNvGraphicFramePr>
              <a:graphicFrameLocks noChangeAspect="1"/>
            </wp:cNvGraphicFramePr>
            <a:graphic>
              <a:graphicData uri="http://schemas.openxmlformats.org/drawingml/2006/picture">
                <pic:pic>
                  <pic:nvPicPr>
                    <pic:cNvPr id="0" name="A_horizon_scan.png"/>
                    <pic:cNvPicPr/>
                  </pic:nvPicPr>
                  <pic:blipFill>
                    <a:blip r:embed="rId9"/>
                    <a:stretch>
                      <a:fillRect/>
                    </a:stretch>
                  </pic:blipFill>
                  <pic:spPr>
                    <a:xfrm>
                      <a:off x="0" y="0"/>
                      <a:ext cx="5760720" cy="2112264"/>
                    </a:xfrm>
                    <a:prstGeom prst="rect"/>
                  </pic:spPr>
                </pic:pic>
              </a:graphicData>
            </a:graphic>
          </wp:inline>
        </w:drawing>
      </w:r>
    </w:p>
    <w:p>
      <w:pPr>
        <w:spacing w:after="200"/>
        <w:jc w:val="center"/>
      </w:pPr>
      <w:r>
        <w:rPr>
          <w:i/>
          <w:sz w:val="19"/>
        </w:rPr>
        <w:t>Figure 1. Gross Sharpe of momentum-sign strategies by look-back. Dark bars (research period) drive decisions; light bars (hold-out) are shown only for transparency.</w:t>
      </w:r>
    </w:p>
    <w:p>
      <w:pPr>
        <w:spacing w:after="120"/>
      </w:pPr>
      <w:r>
        <w:rPr>
          <w:b w:val="0"/>
          <w:i w:val="0"/>
        </w:rPr>
        <w:t>In the research period the cross-sectional signal is reversal at 1-5 days (gross Sharpe -0.85 at 1 day, -0.59 at 5 days), flat at 7-14 days, and reversal again at 21-120 days (-0.75 at 90 days). Time-series momentum is positive at 7, 14 and 30 days (0.35 at 7 days, 0.39 at 14, 0.45 at 30; 21 days is slightly negative at -0.10) and turns to reversal at 60-120 days. With a broad survivorship-free universe, the brief's equity intuition - reversal at short horizons, momentum at medium ones - holds for the cross-section in crypto too, unlike the 16-coin result in version 1.</w:t>
      </w:r>
    </w:p>
    <w:p>
      <w:pPr>
        <w:keepNext/>
        <w:spacing w:after="60"/>
      </w:pPr>
      <w:r>
        <w:rPr>
          <w:b/>
          <w:sz w:val="20"/>
        </w:rPr>
        <w:t>Table 5. Horizon scan (momentum sign; negative = reversal). IS = research period, OOS = hold-out.</w:t>
      </w:r>
    </w:p>
    <w:tbl>
      <w:tblPr>
        <w:tblStyle w:val="TableGrid"/>
        <w:tblW w:type="auto" w:w="0"/>
        <w:jc w:val="center"/>
        <w:tblLayout w:type="fixed"/>
        <w:tblLook w:firstColumn="1" w:firstRow="1" w:lastColumn="0" w:lastRow="0" w:noHBand="0" w:noVBand="1" w:val="04A0"/>
      </w:tblPr>
      <w:tblGrid>
        <w:gridCol w:w="1007"/>
        <w:gridCol w:w="1152"/>
        <w:gridCol w:w="1224"/>
        <w:gridCol w:w="1152"/>
        <w:gridCol w:w="1152"/>
        <w:gridCol w:w="1224"/>
        <w:gridCol w:w="1224"/>
        <w:gridCol w:w="1152"/>
      </w:tblGrid>
      <w:tr>
        <w:tc>
          <w:tcPr>
            <w:tcW w:type="dxa" w:w="1008"/>
            <w:shd w:val="clear" w:fill="1F3864"/>
          </w:tcPr>
          <w:p>
            <w:pPr>
              <w:jc w:val="left"/>
            </w:pPr>
            <w:r/>
            <w:r>
              <w:rPr>
                <w:b/>
                <w:color w:val="FFFFFF"/>
                <w:sz w:val="17"/>
              </w:rPr>
              <w:t>Look-back</w:t>
            </w:r>
          </w:p>
        </w:tc>
        <w:tc>
          <w:tcPr>
            <w:tcW w:type="dxa" w:w="1152"/>
            <w:shd w:val="clear" w:fill="1F3864"/>
          </w:tcPr>
          <w:p>
            <w:pPr>
              <w:jc w:val="center"/>
            </w:pPr>
            <w:r/>
            <w:r>
              <w:rPr>
                <w:b/>
                <w:color w:val="FFFFFF"/>
                <w:sz w:val="17"/>
              </w:rPr>
              <w:t>CS gross IS</w:t>
            </w:r>
          </w:p>
        </w:tc>
        <w:tc>
          <w:tcPr>
            <w:tcW w:type="dxa" w:w="1224"/>
            <w:shd w:val="clear" w:fill="1F3864"/>
          </w:tcPr>
          <w:p>
            <w:pPr>
              <w:jc w:val="center"/>
            </w:pPr>
            <w:r/>
            <w:r>
              <w:rPr>
                <w:b/>
                <w:color w:val="FFFFFF"/>
                <w:sz w:val="17"/>
              </w:rPr>
              <w:t>CS gross OOS</w:t>
            </w:r>
          </w:p>
        </w:tc>
        <w:tc>
          <w:tcPr>
            <w:tcW w:type="dxa" w:w="1152"/>
            <w:shd w:val="clear" w:fill="1F3864"/>
          </w:tcPr>
          <w:p>
            <w:pPr>
              <w:jc w:val="center"/>
            </w:pPr>
            <w:r/>
            <w:r>
              <w:rPr>
                <w:b/>
                <w:color w:val="FFFFFF"/>
                <w:sz w:val="17"/>
              </w:rPr>
              <w:t>CS net 7 IS</w:t>
            </w:r>
          </w:p>
        </w:tc>
        <w:tc>
          <w:tcPr>
            <w:tcW w:type="dxa" w:w="1152"/>
            <w:shd w:val="clear" w:fill="1F3864"/>
          </w:tcPr>
          <w:p>
            <w:pPr>
              <w:jc w:val="center"/>
            </w:pPr>
            <w:r/>
            <w:r>
              <w:rPr>
                <w:b/>
                <w:color w:val="FFFFFF"/>
                <w:sz w:val="17"/>
              </w:rPr>
              <w:t>TS gross IS</w:t>
            </w:r>
          </w:p>
        </w:tc>
        <w:tc>
          <w:tcPr>
            <w:tcW w:type="dxa" w:w="1224"/>
            <w:shd w:val="clear" w:fill="1F3864"/>
          </w:tcPr>
          <w:p>
            <w:pPr>
              <w:jc w:val="center"/>
            </w:pPr>
            <w:r/>
            <w:r>
              <w:rPr>
                <w:b/>
                <w:color w:val="FFFFFF"/>
                <w:sz w:val="17"/>
              </w:rPr>
              <w:t>TS gross OOS</w:t>
            </w:r>
          </w:p>
        </w:tc>
        <w:tc>
          <w:tcPr>
            <w:tcW w:type="dxa" w:w="1224"/>
            <w:shd w:val="clear" w:fill="1F3864"/>
          </w:tcPr>
          <w:p>
            <w:pPr>
              <w:jc w:val="center"/>
            </w:pPr>
            <w:r/>
            <w:r>
              <w:rPr>
                <w:b/>
                <w:color w:val="FFFFFF"/>
                <w:sz w:val="17"/>
              </w:rPr>
              <w:t>TS net 20 IS</w:t>
            </w:r>
          </w:p>
        </w:tc>
        <w:tc>
          <w:tcPr>
            <w:tcW w:type="dxa" w:w="1152"/>
            <w:shd w:val="clear" w:fill="1F3864"/>
          </w:tcPr>
          <w:p>
            <w:pPr>
              <w:jc w:val="center"/>
            </w:pPr>
            <w:r/>
            <w:r>
              <w:rPr>
                <w:b/>
                <w:color w:val="FFFFFF"/>
                <w:sz w:val="17"/>
              </w:rPr>
              <w:t>CS turnover</w:t>
            </w:r>
          </w:p>
        </w:tc>
      </w:tr>
      <w:tr>
        <w:tc>
          <w:tcPr>
            <w:tcW w:type="dxa" w:w="1008"/>
          </w:tcPr>
          <w:p>
            <w:pPr>
              <w:spacing w:after="0"/>
            </w:pPr>
            <w:r/>
            <w:r>
              <w:rPr>
                <w:sz w:val="17"/>
              </w:rPr>
              <w:t>1 d</w:t>
            </w:r>
          </w:p>
        </w:tc>
        <w:tc>
          <w:tcPr>
            <w:tcW w:type="dxa" w:w="1152"/>
          </w:tcPr>
          <w:p>
            <w:pPr>
              <w:spacing w:after="0"/>
              <w:jc w:val="center"/>
            </w:pPr>
            <w:r/>
            <w:r>
              <w:rPr>
                <w:sz w:val="17"/>
              </w:rPr>
              <w:t>-0.85</w:t>
            </w:r>
          </w:p>
        </w:tc>
        <w:tc>
          <w:tcPr>
            <w:tcW w:type="dxa" w:w="1224"/>
          </w:tcPr>
          <w:p>
            <w:pPr>
              <w:spacing w:after="0"/>
              <w:jc w:val="center"/>
            </w:pPr>
            <w:r/>
            <w:r>
              <w:rPr>
                <w:sz w:val="17"/>
              </w:rPr>
              <w:t>-0.37</w:t>
            </w:r>
          </w:p>
        </w:tc>
        <w:tc>
          <w:tcPr>
            <w:tcW w:type="dxa" w:w="1152"/>
          </w:tcPr>
          <w:p>
            <w:pPr>
              <w:spacing w:after="0"/>
              <w:jc w:val="center"/>
            </w:pPr>
            <w:r/>
            <w:r>
              <w:rPr>
                <w:sz w:val="17"/>
              </w:rPr>
              <w:t>-2.36</w:t>
            </w:r>
          </w:p>
        </w:tc>
        <w:tc>
          <w:tcPr>
            <w:tcW w:type="dxa" w:w="1152"/>
          </w:tcPr>
          <w:p>
            <w:pPr>
              <w:spacing w:after="0"/>
              <w:jc w:val="center"/>
            </w:pPr>
            <w:r/>
            <w:r>
              <w:rPr>
                <w:sz w:val="17"/>
              </w:rPr>
              <w:t>-0.86</w:t>
            </w:r>
          </w:p>
        </w:tc>
        <w:tc>
          <w:tcPr>
            <w:tcW w:type="dxa" w:w="1224"/>
          </w:tcPr>
          <w:p>
            <w:pPr>
              <w:spacing w:after="0"/>
              <w:jc w:val="center"/>
            </w:pPr>
            <w:r/>
            <w:r>
              <w:rPr>
                <w:sz w:val="17"/>
              </w:rPr>
              <w:t>0.43</w:t>
            </w:r>
          </w:p>
        </w:tc>
        <w:tc>
          <w:tcPr>
            <w:tcW w:type="dxa" w:w="1224"/>
          </w:tcPr>
          <w:p>
            <w:pPr>
              <w:spacing w:after="0"/>
              <w:jc w:val="center"/>
            </w:pPr>
            <w:r/>
            <w:r>
              <w:rPr>
                <w:sz w:val="17"/>
              </w:rPr>
              <w:t>-2.12</w:t>
            </w:r>
          </w:p>
        </w:tc>
        <w:tc>
          <w:tcPr>
            <w:tcW w:type="dxa" w:w="1152"/>
          </w:tcPr>
          <w:p>
            <w:pPr>
              <w:spacing w:after="0"/>
              <w:jc w:val="center"/>
            </w:pPr>
            <w:r/>
            <w:r>
              <w:rPr>
                <w:sz w:val="17"/>
              </w:rPr>
              <w:t>1.33</w:t>
            </w:r>
          </w:p>
        </w:tc>
      </w:tr>
      <w:tr>
        <w:tc>
          <w:tcPr>
            <w:tcW w:type="dxa" w:w="1008"/>
          </w:tcPr>
          <w:p>
            <w:pPr>
              <w:spacing w:after="0"/>
            </w:pPr>
            <w:r/>
            <w:r>
              <w:rPr>
                <w:sz w:val="17"/>
              </w:rPr>
              <w:t>3 d</w:t>
            </w:r>
          </w:p>
        </w:tc>
        <w:tc>
          <w:tcPr>
            <w:tcW w:type="dxa" w:w="1152"/>
          </w:tcPr>
          <w:p>
            <w:pPr>
              <w:spacing w:after="0"/>
              <w:jc w:val="center"/>
            </w:pPr>
            <w:r/>
            <w:r>
              <w:rPr>
                <w:sz w:val="17"/>
              </w:rPr>
              <w:t>-0.55</w:t>
            </w:r>
          </w:p>
        </w:tc>
        <w:tc>
          <w:tcPr>
            <w:tcW w:type="dxa" w:w="1224"/>
          </w:tcPr>
          <w:p>
            <w:pPr>
              <w:spacing w:after="0"/>
              <w:jc w:val="center"/>
            </w:pPr>
            <w:r/>
            <w:r>
              <w:rPr>
                <w:sz w:val="17"/>
              </w:rPr>
              <w:t>-0.40</w:t>
            </w:r>
          </w:p>
        </w:tc>
        <w:tc>
          <w:tcPr>
            <w:tcW w:type="dxa" w:w="1152"/>
          </w:tcPr>
          <w:p>
            <w:pPr>
              <w:spacing w:after="0"/>
              <w:jc w:val="center"/>
            </w:pPr>
            <w:r/>
            <w:r>
              <w:rPr>
                <w:sz w:val="17"/>
              </w:rPr>
              <w:t>-1.42</w:t>
            </w:r>
          </w:p>
        </w:tc>
        <w:tc>
          <w:tcPr>
            <w:tcW w:type="dxa" w:w="1152"/>
          </w:tcPr>
          <w:p>
            <w:pPr>
              <w:spacing w:after="0"/>
              <w:jc w:val="center"/>
            </w:pPr>
            <w:r/>
            <w:r>
              <w:rPr>
                <w:sz w:val="17"/>
              </w:rPr>
              <w:t>-0.13</w:t>
            </w:r>
          </w:p>
        </w:tc>
        <w:tc>
          <w:tcPr>
            <w:tcW w:type="dxa" w:w="1224"/>
          </w:tcPr>
          <w:p>
            <w:pPr>
              <w:spacing w:after="0"/>
              <w:jc w:val="center"/>
            </w:pPr>
            <w:r/>
            <w:r>
              <w:rPr>
                <w:sz w:val="17"/>
              </w:rPr>
              <w:t>0.13</w:t>
            </w:r>
          </w:p>
        </w:tc>
        <w:tc>
          <w:tcPr>
            <w:tcW w:type="dxa" w:w="1224"/>
          </w:tcPr>
          <w:p>
            <w:pPr>
              <w:spacing w:after="0"/>
              <w:jc w:val="center"/>
            </w:pPr>
            <w:r/>
            <w:r>
              <w:rPr>
                <w:sz w:val="17"/>
              </w:rPr>
              <w:t>-0.84</w:t>
            </w:r>
          </w:p>
        </w:tc>
        <w:tc>
          <w:tcPr>
            <w:tcW w:type="dxa" w:w="1152"/>
          </w:tcPr>
          <w:p>
            <w:pPr>
              <w:spacing w:after="0"/>
              <w:jc w:val="center"/>
            </w:pPr>
            <w:r/>
            <w:r>
              <w:rPr>
                <w:sz w:val="17"/>
              </w:rPr>
              <w:t>0.77</w:t>
            </w:r>
          </w:p>
        </w:tc>
      </w:tr>
      <w:tr>
        <w:tc>
          <w:tcPr>
            <w:tcW w:type="dxa" w:w="1008"/>
          </w:tcPr>
          <w:p>
            <w:pPr>
              <w:spacing w:after="0"/>
            </w:pPr>
            <w:r/>
            <w:r>
              <w:rPr>
                <w:sz w:val="17"/>
              </w:rPr>
              <w:t>7 d</w:t>
            </w:r>
          </w:p>
        </w:tc>
        <w:tc>
          <w:tcPr>
            <w:tcW w:type="dxa" w:w="1152"/>
          </w:tcPr>
          <w:p>
            <w:pPr>
              <w:spacing w:after="0"/>
              <w:jc w:val="center"/>
            </w:pPr>
            <w:r/>
            <w:r>
              <w:rPr>
                <w:sz w:val="17"/>
              </w:rPr>
              <w:t>0.01</w:t>
            </w:r>
          </w:p>
        </w:tc>
        <w:tc>
          <w:tcPr>
            <w:tcW w:type="dxa" w:w="1224"/>
          </w:tcPr>
          <w:p>
            <w:pPr>
              <w:spacing w:after="0"/>
              <w:jc w:val="center"/>
            </w:pPr>
            <w:r/>
            <w:r>
              <w:rPr>
                <w:sz w:val="17"/>
              </w:rPr>
              <w:t>-0.17</w:t>
            </w:r>
          </w:p>
        </w:tc>
        <w:tc>
          <w:tcPr>
            <w:tcW w:type="dxa" w:w="1152"/>
          </w:tcPr>
          <w:p>
            <w:pPr>
              <w:spacing w:after="0"/>
              <w:jc w:val="center"/>
            </w:pPr>
            <w:r/>
            <w:r>
              <w:rPr>
                <w:sz w:val="17"/>
              </w:rPr>
              <w:t>-0.56</w:t>
            </w:r>
          </w:p>
        </w:tc>
        <w:tc>
          <w:tcPr>
            <w:tcW w:type="dxa" w:w="1152"/>
          </w:tcPr>
          <w:p>
            <w:pPr>
              <w:spacing w:after="0"/>
              <w:jc w:val="center"/>
            </w:pPr>
            <w:r/>
            <w:r>
              <w:rPr>
                <w:sz w:val="17"/>
              </w:rPr>
              <w:t>0.35</w:t>
            </w:r>
          </w:p>
        </w:tc>
        <w:tc>
          <w:tcPr>
            <w:tcW w:type="dxa" w:w="1224"/>
          </w:tcPr>
          <w:p>
            <w:pPr>
              <w:spacing w:after="0"/>
              <w:jc w:val="center"/>
            </w:pPr>
            <w:r/>
            <w:r>
              <w:rPr>
                <w:sz w:val="17"/>
              </w:rPr>
              <w:t>0.43</w:t>
            </w:r>
          </w:p>
        </w:tc>
        <w:tc>
          <w:tcPr>
            <w:tcW w:type="dxa" w:w="1224"/>
          </w:tcPr>
          <w:p>
            <w:pPr>
              <w:spacing w:after="0"/>
              <w:jc w:val="center"/>
            </w:pPr>
            <w:r/>
            <w:r>
              <w:rPr>
                <w:sz w:val="17"/>
              </w:rPr>
              <w:t>-0.12</w:t>
            </w:r>
          </w:p>
        </w:tc>
        <w:tc>
          <w:tcPr>
            <w:tcW w:type="dxa" w:w="1152"/>
          </w:tcPr>
          <w:p>
            <w:pPr>
              <w:spacing w:after="0"/>
              <w:jc w:val="center"/>
            </w:pPr>
            <w:r/>
            <w:r>
              <w:rPr>
                <w:sz w:val="17"/>
              </w:rPr>
              <w:t>0.51</w:t>
            </w:r>
          </w:p>
        </w:tc>
      </w:tr>
      <w:tr>
        <w:tc>
          <w:tcPr>
            <w:tcW w:type="dxa" w:w="1008"/>
          </w:tcPr>
          <w:p>
            <w:pPr>
              <w:spacing w:after="0"/>
            </w:pPr>
            <w:r/>
            <w:r>
              <w:rPr>
                <w:sz w:val="17"/>
              </w:rPr>
              <w:t>14 d</w:t>
            </w:r>
          </w:p>
        </w:tc>
        <w:tc>
          <w:tcPr>
            <w:tcW w:type="dxa" w:w="1152"/>
          </w:tcPr>
          <w:p>
            <w:pPr>
              <w:spacing w:after="0"/>
              <w:jc w:val="center"/>
            </w:pPr>
            <w:r/>
            <w:r>
              <w:rPr>
                <w:sz w:val="17"/>
              </w:rPr>
              <w:t>0.02</w:t>
            </w:r>
          </w:p>
        </w:tc>
        <w:tc>
          <w:tcPr>
            <w:tcW w:type="dxa" w:w="1224"/>
          </w:tcPr>
          <w:p>
            <w:pPr>
              <w:spacing w:after="0"/>
              <w:jc w:val="center"/>
            </w:pPr>
            <w:r/>
            <w:r>
              <w:rPr>
                <w:sz w:val="17"/>
              </w:rPr>
              <w:t>-0.01</w:t>
            </w:r>
          </w:p>
        </w:tc>
        <w:tc>
          <w:tcPr>
            <w:tcW w:type="dxa" w:w="1152"/>
          </w:tcPr>
          <w:p>
            <w:pPr>
              <w:spacing w:after="0"/>
              <w:jc w:val="center"/>
            </w:pPr>
            <w:r/>
            <w:r>
              <w:rPr>
                <w:sz w:val="17"/>
              </w:rPr>
              <w:t>-0.39</w:t>
            </w:r>
          </w:p>
        </w:tc>
        <w:tc>
          <w:tcPr>
            <w:tcW w:type="dxa" w:w="1152"/>
          </w:tcPr>
          <w:p>
            <w:pPr>
              <w:spacing w:after="0"/>
              <w:jc w:val="center"/>
            </w:pPr>
            <w:r/>
            <w:r>
              <w:rPr>
                <w:sz w:val="17"/>
              </w:rPr>
              <w:t>0.39</w:t>
            </w:r>
          </w:p>
        </w:tc>
        <w:tc>
          <w:tcPr>
            <w:tcW w:type="dxa" w:w="1224"/>
          </w:tcPr>
          <w:p>
            <w:pPr>
              <w:spacing w:after="0"/>
              <w:jc w:val="center"/>
            </w:pPr>
            <w:r/>
            <w:r>
              <w:rPr>
                <w:sz w:val="17"/>
              </w:rPr>
              <w:t>0.52</w:t>
            </w:r>
          </w:p>
        </w:tc>
        <w:tc>
          <w:tcPr>
            <w:tcW w:type="dxa" w:w="1224"/>
          </w:tcPr>
          <w:p>
            <w:pPr>
              <w:spacing w:after="0"/>
              <w:jc w:val="center"/>
            </w:pPr>
            <w:r/>
            <w:r>
              <w:rPr>
                <w:sz w:val="17"/>
              </w:rPr>
              <w:t>0.07</w:t>
            </w:r>
          </w:p>
        </w:tc>
        <w:tc>
          <w:tcPr>
            <w:tcW w:type="dxa" w:w="1152"/>
          </w:tcPr>
          <w:p>
            <w:pPr>
              <w:spacing w:after="0"/>
              <w:jc w:val="center"/>
            </w:pPr>
            <w:r/>
            <w:r>
              <w:rPr>
                <w:sz w:val="17"/>
              </w:rPr>
              <w:t>0.37</w:t>
            </w:r>
          </w:p>
        </w:tc>
      </w:tr>
      <w:tr>
        <w:tc>
          <w:tcPr>
            <w:tcW w:type="dxa" w:w="1008"/>
          </w:tcPr>
          <w:p>
            <w:pPr>
              <w:spacing w:after="0"/>
            </w:pPr>
            <w:r/>
            <w:r>
              <w:rPr>
                <w:sz w:val="17"/>
              </w:rPr>
              <w:t>30 d</w:t>
            </w:r>
          </w:p>
        </w:tc>
        <w:tc>
          <w:tcPr>
            <w:tcW w:type="dxa" w:w="1152"/>
          </w:tcPr>
          <w:p>
            <w:pPr>
              <w:spacing w:after="0"/>
              <w:jc w:val="center"/>
            </w:pPr>
            <w:r/>
            <w:r>
              <w:rPr>
                <w:sz w:val="17"/>
              </w:rPr>
              <w:t>-0.39</w:t>
            </w:r>
          </w:p>
        </w:tc>
        <w:tc>
          <w:tcPr>
            <w:tcW w:type="dxa" w:w="1224"/>
          </w:tcPr>
          <w:p>
            <w:pPr>
              <w:spacing w:after="0"/>
              <w:jc w:val="center"/>
            </w:pPr>
            <w:r/>
            <w:r>
              <w:rPr>
                <w:sz w:val="17"/>
              </w:rPr>
              <w:t>0.02</w:t>
            </w:r>
          </w:p>
        </w:tc>
        <w:tc>
          <w:tcPr>
            <w:tcW w:type="dxa" w:w="1152"/>
          </w:tcPr>
          <w:p>
            <w:pPr>
              <w:spacing w:after="0"/>
              <w:jc w:val="center"/>
            </w:pPr>
            <w:r/>
            <w:r>
              <w:rPr>
                <w:sz w:val="17"/>
              </w:rPr>
              <w:t>-0.67</w:t>
            </w:r>
          </w:p>
        </w:tc>
        <w:tc>
          <w:tcPr>
            <w:tcW w:type="dxa" w:w="1152"/>
          </w:tcPr>
          <w:p>
            <w:pPr>
              <w:spacing w:after="0"/>
              <w:jc w:val="center"/>
            </w:pPr>
            <w:r/>
            <w:r>
              <w:rPr>
                <w:sz w:val="17"/>
              </w:rPr>
              <w:t>0.45</w:t>
            </w:r>
          </w:p>
        </w:tc>
        <w:tc>
          <w:tcPr>
            <w:tcW w:type="dxa" w:w="1224"/>
          </w:tcPr>
          <w:p>
            <w:pPr>
              <w:spacing w:after="0"/>
              <w:jc w:val="center"/>
            </w:pPr>
            <w:r/>
            <w:r>
              <w:rPr>
                <w:sz w:val="17"/>
              </w:rPr>
              <w:t>0.37</w:t>
            </w:r>
          </w:p>
        </w:tc>
        <w:tc>
          <w:tcPr>
            <w:tcW w:type="dxa" w:w="1224"/>
          </w:tcPr>
          <w:p>
            <w:pPr>
              <w:spacing w:after="0"/>
              <w:jc w:val="center"/>
            </w:pPr>
            <w:r/>
            <w:r>
              <w:rPr>
                <w:sz w:val="17"/>
              </w:rPr>
              <w:t>0.23</w:t>
            </w:r>
          </w:p>
        </w:tc>
        <w:tc>
          <w:tcPr>
            <w:tcW w:type="dxa" w:w="1152"/>
          </w:tcPr>
          <w:p>
            <w:pPr>
              <w:spacing w:after="0"/>
              <w:jc w:val="center"/>
            </w:pPr>
            <w:r/>
            <w:r>
              <w:rPr>
                <w:sz w:val="17"/>
              </w:rPr>
              <w:t>0.26</w:t>
            </w:r>
          </w:p>
        </w:tc>
      </w:tr>
      <w:tr>
        <w:tc>
          <w:tcPr>
            <w:tcW w:type="dxa" w:w="1008"/>
          </w:tcPr>
          <w:p>
            <w:pPr>
              <w:spacing w:after="0"/>
            </w:pPr>
            <w:r/>
            <w:r>
              <w:rPr>
                <w:sz w:val="17"/>
              </w:rPr>
              <w:t>60 d</w:t>
            </w:r>
          </w:p>
        </w:tc>
        <w:tc>
          <w:tcPr>
            <w:tcW w:type="dxa" w:w="1152"/>
          </w:tcPr>
          <w:p>
            <w:pPr>
              <w:spacing w:after="0"/>
              <w:jc w:val="center"/>
            </w:pPr>
            <w:r/>
            <w:r>
              <w:rPr>
                <w:sz w:val="17"/>
              </w:rPr>
              <w:t>-0.52</w:t>
            </w:r>
          </w:p>
        </w:tc>
        <w:tc>
          <w:tcPr>
            <w:tcW w:type="dxa" w:w="1224"/>
          </w:tcPr>
          <w:p>
            <w:pPr>
              <w:spacing w:after="0"/>
              <w:jc w:val="center"/>
            </w:pPr>
            <w:r/>
            <w:r>
              <w:rPr>
                <w:sz w:val="17"/>
              </w:rPr>
              <w:t>0.08</w:t>
            </w:r>
          </w:p>
        </w:tc>
        <w:tc>
          <w:tcPr>
            <w:tcW w:type="dxa" w:w="1152"/>
          </w:tcPr>
          <w:p>
            <w:pPr>
              <w:spacing w:after="0"/>
              <w:jc w:val="center"/>
            </w:pPr>
            <w:r/>
            <w:r>
              <w:rPr>
                <w:sz w:val="17"/>
              </w:rPr>
              <w:t>-0.73</w:t>
            </w:r>
          </w:p>
        </w:tc>
        <w:tc>
          <w:tcPr>
            <w:tcW w:type="dxa" w:w="1152"/>
          </w:tcPr>
          <w:p>
            <w:pPr>
              <w:spacing w:after="0"/>
              <w:jc w:val="center"/>
            </w:pPr>
            <w:r/>
            <w:r>
              <w:rPr>
                <w:sz w:val="17"/>
              </w:rPr>
              <w:t>-0.21</w:t>
            </w:r>
          </w:p>
        </w:tc>
        <w:tc>
          <w:tcPr>
            <w:tcW w:type="dxa" w:w="1224"/>
          </w:tcPr>
          <w:p>
            <w:pPr>
              <w:spacing w:after="0"/>
              <w:jc w:val="center"/>
            </w:pPr>
            <w:r/>
            <w:r>
              <w:rPr>
                <w:sz w:val="17"/>
              </w:rPr>
              <w:t>0.63</w:t>
            </w:r>
          </w:p>
        </w:tc>
        <w:tc>
          <w:tcPr>
            <w:tcW w:type="dxa" w:w="1224"/>
          </w:tcPr>
          <w:p>
            <w:pPr>
              <w:spacing w:after="0"/>
              <w:jc w:val="center"/>
            </w:pPr>
            <w:r/>
            <w:r>
              <w:rPr>
                <w:sz w:val="17"/>
              </w:rPr>
              <w:t>-0.39</w:t>
            </w:r>
          </w:p>
        </w:tc>
        <w:tc>
          <w:tcPr>
            <w:tcW w:type="dxa" w:w="1152"/>
          </w:tcPr>
          <w:p>
            <w:pPr>
              <w:spacing w:after="0"/>
              <w:jc w:val="center"/>
            </w:pPr>
            <w:r/>
            <w:r>
              <w:rPr>
                <w:sz w:val="17"/>
              </w:rPr>
              <w:t>0.19</w:t>
            </w:r>
          </w:p>
        </w:tc>
      </w:tr>
      <w:tr>
        <w:tc>
          <w:tcPr>
            <w:tcW w:type="dxa" w:w="1008"/>
          </w:tcPr>
          <w:p>
            <w:pPr>
              <w:spacing w:after="0"/>
            </w:pPr>
            <w:r/>
            <w:r>
              <w:rPr>
                <w:sz w:val="17"/>
              </w:rPr>
              <w:t>90 d</w:t>
            </w:r>
          </w:p>
        </w:tc>
        <w:tc>
          <w:tcPr>
            <w:tcW w:type="dxa" w:w="1152"/>
          </w:tcPr>
          <w:p>
            <w:pPr>
              <w:spacing w:after="0"/>
              <w:jc w:val="center"/>
            </w:pPr>
            <w:r/>
            <w:r>
              <w:rPr>
                <w:sz w:val="17"/>
              </w:rPr>
              <w:t>-0.75</w:t>
            </w:r>
          </w:p>
        </w:tc>
        <w:tc>
          <w:tcPr>
            <w:tcW w:type="dxa" w:w="1224"/>
          </w:tcPr>
          <w:p>
            <w:pPr>
              <w:spacing w:after="0"/>
              <w:jc w:val="center"/>
            </w:pPr>
            <w:r/>
            <w:r>
              <w:rPr>
                <w:sz w:val="17"/>
              </w:rPr>
              <w:t>-0.21</w:t>
            </w:r>
          </w:p>
        </w:tc>
        <w:tc>
          <w:tcPr>
            <w:tcW w:type="dxa" w:w="1152"/>
          </w:tcPr>
          <w:p>
            <w:pPr>
              <w:spacing w:after="0"/>
              <w:jc w:val="center"/>
            </w:pPr>
            <w:r/>
            <w:r>
              <w:rPr>
                <w:sz w:val="17"/>
              </w:rPr>
              <w:t>-0.94</w:t>
            </w:r>
          </w:p>
        </w:tc>
        <w:tc>
          <w:tcPr>
            <w:tcW w:type="dxa" w:w="1152"/>
          </w:tcPr>
          <w:p>
            <w:pPr>
              <w:spacing w:after="0"/>
              <w:jc w:val="center"/>
            </w:pPr>
            <w:r/>
            <w:r>
              <w:rPr>
                <w:sz w:val="17"/>
              </w:rPr>
              <w:t>-0.39</w:t>
            </w:r>
          </w:p>
        </w:tc>
        <w:tc>
          <w:tcPr>
            <w:tcW w:type="dxa" w:w="1224"/>
          </w:tcPr>
          <w:p>
            <w:pPr>
              <w:spacing w:after="0"/>
              <w:jc w:val="center"/>
            </w:pPr>
            <w:r/>
            <w:r>
              <w:rPr>
                <w:sz w:val="17"/>
              </w:rPr>
              <w:t>0.43</w:t>
            </w:r>
          </w:p>
        </w:tc>
        <w:tc>
          <w:tcPr>
            <w:tcW w:type="dxa" w:w="1224"/>
          </w:tcPr>
          <w:p>
            <w:pPr>
              <w:spacing w:after="0"/>
              <w:jc w:val="center"/>
            </w:pPr>
            <w:r/>
            <w:r>
              <w:rPr>
                <w:sz w:val="17"/>
              </w:rPr>
              <w:t>-0.53</w:t>
            </w:r>
          </w:p>
        </w:tc>
        <w:tc>
          <w:tcPr>
            <w:tcW w:type="dxa" w:w="1152"/>
          </w:tcPr>
          <w:p>
            <w:pPr>
              <w:spacing w:after="0"/>
              <w:jc w:val="center"/>
            </w:pPr>
            <w:r/>
            <w:r>
              <w:rPr>
                <w:sz w:val="17"/>
              </w:rPr>
              <w:t>0.16</w:t>
            </w:r>
          </w:p>
        </w:tc>
      </w:tr>
      <w:tr>
        <w:tc>
          <w:tcPr>
            <w:tcW w:type="dxa" w:w="1008"/>
          </w:tcPr>
          <w:p>
            <w:pPr>
              <w:spacing w:after="0"/>
            </w:pPr>
            <w:r/>
            <w:r>
              <w:rPr>
                <w:sz w:val="17"/>
              </w:rPr>
              <w:t>120 d</w:t>
            </w:r>
          </w:p>
        </w:tc>
        <w:tc>
          <w:tcPr>
            <w:tcW w:type="dxa" w:w="1152"/>
          </w:tcPr>
          <w:p>
            <w:pPr>
              <w:spacing w:after="0"/>
              <w:jc w:val="center"/>
            </w:pPr>
            <w:r/>
            <w:r>
              <w:rPr>
                <w:sz w:val="17"/>
              </w:rPr>
              <w:t>-0.70</w:t>
            </w:r>
          </w:p>
        </w:tc>
        <w:tc>
          <w:tcPr>
            <w:tcW w:type="dxa" w:w="1224"/>
          </w:tcPr>
          <w:p>
            <w:pPr>
              <w:spacing w:after="0"/>
              <w:jc w:val="center"/>
            </w:pPr>
            <w:r/>
            <w:r>
              <w:rPr>
                <w:sz w:val="17"/>
              </w:rPr>
              <w:t>-0.07</w:t>
            </w:r>
          </w:p>
        </w:tc>
        <w:tc>
          <w:tcPr>
            <w:tcW w:type="dxa" w:w="1152"/>
          </w:tcPr>
          <w:p>
            <w:pPr>
              <w:spacing w:after="0"/>
              <w:jc w:val="center"/>
            </w:pPr>
            <w:r/>
            <w:r>
              <w:rPr>
                <w:sz w:val="17"/>
              </w:rPr>
              <w:t>-0.87</w:t>
            </w:r>
          </w:p>
        </w:tc>
        <w:tc>
          <w:tcPr>
            <w:tcW w:type="dxa" w:w="1152"/>
          </w:tcPr>
          <w:p>
            <w:pPr>
              <w:spacing w:after="0"/>
              <w:jc w:val="center"/>
            </w:pPr>
            <w:r/>
            <w:r>
              <w:rPr>
                <w:sz w:val="17"/>
              </w:rPr>
              <w:t>-0.39</w:t>
            </w:r>
          </w:p>
        </w:tc>
        <w:tc>
          <w:tcPr>
            <w:tcW w:type="dxa" w:w="1224"/>
          </w:tcPr>
          <w:p>
            <w:pPr>
              <w:spacing w:after="0"/>
              <w:jc w:val="center"/>
            </w:pPr>
            <w:r/>
            <w:r>
              <w:rPr>
                <w:sz w:val="17"/>
              </w:rPr>
              <w:t>0.14</w:t>
            </w:r>
          </w:p>
        </w:tc>
        <w:tc>
          <w:tcPr>
            <w:tcW w:type="dxa" w:w="1224"/>
          </w:tcPr>
          <w:p>
            <w:pPr>
              <w:spacing w:after="0"/>
              <w:jc w:val="center"/>
            </w:pPr>
            <w:r/>
            <w:r>
              <w:rPr>
                <w:sz w:val="17"/>
              </w:rPr>
              <w:t>-0.52</w:t>
            </w:r>
          </w:p>
        </w:tc>
        <w:tc>
          <w:tcPr>
            <w:tcW w:type="dxa" w:w="1152"/>
          </w:tcPr>
          <w:p>
            <w:pPr>
              <w:spacing w:after="0"/>
              <w:jc w:val="center"/>
            </w:pPr>
            <w:r/>
            <w:r>
              <w:rPr>
                <w:sz w:val="17"/>
              </w:rPr>
              <w:t>0.13</w:t>
            </w:r>
          </w:p>
        </w:tc>
      </w:tr>
    </w:tbl>
    <w:p>
      <w:pPr>
        <w:spacing w:after="40"/>
      </w:pPr>
    </w:p>
    <w:p>
      <w:pPr>
        <w:pStyle w:val="Heading2"/>
      </w:pPr>
      <w:r>
        <w:t>5.2 New information and activity</w:t>
      </w:r>
    </w:p>
    <w:p>
      <w:pPr>
        <w:keepNext/>
        <w:jc w:val="center"/>
      </w:pPr>
      <w:r>
        <w:drawing>
          <wp:inline xmlns:a="http://schemas.openxmlformats.org/drawingml/2006/main" xmlns:pic="http://schemas.openxmlformats.org/drawingml/2006/picture">
            <wp:extent cx="5760720" cy="2534717"/>
            <wp:docPr id="2" name="Picture 2"/>
            <wp:cNvGraphicFramePr>
              <a:graphicFrameLocks noChangeAspect="1"/>
            </wp:cNvGraphicFramePr>
            <a:graphic>
              <a:graphicData uri="http://schemas.openxmlformats.org/drawingml/2006/picture">
                <pic:pic>
                  <pic:nvPicPr>
                    <pic:cNvPr id="0" name="B_activity_volume.png"/>
                    <pic:cNvPicPr/>
                  </pic:nvPicPr>
                  <pic:blipFill>
                    <a:blip r:embed="rId10"/>
                    <a:stretch>
                      <a:fillRect/>
                    </a:stretch>
                  </pic:blipFill>
                  <pic:spPr>
                    <a:xfrm>
                      <a:off x="0" y="0"/>
                      <a:ext cx="5760720" cy="2534717"/>
                    </a:xfrm>
                    <a:prstGeom prst="rect"/>
                  </pic:spPr>
                </pic:pic>
              </a:graphicData>
            </a:graphic>
          </wp:inline>
        </w:drawing>
      </w:r>
    </w:p>
    <w:p>
      <w:pPr>
        <w:spacing w:after="200"/>
        <w:jc w:val="center"/>
      </w:pPr>
      <w:r>
        <w:rPr>
          <w:i/>
          <w:sz w:val="19"/>
        </w:rPr>
        <w:t>Figure 2. Cross-sectional signal conditioned on abnormal dollar volume, research period.</w:t>
      </w:r>
    </w:p>
    <w:p>
      <w:pPr>
        <w:spacing w:after="120"/>
      </w:pPr>
      <w:r>
        <w:rPr>
          <w:b w:val="0"/>
          <w:i w:val="0"/>
        </w:rPr>
        <w:t>The brief suggests activity strengthens momentum and that uninformed (low-activity) moves reverse more. At 1-3 days the data show the reverse of the uninformed-trading story: reversal is stronger among high-activity coins (-1.07 at 1 day) than low-activity coins (-0.32). Volume shocks in this universe often mark liquidity-driven spikes in small coins that then retrace. Weighting by volume shock moves the signal toward momentum (1 day: -0.85 to -0.61), consistent with the brief's momentum hypothesis, but not enough to make a positive momentum signal.</w:t>
      </w:r>
    </w:p>
    <w:p>
      <w:pPr>
        <w:pStyle w:val="Heading2"/>
      </w:pPr>
      <w:r>
        <w:t>5.3 Seasonality</w:t>
      </w:r>
    </w:p>
    <w:p>
      <w:pPr>
        <w:keepNext/>
        <w:jc w:val="center"/>
      </w:pPr>
      <w:r>
        <w:drawing>
          <wp:inline xmlns:a="http://schemas.openxmlformats.org/drawingml/2006/main" xmlns:pic="http://schemas.openxmlformats.org/drawingml/2006/picture">
            <wp:extent cx="5760720" cy="2419502"/>
            <wp:docPr id="3" name="Picture 3"/>
            <wp:cNvGraphicFramePr>
              <a:graphicFrameLocks noChangeAspect="1"/>
            </wp:cNvGraphicFramePr>
            <a:graphic>
              <a:graphicData uri="http://schemas.openxmlformats.org/drawingml/2006/picture">
                <pic:pic>
                  <pic:nvPicPr>
                    <pic:cNvPr id="0" name="C_day_of_week.png"/>
                    <pic:cNvPicPr/>
                  </pic:nvPicPr>
                  <pic:blipFill>
                    <a:blip r:embed="rId11"/>
                    <a:stretch>
                      <a:fillRect/>
                    </a:stretch>
                  </pic:blipFill>
                  <pic:spPr>
                    <a:xfrm>
                      <a:off x="0" y="0"/>
                      <a:ext cx="5760720" cy="2419502"/>
                    </a:xfrm>
                    <a:prstGeom prst="rect"/>
                  </pic:spPr>
                </pic:pic>
              </a:graphicData>
            </a:graphic>
          </wp:inline>
        </w:drawing>
      </w:r>
    </w:p>
    <w:p>
      <w:pPr>
        <w:spacing w:after="200"/>
        <w:jc w:val="center"/>
      </w:pPr>
      <w:r>
        <w:rPr>
          <w:i/>
          <w:sz w:val="19"/>
        </w:rPr>
        <w:t>Figure 3. Day-of-week profile of strategy returns, research period (weekend shaded).</w:t>
      </w:r>
    </w:p>
    <w:p>
      <w:pPr>
        <w:spacing w:after="120"/>
      </w:pPr>
      <w:r>
        <w:rPr>
          <w:b w:val="0"/>
          <w:i w:val="0"/>
        </w:rPr>
        <w:t>Time-series momentum is much stronger on weekends (gross Sharpe 1.37) than on weekdays (0.32), as in version 1: trends set by retail flow persist when institutions are away. Tuesday is consistently the worst day for trend-following.</w:t>
      </w:r>
    </w:p>
    <w:p>
      <w:pPr>
        <w:keepNext/>
        <w:jc w:val="center"/>
      </w:pPr>
      <w:r>
        <w:drawing>
          <wp:inline xmlns:a="http://schemas.openxmlformats.org/drawingml/2006/main" xmlns:pic="http://schemas.openxmlformats.org/drawingml/2006/picture">
            <wp:extent cx="5760720" cy="2199548"/>
            <wp:docPr id="4" name="Picture 4"/>
            <wp:cNvGraphicFramePr>
              <a:graphicFrameLocks noChangeAspect="1"/>
            </wp:cNvGraphicFramePr>
            <a:graphic>
              <a:graphicData uri="http://schemas.openxmlformats.org/drawingml/2006/picture">
                <pic:pic>
                  <pic:nvPicPr>
                    <pic:cNvPr id="0" name="C_intraday_sessions.png"/>
                    <pic:cNvPicPr/>
                  </pic:nvPicPr>
                  <pic:blipFill>
                    <a:blip r:embed="rId12"/>
                    <a:stretch>
                      <a:fillRect/>
                    </a:stretch>
                  </pic:blipFill>
                  <pic:spPr>
                    <a:xfrm>
                      <a:off x="0" y="0"/>
                      <a:ext cx="5760720" cy="2199548"/>
                    </a:xfrm>
                    <a:prstGeom prst="rect"/>
                  </pic:spPr>
                </pic:pic>
              </a:graphicData>
            </a:graphic>
          </wp:inline>
        </w:drawing>
      </w:r>
    </w:p>
    <w:p>
      <w:pPr>
        <w:spacing w:after="200"/>
        <w:jc w:val="center"/>
      </w:pPr>
      <w:r>
        <w:rPr>
          <w:i/>
          <w:sz w:val="19"/>
        </w:rPr>
        <w:t>Figure 4. Left: intraday cross-sectional signal. Right: mean return by session.</w:t>
      </w:r>
    </w:p>
    <w:p>
      <w:pPr>
        <w:spacing w:after="120"/>
      </w:pPr>
      <w:r>
        <w:rPr>
          <w:b w:val="0"/>
          <w:i w:val="0"/>
        </w:rPr>
        <w:t>Hourly data show the session pattern: on research-period weekdays the US session averaged -1.45 bps per hour and the late-US hours 2.04 bps per hour.</w:t>
      </w:r>
    </w:p>
    <w:p>
      <w:pPr>
        <w:pStyle w:val="Heading2"/>
      </w:pPr>
      <w:r>
        <w:t>5.4 Investment themes</w:t>
      </w:r>
    </w:p>
    <w:p>
      <w:pPr>
        <w:keepNext/>
        <w:jc w:val="center"/>
      </w:pPr>
      <w:r>
        <w:drawing>
          <wp:inline xmlns:a="http://schemas.openxmlformats.org/drawingml/2006/main" xmlns:pic="http://schemas.openxmlformats.org/drawingml/2006/picture">
            <wp:extent cx="5760720" cy="2534717"/>
            <wp:docPr id="5" name="Picture 5"/>
            <wp:cNvGraphicFramePr>
              <a:graphicFrameLocks noChangeAspect="1"/>
            </wp:cNvGraphicFramePr>
            <a:graphic>
              <a:graphicData uri="http://schemas.openxmlformats.org/drawingml/2006/picture">
                <pic:pic>
                  <pic:nvPicPr>
                    <pic:cNvPr id="0" name="D_theme_indices.png"/>
                    <pic:cNvPicPr/>
                  </pic:nvPicPr>
                  <pic:blipFill>
                    <a:blip r:embed="rId13"/>
                    <a:stretch>
                      <a:fillRect/>
                    </a:stretch>
                  </pic:blipFill>
                  <pic:spPr>
                    <a:xfrm>
                      <a:off x="0" y="0"/>
                      <a:ext cx="5760720" cy="2534717"/>
                    </a:xfrm>
                    <a:prstGeom prst="rect"/>
                  </pic:spPr>
                </pic:pic>
              </a:graphicData>
            </a:graphic>
          </wp:inline>
        </w:drawing>
      </w:r>
    </w:p>
    <w:p>
      <w:pPr>
        <w:spacing w:after="200"/>
        <w:jc w:val="center"/>
      </w:pPr>
      <w:r>
        <w:rPr>
          <w:i/>
          <w:sz w:val="19"/>
        </w:rPr>
        <w:t>Figure 5. Equal-weight theme indices (growth of $1, log scale). Dashed line: hold-out start.</w:t>
      </w:r>
    </w:p>
    <w:p>
      <w:pPr>
        <w:spacing w:after="120"/>
      </w:pPr>
      <w:r>
        <w:rPr>
          <w:b w:val="0"/>
          <w:i w:val="0"/>
        </w:rPr>
        <w:t>Theme momentum is positive at every look-back in the research period, best at 14 days (gross Sharpe 1.10 with a 7-day hold, net 0.57 at 20 bps). It was the top momentum candidate but decayed in the hold-out (gross 0.10).</w:t>
      </w:r>
    </w:p>
    <w:p>
      <w:pPr>
        <w:pStyle w:val="Heading2"/>
      </w:pPr>
      <w:r>
        <w:t>5.5 Technical plays: front-running the US session</w:t>
      </w:r>
    </w:p>
    <w:p>
      <w:pPr>
        <w:keepNext/>
        <w:spacing w:after="60"/>
      </w:pPr>
      <w:r>
        <w:rPr>
          <w:b/>
          <w:sz w:val="20"/>
        </w:rPr>
        <w:t>Table 6. Session-based front-running tests (hourly data, 2022 onward).</w:t>
      </w:r>
    </w:p>
    <w:tbl>
      <w:tblPr>
        <w:tblStyle w:val="TableGrid"/>
        <w:tblW w:type="auto" w:w="0"/>
        <w:jc w:val="center"/>
        <w:tblLayout w:type="fixed"/>
        <w:tblLook w:firstColumn="1" w:firstRow="1" w:lastColumn="0" w:lastRow="0" w:noHBand="0" w:noVBand="1" w:val="04A0"/>
      </w:tblPr>
      <w:tblGrid>
        <w:gridCol w:w="3168"/>
        <w:gridCol w:w="1440"/>
        <w:gridCol w:w="1007"/>
        <w:gridCol w:w="864"/>
        <w:gridCol w:w="936"/>
        <w:gridCol w:w="1007"/>
        <w:gridCol w:w="792"/>
      </w:tblGrid>
      <w:tr>
        <w:tc>
          <w:tcPr>
            <w:tcW w:type="dxa" w:w="3168"/>
            <w:shd w:val="clear" w:fill="1F3864"/>
          </w:tcPr>
          <w:p>
            <w:pPr>
              <w:jc w:val="left"/>
            </w:pPr>
            <w:r/>
            <w:r>
              <w:rPr>
                <w:b/>
                <w:color w:val="FFFFFF"/>
                <w:sz w:val="17"/>
              </w:rPr>
              <w:t>Test</w:t>
            </w:r>
          </w:p>
        </w:tc>
        <w:tc>
          <w:tcPr>
            <w:tcW w:type="dxa" w:w="1440"/>
            <w:shd w:val="clear" w:fill="1F3864"/>
          </w:tcPr>
          <w:p>
            <w:pPr>
              <w:jc w:val="center"/>
            </w:pPr>
            <w:r/>
            <w:r>
              <w:rPr>
                <w:b/>
                <w:color w:val="FFFFFF"/>
                <w:sz w:val="17"/>
              </w:rPr>
              <w:t>Type</w:t>
            </w:r>
          </w:p>
        </w:tc>
        <w:tc>
          <w:tcPr>
            <w:tcW w:type="dxa" w:w="1008"/>
            <w:shd w:val="clear" w:fill="1F3864"/>
          </w:tcPr>
          <w:p>
            <w:pPr>
              <w:jc w:val="center"/>
            </w:pPr>
            <w:r/>
            <w:r>
              <w:rPr>
                <w:b/>
                <w:color w:val="FFFFFF"/>
                <w:sz w:val="17"/>
              </w:rPr>
              <w:t>Gross bps/day</w:t>
            </w:r>
          </w:p>
        </w:tc>
        <w:tc>
          <w:tcPr>
            <w:tcW w:type="dxa" w:w="864"/>
            <w:shd w:val="clear" w:fill="1F3864"/>
          </w:tcPr>
          <w:p>
            <w:pPr>
              <w:jc w:val="center"/>
            </w:pPr>
            <w:r/>
            <w:r>
              <w:rPr>
                <w:b/>
                <w:color w:val="FFFFFF"/>
                <w:sz w:val="17"/>
              </w:rPr>
              <w:t>Gross IS</w:t>
            </w:r>
          </w:p>
        </w:tc>
        <w:tc>
          <w:tcPr>
            <w:tcW w:type="dxa" w:w="936"/>
            <w:shd w:val="clear" w:fill="1F3864"/>
          </w:tcPr>
          <w:p>
            <w:pPr>
              <w:jc w:val="center"/>
            </w:pPr>
            <w:r/>
            <w:r>
              <w:rPr>
                <w:b/>
                <w:color w:val="FFFFFF"/>
                <w:sz w:val="17"/>
              </w:rPr>
              <w:t>Gross OOS</w:t>
            </w:r>
          </w:p>
        </w:tc>
        <w:tc>
          <w:tcPr>
            <w:tcW w:type="dxa" w:w="1008"/>
            <w:shd w:val="clear" w:fill="1F3864"/>
          </w:tcPr>
          <w:p>
            <w:pPr>
              <w:jc w:val="center"/>
            </w:pPr>
            <w:r/>
            <w:r>
              <w:rPr>
                <w:b/>
                <w:color w:val="FFFFFF"/>
                <w:sz w:val="17"/>
              </w:rPr>
              <w:t>Net at 7 bps</w:t>
            </w:r>
          </w:p>
        </w:tc>
        <w:tc>
          <w:tcPr>
            <w:tcW w:type="dxa" w:w="792"/>
            <w:shd w:val="clear" w:fill="1F3864"/>
          </w:tcPr>
          <w:p>
            <w:pPr>
              <w:jc w:val="center"/>
            </w:pPr>
            <w:r/>
            <w:r>
              <w:rPr>
                <w:b/>
                <w:color w:val="FFFFFF"/>
                <w:sz w:val="17"/>
              </w:rPr>
              <w:t>t-stat</w:t>
            </w:r>
          </w:p>
        </w:tc>
      </w:tr>
      <w:tr>
        <w:tc>
          <w:tcPr>
            <w:tcW w:type="dxa" w:w="3168"/>
          </w:tcPr>
          <w:p>
            <w:pPr>
              <w:spacing w:after="0"/>
            </w:pPr>
            <w:r/>
            <w:r>
              <w:rPr>
                <w:sz w:val="17"/>
              </w:rPr>
              <w:t>Pre-US return -&gt; US session</w:t>
            </w:r>
          </w:p>
        </w:tc>
        <w:tc>
          <w:tcPr>
            <w:tcW w:type="dxa" w:w="1440"/>
          </w:tcPr>
          <w:p>
            <w:pPr>
              <w:spacing w:after="0"/>
              <w:jc w:val="center"/>
            </w:pPr>
            <w:r/>
            <w:r>
              <w:rPr>
                <w:sz w:val="17"/>
              </w:rPr>
              <w:t>Time-series</w:t>
            </w:r>
          </w:p>
        </w:tc>
        <w:tc>
          <w:tcPr>
            <w:tcW w:type="dxa" w:w="1008"/>
          </w:tcPr>
          <w:p>
            <w:pPr>
              <w:spacing w:after="0"/>
              <w:jc w:val="center"/>
            </w:pPr>
            <w:r/>
            <w:r>
              <w:rPr>
                <w:sz w:val="17"/>
              </w:rPr>
              <w:t>-3.87</w:t>
            </w:r>
          </w:p>
        </w:tc>
        <w:tc>
          <w:tcPr>
            <w:tcW w:type="dxa" w:w="864"/>
          </w:tcPr>
          <w:p>
            <w:pPr>
              <w:spacing w:after="0"/>
              <w:jc w:val="center"/>
            </w:pPr>
            <w:r/>
            <w:r>
              <w:rPr>
                <w:sz w:val="17"/>
              </w:rPr>
              <w:t>-0.96</w:t>
            </w:r>
          </w:p>
        </w:tc>
        <w:tc>
          <w:tcPr>
            <w:tcW w:type="dxa" w:w="936"/>
          </w:tcPr>
          <w:p>
            <w:pPr>
              <w:spacing w:after="0"/>
              <w:jc w:val="center"/>
            </w:pPr>
            <w:r/>
            <w:r>
              <w:rPr>
                <w:sz w:val="17"/>
              </w:rPr>
              <w:t>0.07</w:t>
            </w:r>
          </w:p>
        </w:tc>
        <w:tc>
          <w:tcPr>
            <w:tcW w:type="dxa" w:w="1008"/>
          </w:tcPr>
          <w:p>
            <w:pPr>
              <w:spacing w:after="0"/>
              <w:jc w:val="center"/>
            </w:pPr>
            <w:r/>
            <w:r>
              <w:rPr>
                <w:sz w:val="17"/>
              </w:rPr>
              <w:t>-1.69</w:t>
            </w:r>
          </w:p>
        </w:tc>
        <w:tc>
          <w:tcPr>
            <w:tcW w:type="dxa" w:w="792"/>
          </w:tcPr>
          <w:p>
            <w:pPr>
              <w:spacing w:after="0"/>
              <w:jc w:val="center"/>
            </w:pPr>
            <w:r/>
            <w:r>
              <w:rPr>
                <w:sz w:val="17"/>
              </w:rPr>
              <w:t>-0.93</w:t>
            </w:r>
          </w:p>
        </w:tc>
      </w:tr>
      <w:tr>
        <w:tc>
          <w:tcPr>
            <w:tcW w:type="dxa" w:w="3168"/>
          </w:tcPr>
          <w:p>
            <w:pPr>
              <w:spacing w:after="0"/>
            </w:pPr>
            <w:r/>
            <w:r>
              <w:rPr>
                <w:sz w:val="17"/>
              </w:rPr>
              <w:t>Pre-US return -&gt; US session</w:t>
            </w:r>
          </w:p>
        </w:tc>
        <w:tc>
          <w:tcPr>
            <w:tcW w:type="dxa" w:w="1440"/>
          </w:tcPr>
          <w:p>
            <w:pPr>
              <w:spacing w:after="0"/>
              <w:jc w:val="center"/>
            </w:pPr>
            <w:r/>
            <w:r>
              <w:rPr>
                <w:sz w:val="17"/>
              </w:rPr>
              <w:t>Cross-sectional</w:t>
            </w:r>
          </w:p>
        </w:tc>
        <w:tc>
          <w:tcPr>
            <w:tcW w:type="dxa" w:w="1008"/>
          </w:tcPr>
          <w:p>
            <w:pPr>
              <w:spacing w:after="0"/>
              <w:jc w:val="center"/>
            </w:pPr>
            <w:r/>
            <w:r>
              <w:rPr>
                <w:sz w:val="17"/>
              </w:rPr>
              <w:t>-2.98</w:t>
            </w:r>
          </w:p>
        </w:tc>
        <w:tc>
          <w:tcPr>
            <w:tcW w:type="dxa" w:w="864"/>
          </w:tcPr>
          <w:p>
            <w:pPr>
              <w:spacing w:after="0"/>
              <w:jc w:val="center"/>
            </w:pPr>
            <w:r/>
            <w:r>
              <w:rPr>
                <w:sz w:val="17"/>
              </w:rPr>
              <w:t>-0.71</w:t>
            </w:r>
          </w:p>
        </w:tc>
        <w:tc>
          <w:tcPr>
            <w:tcW w:type="dxa" w:w="936"/>
          </w:tcPr>
          <w:p>
            <w:pPr>
              <w:spacing w:after="0"/>
              <w:jc w:val="center"/>
            </w:pPr>
            <w:r/>
            <w:r>
              <w:rPr>
                <w:sz w:val="17"/>
              </w:rPr>
              <w:t>-0.67</w:t>
            </w:r>
          </w:p>
        </w:tc>
        <w:tc>
          <w:tcPr>
            <w:tcW w:type="dxa" w:w="1008"/>
          </w:tcPr>
          <w:p>
            <w:pPr>
              <w:spacing w:after="0"/>
              <w:jc w:val="center"/>
            </w:pPr>
            <w:r/>
            <w:r>
              <w:rPr>
                <w:sz w:val="17"/>
              </w:rPr>
              <w:t>-3.89</w:t>
            </w:r>
          </w:p>
        </w:tc>
        <w:tc>
          <w:tcPr>
            <w:tcW w:type="dxa" w:w="792"/>
          </w:tcPr>
          <w:p>
            <w:pPr>
              <w:spacing w:after="0"/>
              <w:jc w:val="center"/>
            </w:pPr>
            <w:r/>
            <w:r>
              <w:rPr>
                <w:sz w:val="17"/>
              </w:rPr>
              <w:t>-1.73</w:t>
            </w:r>
          </w:p>
        </w:tc>
      </w:tr>
      <w:tr>
        <w:tc>
          <w:tcPr>
            <w:tcW w:type="dxa" w:w="3168"/>
          </w:tcPr>
          <w:p>
            <w:pPr>
              <w:spacing w:after="0"/>
            </w:pPr>
            <w:r/>
            <w:r>
              <w:rPr>
                <w:sz w:val="17"/>
              </w:rPr>
              <w:t>Prior-day US session -&gt; today's US session</w:t>
            </w:r>
          </w:p>
        </w:tc>
        <w:tc>
          <w:tcPr>
            <w:tcW w:type="dxa" w:w="1440"/>
          </w:tcPr>
          <w:p>
            <w:pPr>
              <w:spacing w:after="0"/>
              <w:jc w:val="center"/>
            </w:pPr>
            <w:r/>
            <w:r>
              <w:rPr>
                <w:sz w:val="17"/>
              </w:rPr>
              <w:t>Time-series</w:t>
            </w:r>
          </w:p>
        </w:tc>
        <w:tc>
          <w:tcPr>
            <w:tcW w:type="dxa" w:w="1008"/>
          </w:tcPr>
          <w:p>
            <w:pPr>
              <w:spacing w:after="0"/>
              <w:jc w:val="center"/>
            </w:pPr>
            <w:r/>
            <w:r>
              <w:rPr>
                <w:sz w:val="17"/>
              </w:rPr>
              <w:t>-5.70</w:t>
            </w:r>
          </w:p>
        </w:tc>
        <w:tc>
          <w:tcPr>
            <w:tcW w:type="dxa" w:w="864"/>
          </w:tcPr>
          <w:p>
            <w:pPr>
              <w:spacing w:after="0"/>
              <w:jc w:val="center"/>
            </w:pPr>
            <w:r/>
            <w:r>
              <w:rPr>
                <w:sz w:val="17"/>
              </w:rPr>
              <w:t>-1.12</w:t>
            </w:r>
          </w:p>
        </w:tc>
        <w:tc>
          <w:tcPr>
            <w:tcW w:type="dxa" w:w="936"/>
          </w:tcPr>
          <w:p>
            <w:pPr>
              <w:spacing w:after="0"/>
              <w:jc w:val="center"/>
            </w:pPr>
            <w:r/>
            <w:r>
              <w:rPr>
                <w:sz w:val="17"/>
              </w:rPr>
              <w:t>-0.09</w:t>
            </w:r>
          </w:p>
        </w:tc>
        <w:tc>
          <w:tcPr>
            <w:tcW w:type="dxa" w:w="1008"/>
          </w:tcPr>
          <w:p>
            <w:pPr>
              <w:spacing w:after="0"/>
              <w:jc w:val="center"/>
            </w:pPr>
            <w:r/>
            <w:r>
              <w:rPr>
                <w:sz w:val="17"/>
              </w:rPr>
              <w:t>-1.77</w:t>
            </w:r>
          </w:p>
        </w:tc>
        <w:tc>
          <w:tcPr>
            <w:tcW w:type="dxa" w:w="792"/>
          </w:tcPr>
          <w:p>
            <w:pPr>
              <w:spacing w:after="0"/>
              <w:jc w:val="center"/>
            </w:pPr>
            <w:r/>
            <w:r>
              <w:rPr>
                <w:sz w:val="17"/>
              </w:rPr>
              <w:t>-1.39</w:t>
            </w:r>
          </w:p>
        </w:tc>
      </w:tr>
      <w:tr>
        <w:tc>
          <w:tcPr>
            <w:tcW w:type="dxa" w:w="3168"/>
          </w:tcPr>
          <w:p>
            <w:pPr>
              <w:spacing w:after="0"/>
            </w:pPr>
            <w:r/>
            <w:r>
              <w:rPr>
                <w:sz w:val="17"/>
              </w:rPr>
              <w:t>Prior-day US session -&gt; today's US session</w:t>
            </w:r>
          </w:p>
        </w:tc>
        <w:tc>
          <w:tcPr>
            <w:tcW w:type="dxa" w:w="1440"/>
          </w:tcPr>
          <w:p>
            <w:pPr>
              <w:spacing w:after="0"/>
              <w:jc w:val="center"/>
            </w:pPr>
            <w:r/>
            <w:r>
              <w:rPr>
                <w:sz w:val="17"/>
              </w:rPr>
              <w:t>Cross-sectional</w:t>
            </w:r>
          </w:p>
        </w:tc>
        <w:tc>
          <w:tcPr>
            <w:tcW w:type="dxa" w:w="1008"/>
          </w:tcPr>
          <w:p>
            <w:pPr>
              <w:spacing w:after="0"/>
              <w:jc w:val="center"/>
            </w:pPr>
            <w:r/>
            <w:r>
              <w:rPr>
                <w:sz w:val="17"/>
              </w:rPr>
              <w:t>0.14</w:t>
            </w:r>
          </w:p>
        </w:tc>
        <w:tc>
          <w:tcPr>
            <w:tcW w:type="dxa" w:w="864"/>
          </w:tcPr>
          <w:p>
            <w:pPr>
              <w:spacing w:after="0"/>
              <w:jc w:val="center"/>
            </w:pPr>
            <w:r/>
            <w:r>
              <w:rPr>
                <w:sz w:val="17"/>
              </w:rPr>
              <w:t>0.09</w:t>
            </w:r>
          </w:p>
        </w:tc>
        <w:tc>
          <w:tcPr>
            <w:tcW w:type="dxa" w:w="936"/>
          </w:tcPr>
          <w:p>
            <w:pPr>
              <w:spacing w:after="0"/>
              <w:jc w:val="center"/>
            </w:pPr>
            <w:r/>
            <w:r>
              <w:rPr>
                <w:sz w:val="17"/>
              </w:rPr>
              <w:t>-0.01</w:t>
            </w:r>
          </w:p>
        </w:tc>
        <w:tc>
          <w:tcPr>
            <w:tcW w:type="dxa" w:w="1008"/>
          </w:tcPr>
          <w:p>
            <w:pPr>
              <w:spacing w:after="0"/>
              <w:jc w:val="center"/>
            </w:pPr>
            <w:r/>
            <w:r>
              <w:rPr>
                <w:sz w:val="17"/>
              </w:rPr>
              <w:t>-3.17</w:t>
            </w:r>
          </w:p>
        </w:tc>
        <w:tc>
          <w:tcPr>
            <w:tcW w:type="dxa" w:w="792"/>
          </w:tcPr>
          <w:p>
            <w:pPr>
              <w:spacing w:after="0"/>
              <w:jc w:val="center"/>
            </w:pPr>
            <w:r/>
            <w:r>
              <w:rPr>
                <w:sz w:val="17"/>
              </w:rPr>
              <w:t>0.09</w:t>
            </w:r>
          </w:p>
        </w:tc>
      </w:tr>
      <w:tr>
        <w:tc>
          <w:tcPr>
            <w:tcW w:type="dxa" w:w="3168"/>
          </w:tcPr>
          <w:p>
            <w:pPr>
              <w:spacing w:after="0"/>
            </w:pPr>
            <w:r/>
            <w:r>
              <w:rPr>
                <w:sz w:val="17"/>
              </w:rPr>
              <w:t>US session -&gt; late-US hours</w:t>
            </w:r>
          </w:p>
        </w:tc>
        <w:tc>
          <w:tcPr>
            <w:tcW w:type="dxa" w:w="1440"/>
          </w:tcPr>
          <w:p>
            <w:pPr>
              <w:spacing w:after="0"/>
              <w:jc w:val="center"/>
            </w:pPr>
            <w:r/>
            <w:r>
              <w:rPr>
                <w:sz w:val="17"/>
              </w:rPr>
              <w:t>Time-series</w:t>
            </w:r>
          </w:p>
        </w:tc>
        <w:tc>
          <w:tcPr>
            <w:tcW w:type="dxa" w:w="1008"/>
          </w:tcPr>
          <w:p>
            <w:pPr>
              <w:spacing w:after="0"/>
              <w:jc w:val="center"/>
            </w:pPr>
            <w:r/>
            <w:r>
              <w:rPr>
                <w:sz w:val="17"/>
              </w:rPr>
              <w:t>-1.12</w:t>
            </w:r>
          </w:p>
        </w:tc>
        <w:tc>
          <w:tcPr>
            <w:tcW w:type="dxa" w:w="864"/>
          </w:tcPr>
          <w:p>
            <w:pPr>
              <w:spacing w:after="0"/>
              <w:jc w:val="center"/>
            </w:pPr>
            <w:r/>
            <w:r>
              <w:rPr>
                <w:sz w:val="17"/>
              </w:rPr>
              <w:t>0.36</w:t>
            </w:r>
          </w:p>
        </w:tc>
        <w:tc>
          <w:tcPr>
            <w:tcW w:type="dxa" w:w="936"/>
          </w:tcPr>
          <w:p>
            <w:pPr>
              <w:spacing w:after="0"/>
              <w:jc w:val="center"/>
            </w:pPr>
            <w:r/>
            <w:r>
              <w:rPr>
                <w:sz w:val="17"/>
              </w:rPr>
              <w:t>-0.62</w:t>
            </w:r>
          </w:p>
        </w:tc>
        <w:tc>
          <w:tcPr>
            <w:tcW w:type="dxa" w:w="1008"/>
          </w:tcPr>
          <w:p>
            <w:pPr>
              <w:spacing w:after="0"/>
              <w:jc w:val="center"/>
            </w:pPr>
            <w:r/>
            <w:r>
              <w:rPr>
                <w:sz w:val="17"/>
              </w:rPr>
              <w:t>-2.46</w:t>
            </w:r>
          </w:p>
        </w:tc>
        <w:tc>
          <w:tcPr>
            <w:tcW w:type="dxa" w:w="792"/>
          </w:tcPr>
          <w:p>
            <w:pPr>
              <w:spacing w:after="0"/>
              <w:jc w:val="center"/>
            </w:pPr>
            <w:r/>
            <w:r>
              <w:rPr>
                <w:sz w:val="17"/>
              </w:rPr>
              <w:t>-0.49</w:t>
            </w:r>
          </w:p>
        </w:tc>
      </w:tr>
      <w:tr>
        <w:tc>
          <w:tcPr>
            <w:tcW w:type="dxa" w:w="3168"/>
          </w:tcPr>
          <w:p>
            <w:pPr>
              <w:spacing w:after="0"/>
            </w:pPr>
            <w:r/>
            <w:r>
              <w:rPr>
                <w:sz w:val="17"/>
              </w:rPr>
              <w:t>US session -&gt; late-US hours</w:t>
            </w:r>
          </w:p>
        </w:tc>
        <w:tc>
          <w:tcPr>
            <w:tcW w:type="dxa" w:w="1440"/>
          </w:tcPr>
          <w:p>
            <w:pPr>
              <w:spacing w:after="0"/>
              <w:jc w:val="center"/>
            </w:pPr>
            <w:r/>
            <w:r>
              <w:rPr>
                <w:sz w:val="17"/>
              </w:rPr>
              <w:t>Cross-sectional</w:t>
            </w:r>
          </w:p>
        </w:tc>
        <w:tc>
          <w:tcPr>
            <w:tcW w:type="dxa" w:w="1008"/>
          </w:tcPr>
          <w:p>
            <w:pPr>
              <w:spacing w:after="0"/>
              <w:jc w:val="center"/>
            </w:pPr>
            <w:r/>
            <w:r>
              <w:rPr>
                <w:sz w:val="17"/>
              </w:rPr>
              <w:t>-4.96</w:t>
            </w:r>
          </w:p>
        </w:tc>
        <w:tc>
          <w:tcPr>
            <w:tcW w:type="dxa" w:w="864"/>
          </w:tcPr>
          <w:p>
            <w:pPr>
              <w:spacing w:after="0"/>
              <w:jc w:val="center"/>
            </w:pPr>
            <w:r/>
            <w:r>
              <w:rPr>
                <w:sz w:val="17"/>
              </w:rPr>
              <w:t>-1.44</w:t>
            </w:r>
          </w:p>
        </w:tc>
        <w:tc>
          <w:tcPr>
            <w:tcW w:type="dxa" w:w="936"/>
          </w:tcPr>
          <w:p>
            <w:pPr>
              <w:spacing w:after="0"/>
              <w:jc w:val="center"/>
            </w:pPr>
            <w:r/>
            <w:r>
              <w:rPr>
                <w:sz w:val="17"/>
              </w:rPr>
              <w:t>-2.35</w:t>
            </w:r>
          </w:p>
        </w:tc>
        <w:tc>
          <w:tcPr>
            <w:tcW w:type="dxa" w:w="1008"/>
          </w:tcPr>
          <w:p>
            <w:pPr>
              <w:spacing w:after="0"/>
              <w:jc w:val="center"/>
            </w:pPr>
            <w:r/>
            <w:r>
              <w:rPr>
                <w:sz w:val="17"/>
              </w:rPr>
              <w:t>-7.57</w:t>
            </w:r>
          </w:p>
        </w:tc>
        <w:tc>
          <w:tcPr>
            <w:tcW w:type="dxa" w:w="792"/>
          </w:tcPr>
          <w:p>
            <w:pPr>
              <w:spacing w:after="0"/>
              <w:jc w:val="center"/>
            </w:pPr>
            <w:r/>
            <w:r>
              <w:rPr>
                <w:sz w:val="17"/>
              </w:rPr>
              <w:t>-5.10</w:t>
            </w:r>
          </w:p>
        </w:tc>
      </w:tr>
    </w:tbl>
    <w:p>
      <w:pPr>
        <w:spacing w:after="40"/>
      </w:pPr>
    </w:p>
    <w:p>
      <w:pPr>
        <w:spacing w:after="120"/>
      </w:pPr>
      <w:r>
        <w:rPr>
          <w:b w:val="0"/>
          <w:i w:val="0"/>
        </w:rPr>
        <w:t>Each session strategy opens and closes a full position every day, so even with limit orders the round trip costs 14 bps a day - far more than any of these effects earn. Front-running institutional hours is not profitable at the brief's costs.</w:t>
      </w:r>
    </w:p>
    <w:p>
      <w:pPr>
        <w:pStyle w:val="Heading1"/>
      </w:pPr>
      <w:r>
        <w:t>6. Reversal Research (Research Period)</w:t>
      </w:r>
    </w:p>
    <w:p>
      <w:pPr>
        <w:pStyle w:val="Heading2"/>
      </w:pPr>
      <w:r>
        <w:t>6.1 Time horizon</w:t>
      </w:r>
    </w:p>
    <w:p>
      <w:pPr>
        <w:spacing w:after="120"/>
      </w:pPr>
      <w:r>
        <w:rPr>
          <w:b w:val="0"/>
          <w:i w:val="0"/>
        </w:rPr>
        <w:t>Daily cross-sectional reversal is strongest at 1-2 days (gross Sharpe 0.85 and 0.89 as reversal), but the 1-day version turns over 1.33x its capital a day and loses money even at 7 bps (net Sharpe -2.36). Slow reversal at 60-120 days trades a tenth as much.</w:t>
      </w:r>
    </w:p>
    <w:p>
      <w:pPr>
        <w:keepNext/>
        <w:spacing w:after="60"/>
      </w:pPr>
      <w:r>
        <w:rPr>
          <w:b/>
          <w:sz w:val="20"/>
        </w:rPr>
        <w:t>Table 7. Intraday cross-sectional signal (momentum sign; negative = reversal), hourly rebalance.</w:t>
      </w:r>
    </w:p>
    <w:tbl>
      <w:tblPr>
        <w:tblStyle w:val="TableGrid"/>
        <w:tblW w:type="auto" w:w="0"/>
        <w:jc w:val="center"/>
        <w:tblLayout w:type="fixed"/>
        <w:tblLook w:firstColumn="1" w:firstRow="1" w:lastColumn="0" w:lastRow="0" w:noHBand="0" w:noVBand="1" w:val="04A0"/>
      </w:tblPr>
      <w:tblGrid>
        <w:gridCol w:w="1152"/>
        <w:gridCol w:w="1152"/>
        <w:gridCol w:w="1152"/>
        <w:gridCol w:w="1440"/>
        <w:gridCol w:w="1440"/>
        <w:gridCol w:w="1440"/>
      </w:tblGrid>
      <w:tr>
        <w:tc>
          <w:tcPr>
            <w:tcW w:type="dxa" w:w="1152"/>
            <w:shd w:val="clear" w:fill="1F3864"/>
          </w:tcPr>
          <w:p>
            <w:pPr>
              <w:jc w:val="left"/>
            </w:pPr>
            <w:r/>
            <w:r>
              <w:rPr>
                <w:b/>
                <w:color w:val="FFFFFF"/>
                <w:sz w:val="17"/>
              </w:rPr>
              <w:t>Look-back</w:t>
            </w:r>
          </w:p>
        </w:tc>
        <w:tc>
          <w:tcPr>
            <w:tcW w:type="dxa" w:w="1152"/>
            <w:shd w:val="clear" w:fill="1F3864"/>
          </w:tcPr>
          <w:p>
            <w:pPr>
              <w:jc w:val="center"/>
            </w:pPr>
            <w:r/>
            <w:r>
              <w:rPr>
                <w:b/>
                <w:color w:val="FFFFFF"/>
                <w:sz w:val="17"/>
              </w:rPr>
              <w:t>Gross IS</w:t>
            </w:r>
          </w:p>
        </w:tc>
        <w:tc>
          <w:tcPr>
            <w:tcW w:type="dxa" w:w="1152"/>
            <w:shd w:val="clear" w:fill="1F3864"/>
          </w:tcPr>
          <w:p>
            <w:pPr>
              <w:jc w:val="center"/>
            </w:pPr>
            <w:r/>
            <w:r>
              <w:rPr>
                <w:b/>
                <w:color w:val="FFFFFF"/>
                <w:sz w:val="17"/>
              </w:rPr>
              <w:t>Gross OOS</w:t>
            </w:r>
          </w:p>
        </w:tc>
        <w:tc>
          <w:tcPr>
            <w:tcW w:type="dxa" w:w="1440"/>
            <w:shd w:val="clear" w:fill="1F3864"/>
          </w:tcPr>
          <w:p>
            <w:pPr>
              <w:jc w:val="center"/>
            </w:pPr>
            <w:r/>
            <w:r>
              <w:rPr>
                <w:b/>
                <w:color w:val="FFFFFF"/>
                <w:sz w:val="17"/>
              </w:rPr>
              <w:t>Gross bps/hour</w:t>
            </w:r>
          </w:p>
        </w:tc>
        <w:tc>
          <w:tcPr>
            <w:tcW w:type="dxa" w:w="1440"/>
            <w:shd w:val="clear" w:fill="1F3864"/>
          </w:tcPr>
          <w:p>
            <w:pPr>
              <w:jc w:val="center"/>
            </w:pPr>
            <w:r/>
            <w:r>
              <w:rPr>
                <w:b/>
                <w:color w:val="FFFFFF"/>
                <w:sz w:val="17"/>
              </w:rPr>
              <w:t>Turnover/hour</w:t>
            </w:r>
          </w:p>
        </w:tc>
        <w:tc>
          <w:tcPr>
            <w:tcW w:type="dxa" w:w="1440"/>
            <w:shd w:val="clear" w:fill="1F3864"/>
          </w:tcPr>
          <w:p>
            <w:pPr>
              <w:jc w:val="center"/>
            </w:pPr>
            <w:r/>
            <w:r>
              <w:rPr>
                <w:b/>
                <w:color w:val="FFFFFF"/>
                <w:sz w:val="17"/>
              </w:rPr>
              <w:t>Net at 7 bps</w:t>
            </w:r>
          </w:p>
        </w:tc>
      </w:tr>
      <w:tr>
        <w:tc>
          <w:tcPr>
            <w:tcW w:type="dxa" w:w="1152"/>
          </w:tcPr>
          <w:p>
            <w:pPr>
              <w:spacing w:after="0"/>
            </w:pPr>
            <w:r/>
            <w:r>
              <w:rPr>
                <w:sz w:val="17"/>
              </w:rPr>
              <w:t>1 h</w:t>
            </w:r>
          </w:p>
        </w:tc>
        <w:tc>
          <w:tcPr>
            <w:tcW w:type="dxa" w:w="1152"/>
          </w:tcPr>
          <w:p>
            <w:pPr>
              <w:spacing w:after="0"/>
              <w:jc w:val="center"/>
            </w:pPr>
            <w:r/>
            <w:r>
              <w:rPr>
                <w:sz w:val="17"/>
              </w:rPr>
              <w:t>-8.99</w:t>
            </w:r>
          </w:p>
        </w:tc>
        <w:tc>
          <w:tcPr>
            <w:tcW w:type="dxa" w:w="1152"/>
          </w:tcPr>
          <w:p>
            <w:pPr>
              <w:spacing w:after="0"/>
              <w:jc w:val="center"/>
            </w:pPr>
            <w:r/>
            <w:r>
              <w:rPr>
                <w:sz w:val="17"/>
              </w:rPr>
              <w:t>-14.00</w:t>
            </w:r>
          </w:p>
        </w:tc>
        <w:tc>
          <w:tcPr>
            <w:tcW w:type="dxa" w:w="1440"/>
          </w:tcPr>
          <w:p>
            <w:pPr>
              <w:spacing w:after="0"/>
              <w:jc w:val="center"/>
            </w:pPr>
            <w:r/>
            <w:r>
              <w:rPr>
                <w:sz w:val="17"/>
              </w:rPr>
              <w:t>-3.43</w:t>
            </w:r>
          </w:p>
        </w:tc>
        <w:tc>
          <w:tcPr>
            <w:tcW w:type="dxa" w:w="1440"/>
          </w:tcPr>
          <w:p>
            <w:pPr>
              <w:spacing w:after="0"/>
              <w:jc w:val="center"/>
            </w:pPr>
            <w:r/>
            <w:r>
              <w:rPr>
                <w:sz w:val="17"/>
              </w:rPr>
              <w:t>1.36</w:t>
            </w:r>
          </w:p>
        </w:tc>
        <w:tc>
          <w:tcPr>
            <w:tcW w:type="dxa" w:w="1440"/>
          </w:tcPr>
          <w:p>
            <w:pPr>
              <w:spacing w:after="0"/>
              <w:jc w:val="center"/>
            </w:pPr>
            <w:r/>
            <w:r>
              <w:rPr>
                <w:sz w:val="17"/>
              </w:rPr>
              <w:t>-43.6</w:t>
            </w:r>
          </w:p>
        </w:tc>
      </w:tr>
      <w:tr>
        <w:tc>
          <w:tcPr>
            <w:tcW w:type="dxa" w:w="1152"/>
          </w:tcPr>
          <w:p>
            <w:pPr>
              <w:spacing w:after="0"/>
            </w:pPr>
            <w:r/>
            <w:r>
              <w:rPr>
                <w:sz w:val="17"/>
              </w:rPr>
              <w:t>2 h</w:t>
            </w:r>
          </w:p>
        </w:tc>
        <w:tc>
          <w:tcPr>
            <w:tcW w:type="dxa" w:w="1152"/>
          </w:tcPr>
          <w:p>
            <w:pPr>
              <w:spacing w:after="0"/>
              <w:jc w:val="center"/>
            </w:pPr>
            <w:r/>
            <w:r>
              <w:rPr>
                <w:sz w:val="17"/>
              </w:rPr>
              <w:t>-8.52</w:t>
            </w:r>
          </w:p>
        </w:tc>
        <w:tc>
          <w:tcPr>
            <w:tcW w:type="dxa" w:w="1152"/>
          </w:tcPr>
          <w:p>
            <w:pPr>
              <w:spacing w:after="0"/>
              <w:jc w:val="center"/>
            </w:pPr>
            <w:r/>
            <w:r>
              <w:rPr>
                <w:sz w:val="17"/>
              </w:rPr>
              <w:t>-13.36</w:t>
            </w:r>
          </w:p>
        </w:tc>
        <w:tc>
          <w:tcPr>
            <w:tcW w:type="dxa" w:w="1440"/>
          </w:tcPr>
          <w:p>
            <w:pPr>
              <w:spacing w:after="0"/>
              <w:jc w:val="center"/>
            </w:pPr>
            <w:r/>
            <w:r>
              <w:rPr>
                <w:sz w:val="17"/>
              </w:rPr>
              <w:t>-3.28</w:t>
            </w:r>
          </w:p>
        </w:tc>
        <w:tc>
          <w:tcPr>
            <w:tcW w:type="dxa" w:w="1440"/>
          </w:tcPr>
          <w:p>
            <w:pPr>
              <w:spacing w:after="0"/>
              <w:jc w:val="center"/>
            </w:pPr>
            <w:r/>
            <w:r>
              <w:rPr>
                <w:sz w:val="17"/>
              </w:rPr>
              <w:t>0.96</w:t>
            </w:r>
          </w:p>
        </w:tc>
        <w:tc>
          <w:tcPr>
            <w:tcW w:type="dxa" w:w="1440"/>
          </w:tcPr>
          <w:p>
            <w:pPr>
              <w:spacing w:after="0"/>
              <w:jc w:val="center"/>
            </w:pPr>
            <w:r/>
            <w:r>
              <w:rPr>
                <w:sz w:val="17"/>
              </w:rPr>
              <w:t>-34.1</w:t>
            </w:r>
          </w:p>
        </w:tc>
      </w:tr>
      <w:tr>
        <w:tc>
          <w:tcPr>
            <w:tcW w:type="dxa" w:w="1152"/>
          </w:tcPr>
          <w:p>
            <w:pPr>
              <w:spacing w:after="0"/>
            </w:pPr>
            <w:r/>
            <w:r>
              <w:rPr>
                <w:sz w:val="17"/>
              </w:rPr>
              <w:t>4 h</w:t>
            </w:r>
          </w:p>
        </w:tc>
        <w:tc>
          <w:tcPr>
            <w:tcW w:type="dxa" w:w="1152"/>
          </w:tcPr>
          <w:p>
            <w:pPr>
              <w:spacing w:after="0"/>
              <w:jc w:val="center"/>
            </w:pPr>
            <w:r/>
            <w:r>
              <w:rPr>
                <w:sz w:val="17"/>
              </w:rPr>
              <w:t>-7.09</w:t>
            </w:r>
          </w:p>
        </w:tc>
        <w:tc>
          <w:tcPr>
            <w:tcW w:type="dxa" w:w="1152"/>
          </w:tcPr>
          <w:p>
            <w:pPr>
              <w:spacing w:after="0"/>
              <w:jc w:val="center"/>
            </w:pPr>
            <w:r/>
            <w:r>
              <w:rPr>
                <w:sz w:val="17"/>
              </w:rPr>
              <w:t>-11.02</w:t>
            </w:r>
          </w:p>
        </w:tc>
        <w:tc>
          <w:tcPr>
            <w:tcW w:type="dxa" w:w="1440"/>
          </w:tcPr>
          <w:p>
            <w:pPr>
              <w:spacing w:after="0"/>
              <w:jc w:val="center"/>
            </w:pPr>
            <w:r/>
            <w:r>
              <w:rPr>
                <w:sz w:val="17"/>
              </w:rPr>
              <w:t>-2.72</w:t>
            </w:r>
          </w:p>
        </w:tc>
        <w:tc>
          <w:tcPr>
            <w:tcW w:type="dxa" w:w="1440"/>
          </w:tcPr>
          <w:p>
            <w:pPr>
              <w:spacing w:after="0"/>
              <w:jc w:val="center"/>
            </w:pPr>
            <w:r/>
            <w:r>
              <w:rPr>
                <w:sz w:val="17"/>
              </w:rPr>
              <w:t>0.70</w:t>
            </w:r>
          </w:p>
        </w:tc>
        <w:tc>
          <w:tcPr>
            <w:tcW w:type="dxa" w:w="1440"/>
          </w:tcPr>
          <w:p>
            <w:pPr>
              <w:spacing w:after="0"/>
              <w:jc w:val="center"/>
            </w:pPr>
            <w:r/>
            <w:r>
              <w:rPr>
                <w:sz w:val="17"/>
              </w:rPr>
              <w:t>-26.2</w:t>
            </w:r>
          </w:p>
        </w:tc>
      </w:tr>
      <w:tr>
        <w:tc>
          <w:tcPr>
            <w:tcW w:type="dxa" w:w="1152"/>
          </w:tcPr>
          <w:p>
            <w:pPr>
              <w:spacing w:after="0"/>
            </w:pPr>
            <w:r/>
            <w:r>
              <w:rPr>
                <w:sz w:val="17"/>
              </w:rPr>
              <w:t>8 h</w:t>
            </w:r>
          </w:p>
        </w:tc>
        <w:tc>
          <w:tcPr>
            <w:tcW w:type="dxa" w:w="1152"/>
          </w:tcPr>
          <w:p>
            <w:pPr>
              <w:spacing w:after="0"/>
              <w:jc w:val="center"/>
            </w:pPr>
            <w:r/>
            <w:r>
              <w:rPr>
                <w:sz w:val="17"/>
              </w:rPr>
              <w:t>-6.15</w:t>
            </w:r>
          </w:p>
        </w:tc>
        <w:tc>
          <w:tcPr>
            <w:tcW w:type="dxa" w:w="1152"/>
          </w:tcPr>
          <w:p>
            <w:pPr>
              <w:spacing w:after="0"/>
              <w:jc w:val="center"/>
            </w:pPr>
            <w:r/>
            <w:r>
              <w:rPr>
                <w:sz w:val="17"/>
              </w:rPr>
              <w:t>-9.58</w:t>
            </w:r>
          </w:p>
        </w:tc>
        <w:tc>
          <w:tcPr>
            <w:tcW w:type="dxa" w:w="1440"/>
          </w:tcPr>
          <w:p>
            <w:pPr>
              <w:spacing w:after="0"/>
              <w:jc w:val="center"/>
            </w:pPr>
            <w:r/>
            <w:r>
              <w:rPr>
                <w:sz w:val="17"/>
              </w:rPr>
              <w:t>-2.34</w:t>
            </w:r>
          </w:p>
        </w:tc>
        <w:tc>
          <w:tcPr>
            <w:tcW w:type="dxa" w:w="1440"/>
          </w:tcPr>
          <w:p>
            <w:pPr>
              <w:spacing w:after="0"/>
              <w:jc w:val="center"/>
            </w:pPr>
            <w:r/>
            <w:r>
              <w:rPr>
                <w:sz w:val="17"/>
              </w:rPr>
              <w:t>0.52</w:t>
            </w:r>
          </w:p>
        </w:tc>
        <w:tc>
          <w:tcPr>
            <w:tcW w:type="dxa" w:w="1440"/>
          </w:tcPr>
          <w:p>
            <w:pPr>
              <w:spacing w:after="0"/>
              <w:jc w:val="center"/>
            </w:pPr>
            <w:r/>
            <w:r>
              <w:rPr>
                <w:sz w:val="17"/>
              </w:rPr>
              <w:t>-20.8</w:t>
            </w:r>
          </w:p>
        </w:tc>
      </w:tr>
      <w:tr>
        <w:tc>
          <w:tcPr>
            <w:tcW w:type="dxa" w:w="1152"/>
          </w:tcPr>
          <w:p>
            <w:pPr>
              <w:spacing w:after="0"/>
            </w:pPr>
            <w:r/>
            <w:r>
              <w:rPr>
                <w:sz w:val="17"/>
              </w:rPr>
              <w:t>12 h</w:t>
            </w:r>
          </w:p>
        </w:tc>
        <w:tc>
          <w:tcPr>
            <w:tcW w:type="dxa" w:w="1152"/>
          </w:tcPr>
          <w:p>
            <w:pPr>
              <w:spacing w:after="0"/>
              <w:jc w:val="center"/>
            </w:pPr>
            <w:r/>
            <w:r>
              <w:rPr>
                <w:sz w:val="17"/>
              </w:rPr>
              <w:t>-5.80</w:t>
            </w:r>
          </w:p>
        </w:tc>
        <w:tc>
          <w:tcPr>
            <w:tcW w:type="dxa" w:w="1152"/>
          </w:tcPr>
          <w:p>
            <w:pPr>
              <w:spacing w:after="0"/>
              <w:jc w:val="center"/>
            </w:pPr>
            <w:r/>
            <w:r>
              <w:rPr>
                <w:sz w:val="17"/>
              </w:rPr>
              <w:t>-8.46</w:t>
            </w:r>
          </w:p>
        </w:tc>
        <w:tc>
          <w:tcPr>
            <w:tcW w:type="dxa" w:w="1440"/>
          </w:tcPr>
          <w:p>
            <w:pPr>
              <w:spacing w:after="0"/>
              <w:jc w:val="center"/>
            </w:pPr>
            <w:r/>
            <w:r>
              <w:rPr>
                <w:sz w:val="17"/>
              </w:rPr>
              <w:t>-2.11</w:t>
            </w:r>
          </w:p>
        </w:tc>
        <w:tc>
          <w:tcPr>
            <w:tcW w:type="dxa" w:w="1440"/>
          </w:tcPr>
          <w:p>
            <w:pPr>
              <w:spacing w:after="0"/>
              <w:jc w:val="center"/>
            </w:pPr>
            <w:r/>
            <w:r>
              <w:rPr>
                <w:sz w:val="17"/>
              </w:rPr>
              <w:t>0.43</w:t>
            </w:r>
          </w:p>
        </w:tc>
        <w:tc>
          <w:tcPr>
            <w:tcW w:type="dxa" w:w="1440"/>
          </w:tcPr>
          <w:p>
            <w:pPr>
              <w:spacing w:after="0"/>
              <w:jc w:val="center"/>
            </w:pPr>
            <w:r/>
            <w:r>
              <w:rPr>
                <w:sz w:val="17"/>
              </w:rPr>
              <w:t>-17.9</w:t>
            </w:r>
          </w:p>
        </w:tc>
      </w:tr>
      <w:tr>
        <w:tc>
          <w:tcPr>
            <w:tcW w:type="dxa" w:w="1152"/>
          </w:tcPr>
          <w:p>
            <w:pPr>
              <w:spacing w:after="0"/>
            </w:pPr>
            <w:r/>
            <w:r>
              <w:rPr>
                <w:sz w:val="17"/>
              </w:rPr>
              <w:t>24 h</w:t>
            </w:r>
          </w:p>
        </w:tc>
        <w:tc>
          <w:tcPr>
            <w:tcW w:type="dxa" w:w="1152"/>
          </w:tcPr>
          <w:p>
            <w:pPr>
              <w:spacing w:after="0"/>
              <w:jc w:val="center"/>
            </w:pPr>
            <w:r/>
            <w:r>
              <w:rPr>
                <w:sz w:val="17"/>
              </w:rPr>
              <w:t>-3.81</w:t>
            </w:r>
          </w:p>
        </w:tc>
        <w:tc>
          <w:tcPr>
            <w:tcW w:type="dxa" w:w="1152"/>
          </w:tcPr>
          <w:p>
            <w:pPr>
              <w:spacing w:after="0"/>
              <w:jc w:val="center"/>
            </w:pPr>
            <w:r/>
            <w:r>
              <w:rPr>
                <w:sz w:val="17"/>
              </w:rPr>
              <w:t>-6.78</w:t>
            </w:r>
          </w:p>
        </w:tc>
        <w:tc>
          <w:tcPr>
            <w:tcW w:type="dxa" w:w="1440"/>
          </w:tcPr>
          <w:p>
            <w:pPr>
              <w:spacing w:after="0"/>
              <w:jc w:val="center"/>
            </w:pPr>
            <w:r/>
            <w:r>
              <w:rPr>
                <w:sz w:val="17"/>
              </w:rPr>
              <w:t>-1.62</w:t>
            </w:r>
          </w:p>
        </w:tc>
        <w:tc>
          <w:tcPr>
            <w:tcW w:type="dxa" w:w="1440"/>
          </w:tcPr>
          <w:p>
            <w:pPr>
              <w:spacing w:after="0"/>
              <w:jc w:val="center"/>
            </w:pPr>
            <w:r/>
            <w:r>
              <w:rPr>
                <w:sz w:val="17"/>
              </w:rPr>
              <w:t>0.32</w:t>
            </w:r>
          </w:p>
        </w:tc>
        <w:tc>
          <w:tcPr>
            <w:tcW w:type="dxa" w:w="1440"/>
          </w:tcPr>
          <w:p>
            <w:pPr>
              <w:spacing w:after="0"/>
              <w:jc w:val="center"/>
            </w:pPr>
            <w:r/>
            <w:r>
              <w:rPr>
                <w:sz w:val="17"/>
              </w:rPr>
              <w:t>-13.3</w:t>
            </w:r>
          </w:p>
        </w:tc>
      </w:tr>
    </w:tbl>
    <w:p>
      <w:pPr>
        <w:spacing w:after="40"/>
      </w:pPr>
    </w:p>
    <w:p>
      <w:pPr>
        <w:spacing w:after="120"/>
      </w:pPr>
      <w:r>
        <w:rPr>
          <w:b w:val="0"/>
          <w:i w:val="0"/>
        </w:rPr>
        <w:t>Intraday, reversal is the dominant pattern in both periods, but two warnings apply. First, much of it is probably bid-ask bounce: in thinly traded coins the hourly close alternates between bid and ask prices, which looks like reversal but cannot be captured. Second, turnover of more than one times capital per hour puts it far out of reach at 7-20 bps. It is reported as evidence for the brief's horizon hypothesis, not as a strategy.</w:t>
      </w:r>
    </w:p>
    <w:p>
      <w:pPr>
        <w:pStyle w:val="Heading2"/>
      </w:pPr>
      <w:r>
        <w:t>6.2 Correlation: residual baskets and cointegrated pairs</w:t>
      </w:r>
    </w:p>
    <w:p>
      <w:pPr>
        <w:keepNext/>
        <w:spacing w:after="60"/>
      </w:pPr>
      <w:r>
        <w:rPr>
          <w:b/>
          <w:sz w:val="20"/>
        </w:rPr>
        <w:t>Table 8. Correlation-based signals. Negative gross = the residual reverses.</w:t>
      </w:r>
    </w:p>
    <w:tbl>
      <w:tblPr>
        <w:tblStyle w:val="TableGrid"/>
        <w:tblW w:type="auto" w:w="0"/>
        <w:jc w:val="center"/>
        <w:tblLayout w:type="fixed"/>
        <w:tblLook w:firstColumn="1" w:firstRow="1" w:lastColumn="0" w:lastRow="0" w:noHBand="0" w:noVBand="1" w:val="04A0"/>
      </w:tblPr>
      <w:tblGrid>
        <w:gridCol w:w="4031"/>
        <w:gridCol w:w="1152"/>
        <w:gridCol w:w="1152"/>
        <w:gridCol w:w="1152"/>
        <w:gridCol w:w="1152"/>
      </w:tblGrid>
      <w:tr>
        <w:tc>
          <w:tcPr>
            <w:tcW w:type="dxa" w:w="4032"/>
            <w:shd w:val="clear" w:fill="1F3864"/>
          </w:tcPr>
          <w:p>
            <w:pPr>
              <w:jc w:val="left"/>
            </w:pPr>
            <w:r/>
            <w:r>
              <w:rPr>
                <w:b/>
                <w:color w:val="FFFFFF"/>
                <w:sz w:val="17"/>
              </w:rPr>
              <w:t>Strategy (momentum sign)</w:t>
            </w:r>
          </w:p>
        </w:tc>
        <w:tc>
          <w:tcPr>
            <w:tcW w:type="dxa" w:w="1152"/>
            <w:shd w:val="clear" w:fill="1F3864"/>
          </w:tcPr>
          <w:p>
            <w:pPr>
              <w:jc w:val="center"/>
            </w:pPr>
            <w:r/>
            <w:r>
              <w:rPr>
                <w:b/>
                <w:color w:val="FFFFFF"/>
                <w:sz w:val="17"/>
              </w:rPr>
              <w:t>Gross IS</w:t>
            </w:r>
          </w:p>
        </w:tc>
        <w:tc>
          <w:tcPr>
            <w:tcW w:type="dxa" w:w="1152"/>
            <w:shd w:val="clear" w:fill="1F3864"/>
          </w:tcPr>
          <w:p>
            <w:pPr>
              <w:jc w:val="center"/>
            </w:pPr>
            <w:r/>
            <w:r>
              <w:rPr>
                <w:b/>
                <w:color w:val="FFFFFF"/>
                <w:sz w:val="17"/>
              </w:rPr>
              <w:t>Gross OOS</w:t>
            </w:r>
          </w:p>
        </w:tc>
        <w:tc>
          <w:tcPr>
            <w:tcW w:type="dxa" w:w="1152"/>
            <w:shd w:val="clear" w:fill="1F3864"/>
          </w:tcPr>
          <w:p>
            <w:pPr>
              <w:jc w:val="center"/>
            </w:pPr>
            <w:r/>
            <w:r>
              <w:rPr>
                <w:b/>
                <w:color w:val="FFFFFF"/>
                <w:sz w:val="17"/>
              </w:rPr>
              <w:t>Net 7 IS</w:t>
            </w:r>
          </w:p>
        </w:tc>
        <w:tc>
          <w:tcPr>
            <w:tcW w:type="dxa" w:w="1152"/>
            <w:shd w:val="clear" w:fill="1F3864"/>
          </w:tcPr>
          <w:p>
            <w:pPr>
              <w:jc w:val="center"/>
            </w:pPr>
            <w:r/>
            <w:r>
              <w:rPr>
                <w:b/>
                <w:color w:val="FFFFFF"/>
                <w:sz w:val="17"/>
              </w:rPr>
              <w:t>Turnover</w:t>
            </w:r>
          </w:p>
        </w:tc>
      </w:tr>
      <w:tr>
        <w:tc>
          <w:tcPr>
            <w:tcW w:type="dxa" w:w="4032"/>
          </w:tcPr>
          <w:p>
            <w:pPr>
              <w:spacing w:after="0"/>
            </w:pPr>
            <w:r/>
            <w:r>
              <w:rPr>
                <w:sz w:val="17"/>
              </w:rPr>
              <w:t>Residual vs market L=1d</w:t>
            </w:r>
          </w:p>
        </w:tc>
        <w:tc>
          <w:tcPr>
            <w:tcW w:type="dxa" w:w="1152"/>
          </w:tcPr>
          <w:p>
            <w:pPr>
              <w:spacing w:after="0"/>
              <w:jc w:val="center"/>
            </w:pPr>
            <w:r/>
            <w:r>
              <w:rPr>
                <w:sz w:val="17"/>
              </w:rPr>
              <w:t>-0.83</w:t>
            </w:r>
          </w:p>
        </w:tc>
        <w:tc>
          <w:tcPr>
            <w:tcW w:type="dxa" w:w="1152"/>
          </w:tcPr>
          <w:p>
            <w:pPr>
              <w:spacing w:after="0"/>
              <w:jc w:val="center"/>
            </w:pPr>
            <w:r/>
            <w:r>
              <w:rPr>
                <w:sz w:val="17"/>
              </w:rPr>
              <w:t>-0.55</w:t>
            </w:r>
          </w:p>
        </w:tc>
        <w:tc>
          <w:tcPr>
            <w:tcW w:type="dxa" w:w="1152"/>
          </w:tcPr>
          <w:p>
            <w:pPr>
              <w:spacing w:after="0"/>
              <w:jc w:val="center"/>
            </w:pPr>
            <w:r/>
            <w:r>
              <w:rPr>
                <w:sz w:val="17"/>
              </w:rPr>
              <w:t>-2.48</w:t>
            </w:r>
          </w:p>
        </w:tc>
        <w:tc>
          <w:tcPr>
            <w:tcW w:type="dxa" w:w="1152"/>
          </w:tcPr>
          <w:p>
            <w:pPr>
              <w:spacing w:after="0"/>
              <w:jc w:val="center"/>
            </w:pPr>
            <w:r/>
            <w:r>
              <w:rPr>
                <w:sz w:val="17"/>
              </w:rPr>
              <w:t>1.327</w:t>
            </w:r>
          </w:p>
        </w:tc>
      </w:tr>
      <w:tr>
        <w:tc>
          <w:tcPr>
            <w:tcW w:type="dxa" w:w="4032"/>
          </w:tcPr>
          <w:p>
            <w:pPr>
              <w:spacing w:after="0"/>
            </w:pPr>
            <w:r/>
            <w:r>
              <w:rPr>
                <w:sz w:val="17"/>
              </w:rPr>
              <w:t>Residual vs theme L=1d</w:t>
            </w:r>
          </w:p>
        </w:tc>
        <w:tc>
          <w:tcPr>
            <w:tcW w:type="dxa" w:w="1152"/>
          </w:tcPr>
          <w:p>
            <w:pPr>
              <w:spacing w:after="0"/>
              <w:jc w:val="center"/>
            </w:pPr>
            <w:r/>
            <w:r>
              <w:rPr>
                <w:sz w:val="17"/>
              </w:rPr>
              <w:t>-1.19</w:t>
            </w:r>
          </w:p>
        </w:tc>
        <w:tc>
          <w:tcPr>
            <w:tcW w:type="dxa" w:w="1152"/>
          </w:tcPr>
          <w:p>
            <w:pPr>
              <w:spacing w:after="0"/>
              <w:jc w:val="center"/>
            </w:pPr>
            <w:r/>
            <w:r>
              <w:rPr>
                <w:sz w:val="17"/>
              </w:rPr>
              <w:t>-0.52</w:t>
            </w:r>
          </w:p>
        </w:tc>
        <w:tc>
          <w:tcPr>
            <w:tcW w:type="dxa" w:w="1152"/>
          </w:tcPr>
          <w:p>
            <w:pPr>
              <w:spacing w:after="0"/>
              <w:jc w:val="center"/>
            </w:pPr>
            <w:r/>
            <w:r>
              <w:rPr>
                <w:sz w:val="17"/>
              </w:rPr>
              <w:t>-2.87</w:t>
            </w:r>
          </w:p>
        </w:tc>
        <w:tc>
          <w:tcPr>
            <w:tcW w:type="dxa" w:w="1152"/>
          </w:tcPr>
          <w:p>
            <w:pPr>
              <w:spacing w:after="0"/>
              <w:jc w:val="center"/>
            </w:pPr>
            <w:r/>
            <w:r>
              <w:rPr>
                <w:sz w:val="17"/>
              </w:rPr>
              <w:t>1.337</w:t>
            </w:r>
          </w:p>
        </w:tc>
      </w:tr>
      <w:tr>
        <w:tc>
          <w:tcPr>
            <w:tcW w:type="dxa" w:w="4032"/>
          </w:tcPr>
          <w:p>
            <w:pPr>
              <w:spacing w:after="0"/>
            </w:pPr>
            <w:r/>
            <w:r>
              <w:rPr>
                <w:sz w:val="17"/>
              </w:rPr>
              <w:t>Residual vs market L=3d</w:t>
            </w:r>
          </w:p>
        </w:tc>
        <w:tc>
          <w:tcPr>
            <w:tcW w:type="dxa" w:w="1152"/>
          </w:tcPr>
          <w:p>
            <w:pPr>
              <w:spacing w:after="0"/>
              <w:jc w:val="center"/>
            </w:pPr>
            <w:r/>
            <w:r>
              <w:rPr>
                <w:sz w:val="17"/>
              </w:rPr>
              <w:t>-0.70</w:t>
            </w:r>
          </w:p>
        </w:tc>
        <w:tc>
          <w:tcPr>
            <w:tcW w:type="dxa" w:w="1152"/>
          </w:tcPr>
          <w:p>
            <w:pPr>
              <w:spacing w:after="0"/>
              <w:jc w:val="center"/>
            </w:pPr>
            <w:r/>
            <w:r>
              <w:rPr>
                <w:sz w:val="17"/>
              </w:rPr>
              <w:t>-0.03</w:t>
            </w:r>
          </w:p>
        </w:tc>
        <w:tc>
          <w:tcPr>
            <w:tcW w:type="dxa" w:w="1152"/>
          </w:tcPr>
          <w:p>
            <w:pPr>
              <w:spacing w:after="0"/>
              <w:jc w:val="center"/>
            </w:pPr>
            <w:r/>
            <w:r>
              <w:rPr>
                <w:sz w:val="17"/>
              </w:rPr>
              <w:t>-1.70</w:t>
            </w:r>
          </w:p>
        </w:tc>
        <w:tc>
          <w:tcPr>
            <w:tcW w:type="dxa" w:w="1152"/>
          </w:tcPr>
          <w:p>
            <w:pPr>
              <w:spacing w:after="0"/>
              <w:jc w:val="center"/>
            </w:pPr>
            <w:r/>
            <w:r>
              <w:rPr>
                <w:sz w:val="17"/>
              </w:rPr>
              <w:t>0.765</w:t>
            </w:r>
          </w:p>
        </w:tc>
      </w:tr>
      <w:tr>
        <w:tc>
          <w:tcPr>
            <w:tcW w:type="dxa" w:w="4032"/>
          </w:tcPr>
          <w:p>
            <w:pPr>
              <w:spacing w:after="0"/>
            </w:pPr>
            <w:r/>
            <w:r>
              <w:rPr>
                <w:sz w:val="17"/>
              </w:rPr>
              <w:t>Residual vs theme L=3d</w:t>
            </w:r>
          </w:p>
        </w:tc>
        <w:tc>
          <w:tcPr>
            <w:tcW w:type="dxa" w:w="1152"/>
          </w:tcPr>
          <w:p>
            <w:pPr>
              <w:spacing w:after="0"/>
              <w:jc w:val="center"/>
            </w:pPr>
            <w:r/>
            <w:r>
              <w:rPr>
                <w:sz w:val="17"/>
              </w:rPr>
              <w:t>-1.01</w:t>
            </w:r>
          </w:p>
        </w:tc>
        <w:tc>
          <w:tcPr>
            <w:tcW w:type="dxa" w:w="1152"/>
          </w:tcPr>
          <w:p>
            <w:pPr>
              <w:spacing w:after="0"/>
              <w:jc w:val="center"/>
            </w:pPr>
            <w:r/>
            <w:r>
              <w:rPr>
                <w:sz w:val="17"/>
              </w:rPr>
              <w:t>-0.10</w:t>
            </w:r>
          </w:p>
        </w:tc>
        <w:tc>
          <w:tcPr>
            <w:tcW w:type="dxa" w:w="1152"/>
          </w:tcPr>
          <w:p>
            <w:pPr>
              <w:spacing w:after="0"/>
              <w:jc w:val="center"/>
            </w:pPr>
            <w:r/>
            <w:r>
              <w:rPr>
                <w:sz w:val="17"/>
              </w:rPr>
              <w:t>-1.97</w:t>
            </w:r>
          </w:p>
        </w:tc>
        <w:tc>
          <w:tcPr>
            <w:tcW w:type="dxa" w:w="1152"/>
          </w:tcPr>
          <w:p>
            <w:pPr>
              <w:spacing w:after="0"/>
              <w:jc w:val="center"/>
            </w:pPr>
            <w:r/>
            <w:r>
              <w:rPr>
                <w:sz w:val="17"/>
              </w:rPr>
              <w:t>0.767</w:t>
            </w:r>
          </w:p>
        </w:tc>
      </w:tr>
      <w:tr>
        <w:tc>
          <w:tcPr>
            <w:tcW w:type="dxa" w:w="4032"/>
          </w:tcPr>
          <w:p>
            <w:pPr>
              <w:spacing w:after="0"/>
            </w:pPr>
            <w:r/>
            <w:r>
              <w:rPr>
                <w:sz w:val="17"/>
              </w:rPr>
              <w:t>Residual vs market L=7d</w:t>
            </w:r>
          </w:p>
        </w:tc>
        <w:tc>
          <w:tcPr>
            <w:tcW w:type="dxa" w:w="1152"/>
          </w:tcPr>
          <w:p>
            <w:pPr>
              <w:spacing w:after="0"/>
              <w:jc w:val="center"/>
            </w:pPr>
            <w:r/>
            <w:r>
              <w:rPr>
                <w:sz w:val="17"/>
              </w:rPr>
              <w:t>-0.36</w:t>
            </w:r>
          </w:p>
        </w:tc>
        <w:tc>
          <w:tcPr>
            <w:tcW w:type="dxa" w:w="1152"/>
          </w:tcPr>
          <w:p>
            <w:pPr>
              <w:spacing w:after="0"/>
              <w:jc w:val="center"/>
            </w:pPr>
            <w:r/>
            <w:r>
              <w:rPr>
                <w:sz w:val="17"/>
              </w:rPr>
              <w:t>0.09</w:t>
            </w:r>
          </w:p>
        </w:tc>
        <w:tc>
          <w:tcPr>
            <w:tcW w:type="dxa" w:w="1152"/>
          </w:tcPr>
          <w:p>
            <w:pPr>
              <w:spacing w:after="0"/>
              <w:jc w:val="center"/>
            </w:pPr>
            <w:r/>
            <w:r>
              <w:rPr>
                <w:sz w:val="17"/>
              </w:rPr>
              <w:t>-1.01</w:t>
            </w:r>
          </w:p>
        </w:tc>
        <w:tc>
          <w:tcPr>
            <w:tcW w:type="dxa" w:w="1152"/>
          </w:tcPr>
          <w:p>
            <w:pPr>
              <w:spacing w:after="0"/>
              <w:jc w:val="center"/>
            </w:pPr>
            <w:r/>
            <w:r>
              <w:rPr>
                <w:sz w:val="17"/>
              </w:rPr>
              <w:t>0.513</w:t>
            </w:r>
          </w:p>
        </w:tc>
      </w:tr>
      <w:tr>
        <w:tc>
          <w:tcPr>
            <w:tcW w:type="dxa" w:w="4032"/>
          </w:tcPr>
          <w:p>
            <w:pPr>
              <w:spacing w:after="0"/>
            </w:pPr>
            <w:r/>
            <w:r>
              <w:rPr>
                <w:sz w:val="17"/>
              </w:rPr>
              <w:t>Residual vs theme L=7d</w:t>
            </w:r>
          </w:p>
        </w:tc>
        <w:tc>
          <w:tcPr>
            <w:tcW w:type="dxa" w:w="1152"/>
          </w:tcPr>
          <w:p>
            <w:pPr>
              <w:spacing w:after="0"/>
              <w:jc w:val="center"/>
            </w:pPr>
            <w:r/>
            <w:r>
              <w:rPr>
                <w:sz w:val="17"/>
              </w:rPr>
              <w:t>-0.40</w:t>
            </w:r>
          </w:p>
        </w:tc>
        <w:tc>
          <w:tcPr>
            <w:tcW w:type="dxa" w:w="1152"/>
          </w:tcPr>
          <w:p>
            <w:pPr>
              <w:spacing w:after="0"/>
              <w:jc w:val="center"/>
            </w:pPr>
            <w:r/>
            <w:r>
              <w:rPr>
                <w:sz w:val="17"/>
              </w:rPr>
              <w:t>-0.14</w:t>
            </w:r>
          </w:p>
        </w:tc>
        <w:tc>
          <w:tcPr>
            <w:tcW w:type="dxa" w:w="1152"/>
          </w:tcPr>
          <w:p>
            <w:pPr>
              <w:spacing w:after="0"/>
              <w:jc w:val="center"/>
            </w:pPr>
            <w:r/>
            <w:r>
              <w:rPr>
                <w:sz w:val="17"/>
              </w:rPr>
              <w:t>-1.04</w:t>
            </w:r>
          </w:p>
        </w:tc>
        <w:tc>
          <w:tcPr>
            <w:tcW w:type="dxa" w:w="1152"/>
          </w:tcPr>
          <w:p>
            <w:pPr>
              <w:spacing w:after="0"/>
              <w:jc w:val="center"/>
            </w:pPr>
            <w:r/>
            <w:r>
              <w:rPr>
                <w:sz w:val="17"/>
              </w:rPr>
              <w:t>0.510</w:t>
            </w:r>
          </w:p>
        </w:tc>
      </w:tr>
      <w:tr>
        <w:tc>
          <w:tcPr>
            <w:tcW w:type="dxa" w:w="4032"/>
          </w:tcPr>
          <w:p>
            <w:pPr>
              <w:spacing w:after="0"/>
            </w:pPr>
            <w:r/>
            <w:r>
              <w:rPr>
                <w:sz w:val="17"/>
              </w:rPr>
              <w:t>Residual vs market L=14d</w:t>
            </w:r>
          </w:p>
        </w:tc>
        <w:tc>
          <w:tcPr>
            <w:tcW w:type="dxa" w:w="1152"/>
          </w:tcPr>
          <w:p>
            <w:pPr>
              <w:spacing w:after="0"/>
              <w:jc w:val="center"/>
            </w:pPr>
            <w:r/>
            <w:r>
              <w:rPr>
                <w:sz w:val="17"/>
              </w:rPr>
              <w:t>-0.34</w:t>
            </w:r>
          </w:p>
        </w:tc>
        <w:tc>
          <w:tcPr>
            <w:tcW w:type="dxa" w:w="1152"/>
          </w:tcPr>
          <w:p>
            <w:pPr>
              <w:spacing w:after="0"/>
              <w:jc w:val="center"/>
            </w:pPr>
            <w:r/>
            <w:r>
              <w:rPr>
                <w:sz w:val="17"/>
              </w:rPr>
              <w:t>0.22</w:t>
            </w:r>
          </w:p>
        </w:tc>
        <w:tc>
          <w:tcPr>
            <w:tcW w:type="dxa" w:w="1152"/>
          </w:tcPr>
          <w:p>
            <w:pPr>
              <w:spacing w:after="0"/>
              <w:jc w:val="center"/>
            </w:pPr>
            <w:r/>
            <w:r>
              <w:rPr>
                <w:sz w:val="17"/>
              </w:rPr>
              <w:t>-0.83</w:t>
            </w:r>
          </w:p>
        </w:tc>
        <w:tc>
          <w:tcPr>
            <w:tcW w:type="dxa" w:w="1152"/>
          </w:tcPr>
          <w:p>
            <w:pPr>
              <w:spacing w:after="0"/>
              <w:jc w:val="center"/>
            </w:pPr>
            <w:r/>
            <w:r>
              <w:rPr>
                <w:sz w:val="17"/>
              </w:rPr>
              <w:t>0.370</w:t>
            </w:r>
          </w:p>
        </w:tc>
      </w:tr>
      <w:tr>
        <w:tc>
          <w:tcPr>
            <w:tcW w:type="dxa" w:w="4032"/>
          </w:tcPr>
          <w:p>
            <w:pPr>
              <w:spacing w:after="0"/>
            </w:pPr>
            <w:r/>
            <w:r>
              <w:rPr>
                <w:sz w:val="17"/>
              </w:rPr>
              <w:t>Residual vs theme L=14d</w:t>
            </w:r>
          </w:p>
        </w:tc>
        <w:tc>
          <w:tcPr>
            <w:tcW w:type="dxa" w:w="1152"/>
          </w:tcPr>
          <w:p>
            <w:pPr>
              <w:spacing w:after="0"/>
              <w:jc w:val="center"/>
            </w:pPr>
            <w:r/>
            <w:r>
              <w:rPr>
                <w:sz w:val="17"/>
              </w:rPr>
              <w:t>-0.54</w:t>
            </w:r>
          </w:p>
        </w:tc>
        <w:tc>
          <w:tcPr>
            <w:tcW w:type="dxa" w:w="1152"/>
          </w:tcPr>
          <w:p>
            <w:pPr>
              <w:spacing w:after="0"/>
              <w:jc w:val="center"/>
            </w:pPr>
            <w:r/>
            <w:r>
              <w:rPr>
                <w:sz w:val="17"/>
              </w:rPr>
              <w:t>-0.01</w:t>
            </w:r>
          </w:p>
        </w:tc>
        <w:tc>
          <w:tcPr>
            <w:tcW w:type="dxa" w:w="1152"/>
          </w:tcPr>
          <w:p>
            <w:pPr>
              <w:spacing w:after="0"/>
              <w:jc w:val="center"/>
            </w:pPr>
            <w:r/>
            <w:r>
              <w:rPr>
                <w:sz w:val="17"/>
              </w:rPr>
              <w:t>-1.01</w:t>
            </w:r>
          </w:p>
        </w:tc>
        <w:tc>
          <w:tcPr>
            <w:tcW w:type="dxa" w:w="1152"/>
          </w:tcPr>
          <w:p>
            <w:pPr>
              <w:spacing w:after="0"/>
              <w:jc w:val="center"/>
            </w:pPr>
            <w:r/>
            <w:r>
              <w:rPr>
                <w:sz w:val="17"/>
              </w:rPr>
              <w:t>0.368</w:t>
            </w:r>
          </w:p>
        </w:tc>
      </w:tr>
      <w:tr>
        <w:tc>
          <w:tcPr>
            <w:tcW w:type="dxa" w:w="4032"/>
          </w:tcPr>
          <w:p>
            <w:pPr>
              <w:spacing w:after="0"/>
            </w:pPr>
            <w:r/>
            <w:r>
              <w:rPr>
                <w:sz w:val="17"/>
              </w:rPr>
              <w:t>Residual vs market L=30d</w:t>
            </w:r>
          </w:p>
        </w:tc>
        <w:tc>
          <w:tcPr>
            <w:tcW w:type="dxa" w:w="1152"/>
          </w:tcPr>
          <w:p>
            <w:pPr>
              <w:spacing w:after="0"/>
              <w:jc w:val="center"/>
            </w:pPr>
            <w:r/>
            <w:r>
              <w:rPr>
                <w:sz w:val="17"/>
              </w:rPr>
              <w:t>-0.67</w:t>
            </w:r>
          </w:p>
        </w:tc>
        <w:tc>
          <w:tcPr>
            <w:tcW w:type="dxa" w:w="1152"/>
          </w:tcPr>
          <w:p>
            <w:pPr>
              <w:spacing w:after="0"/>
              <w:jc w:val="center"/>
            </w:pPr>
            <w:r/>
            <w:r>
              <w:rPr>
                <w:sz w:val="17"/>
              </w:rPr>
              <w:t>0.06</w:t>
            </w:r>
          </w:p>
        </w:tc>
        <w:tc>
          <w:tcPr>
            <w:tcW w:type="dxa" w:w="1152"/>
          </w:tcPr>
          <w:p>
            <w:pPr>
              <w:spacing w:after="0"/>
              <w:jc w:val="center"/>
            </w:pPr>
            <w:r/>
            <w:r>
              <w:rPr>
                <w:sz w:val="17"/>
              </w:rPr>
              <w:t>-0.99</w:t>
            </w:r>
          </w:p>
        </w:tc>
        <w:tc>
          <w:tcPr>
            <w:tcW w:type="dxa" w:w="1152"/>
          </w:tcPr>
          <w:p>
            <w:pPr>
              <w:spacing w:after="0"/>
              <w:jc w:val="center"/>
            </w:pPr>
            <w:r/>
            <w:r>
              <w:rPr>
                <w:sz w:val="17"/>
              </w:rPr>
              <w:t>0.255</w:t>
            </w:r>
          </w:p>
        </w:tc>
      </w:tr>
      <w:tr>
        <w:tc>
          <w:tcPr>
            <w:tcW w:type="dxa" w:w="4032"/>
          </w:tcPr>
          <w:p>
            <w:pPr>
              <w:spacing w:after="0"/>
            </w:pPr>
            <w:r/>
            <w:r>
              <w:rPr>
                <w:sz w:val="17"/>
              </w:rPr>
              <w:t>Residual vs theme L=30d</w:t>
            </w:r>
          </w:p>
        </w:tc>
        <w:tc>
          <w:tcPr>
            <w:tcW w:type="dxa" w:w="1152"/>
          </w:tcPr>
          <w:p>
            <w:pPr>
              <w:spacing w:after="0"/>
              <w:jc w:val="center"/>
            </w:pPr>
            <w:r/>
            <w:r>
              <w:rPr>
                <w:sz w:val="17"/>
              </w:rPr>
              <w:t>-0.78</w:t>
            </w:r>
          </w:p>
        </w:tc>
        <w:tc>
          <w:tcPr>
            <w:tcW w:type="dxa" w:w="1152"/>
          </w:tcPr>
          <w:p>
            <w:pPr>
              <w:spacing w:after="0"/>
              <w:jc w:val="center"/>
            </w:pPr>
            <w:r/>
            <w:r>
              <w:rPr>
                <w:sz w:val="17"/>
              </w:rPr>
              <w:t>0.04</w:t>
            </w:r>
          </w:p>
        </w:tc>
        <w:tc>
          <w:tcPr>
            <w:tcW w:type="dxa" w:w="1152"/>
          </w:tcPr>
          <w:p>
            <w:pPr>
              <w:spacing w:after="0"/>
              <w:jc w:val="center"/>
            </w:pPr>
            <w:r/>
            <w:r>
              <w:rPr>
                <w:sz w:val="17"/>
              </w:rPr>
              <w:t>-1.09</w:t>
            </w:r>
          </w:p>
        </w:tc>
        <w:tc>
          <w:tcPr>
            <w:tcW w:type="dxa" w:w="1152"/>
          </w:tcPr>
          <w:p>
            <w:pPr>
              <w:spacing w:after="0"/>
              <w:jc w:val="center"/>
            </w:pPr>
            <w:r/>
            <w:r>
              <w:rPr>
                <w:sz w:val="17"/>
              </w:rPr>
              <w:t>0.254</w:t>
            </w:r>
          </w:p>
        </w:tc>
      </w:tr>
      <w:tr>
        <w:tc>
          <w:tcPr>
            <w:tcW w:type="dxa" w:w="4032"/>
          </w:tcPr>
          <w:p>
            <w:pPr>
              <w:spacing w:after="0"/>
            </w:pPr>
            <w:r/>
            <w:r>
              <w:rPr>
                <w:sz w:val="17"/>
              </w:rPr>
              <w:t>Residual vs market L=60d</w:t>
            </w:r>
          </w:p>
        </w:tc>
        <w:tc>
          <w:tcPr>
            <w:tcW w:type="dxa" w:w="1152"/>
          </w:tcPr>
          <w:p>
            <w:pPr>
              <w:spacing w:after="0"/>
              <w:jc w:val="center"/>
            </w:pPr>
            <w:r/>
            <w:r>
              <w:rPr>
                <w:sz w:val="17"/>
              </w:rPr>
              <w:t>-0.55</w:t>
            </w:r>
          </w:p>
        </w:tc>
        <w:tc>
          <w:tcPr>
            <w:tcW w:type="dxa" w:w="1152"/>
          </w:tcPr>
          <w:p>
            <w:pPr>
              <w:spacing w:after="0"/>
              <w:jc w:val="center"/>
            </w:pPr>
            <w:r/>
            <w:r>
              <w:rPr>
                <w:sz w:val="17"/>
              </w:rPr>
              <w:t>0.18</w:t>
            </w:r>
          </w:p>
        </w:tc>
        <w:tc>
          <w:tcPr>
            <w:tcW w:type="dxa" w:w="1152"/>
          </w:tcPr>
          <w:p>
            <w:pPr>
              <w:spacing w:after="0"/>
              <w:jc w:val="center"/>
            </w:pPr>
            <w:r/>
            <w:r>
              <w:rPr>
                <w:sz w:val="17"/>
              </w:rPr>
              <w:t>-0.78</w:t>
            </w:r>
          </w:p>
        </w:tc>
        <w:tc>
          <w:tcPr>
            <w:tcW w:type="dxa" w:w="1152"/>
          </w:tcPr>
          <w:p>
            <w:pPr>
              <w:spacing w:after="0"/>
              <w:jc w:val="center"/>
            </w:pPr>
            <w:r/>
            <w:r>
              <w:rPr>
                <w:sz w:val="17"/>
              </w:rPr>
              <w:t>0.181</w:t>
            </w:r>
          </w:p>
        </w:tc>
      </w:tr>
      <w:tr>
        <w:tc>
          <w:tcPr>
            <w:tcW w:type="dxa" w:w="4032"/>
          </w:tcPr>
          <w:p>
            <w:pPr>
              <w:spacing w:after="0"/>
            </w:pPr>
            <w:r/>
            <w:r>
              <w:rPr>
                <w:sz w:val="17"/>
              </w:rPr>
              <w:t>Residual vs theme L=60d</w:t>
            </w:r>
          </w:p>
        </w:tc>
        <w:tc>
          <w:tcPr>
            <w:tcW w:type="dxa" w:w="1152"/>
          </w:tcPr>
          <w:p>
            <w:pPr>
              <w:spacing w:after="0"/>
              <w:jc w:val="center"/>
            </w:pPr>
            <w:r/>
            <w:r>
              <w:rPr>
                <w:sz w:val="17"/>
              </w:rPr>
              <w:t>-0.76</w:t>
            </w:r>
          </w:p>
        </w:tc>
        <w:tc>
          <w:tcPr>
            <w:tcW w:type="dxa" w:w="1152"/>
          </w:tcPr>
          <w:p>
            <w:pPr>
              <w:spacing w:after="0"/>
              <w:jc w:val="center"/>
            </w:pPr>
            <w:r/>
            <w:r>
              <w:rPr>
                <w:sz w:val="17"/>
              </w:rPr>
              <w:t>-0.15</w:t>
            </w:r>
          </w:p>
        </w:tc>
        <w:tc>
          <w:tcPr>
            <w:tcW w:type="dxa" w:w="1152"/>
          </w:tcPr>
          <w:p>
            <w:pPr>
              <w:spacing w:after="0"/>
              <w:jc w:val="center"/>
            </w:pPr>
            <w:r/>
            <w:r>
              <w:rPr>
                <w:sz w:val="17"/>
              </w:rPr>
              <w:t>-1.00</w:t>
            </w:r>
          </w:p>
        </w:tc>
        <w:tc>
          <w:tcPr>
            <w:tcW w:type="dxa" w:w="1152"/>
          </w:tcPr>
          <w:p>
            <w:pPr>
              <w:spacing w:after="0"/>
              <w:jc w:val="center"/>
            </w:pPr>
            <w:r/>
            <w:r>
              <w:rPr>
                <w:sz w:val="17"/>
              </w:rPr>
              <w:t>0.185</w:t>
            </w:r>
          </w:p>
        </w:tc>
      </w:tr>
      <w:tr>
        <w:tc>
          <w:tcPr>
            <w:tcW w:type="dxa" w:w="4032"/>
          </w:tcPr>
          <w:p>
            <w:pPr>
              <w:spacing w:after="0"/>
            </w:pPr>
            <w:r/>
            <w:r>
              <w:rPr>
                <w:sz w:val="17"/>
              </w:rPr>
              <w:t>Cointegrated pairs (Kalman, walk-forward)</w:t>
            </w:r>
          </w:p>
        </w:tc>
        <w:tc>
          <w:tcPr>
            <w:tcW w:type="dxa" w:w="1152"/>
          </w:tcPr>
          <w:p>
            <w:pPr>
              <w:spacing w:after="0"/>
              <w:jc w:val="center"/>
            </w:pPr>
            <w:r/>
            <w:r>
              <w:rPr>
                <w:sz w:val="17"/>
              </w:rPr>
              <w:t>-0.46</w:t>
            </w:r>
          </w:p>
        </w:tc>
        <w:tc>
          <w:tcPr>
            <w:tcW w:type="dxa" w:w="1152"/>
          </w:tcPr>
          <w:p>
            <w:pPr>
              <w:spacing w:after="0"/>
              <w:jc w:val="center"/>
            </w:pPr>
            <w:r/>
            <w:r>
              <w:rPr>
                <w:sz w:val="17"/>
              </w:rPr>
              <w:t>1.10</w:t>
            </w:r>
          </w:p>
        </w:tc>
        <w:tc>
          <w:tcPr>
            <w:tcW w:type="dxa" w:w="1152"/>
          </w:tcPr>
          <w:p>
            <w:pPr>
              <w:spacing w:after="0"/>
              <w:jc w:val="center"/>
            </w:pPr>
            <w:r/>
            <w:r>
              <w:rPr>
                <w:sz w:val="17"/>
              </w:rPr>
              <w:t>-0.58</w:t>
            </w:r>
          </w:p>
        </w:tc>
        <w:tc>
          <w:tcPr>
            <w:tcW w:type="dxa" w:w="1152"/>
          </w:tcPr>
          <w:p>
            <w:pPr>
              <w:spacing w:after="0"/>
              <w:jc w:val="center"/>
            </w:pPr>
            <w:r/>
            <w:r>
              <w:rPr>
                <w:sz w:val="17"/>
              </w:rPr>
              <w:t>0.038</w:t>
            </w:r>
          </w:p>
        </w:tc>
      </w:tr>
    </w:tbl>
    <w:p>
      <w:pPr>
        <w:spacing w:after="40"/>
      </w:pPr>
    </w:p>
    <w:p>
      <w:pPr>
        <w:spacing w:after="120"/>
      </w:pPr>
      <w:r>
        <w:rPr>
          <w:b w:val="0"/>
          <w:i w:val="0"/>
        </w:rPr>
        <w:t>'Security A minus something correlated to it' reverses at every horizon in the research period, against the market and even more against the coin's own theme (60-day theme residual -0.76 in momentum sign, i.e. 0.76 as reversal). Cointegrated pairs, traded with a Kalman-filter hedge ratio and monthly re-selection across 430 pairs, lost money in the research period (gross -0.46) and so were not selected - although they did well in the hold-out (1.10), a reminder of how unstable these relationships are.</w:t>
      </w:r>
    </w:p>
    <w:p>
      <w:pPr>
        <w:pStyle w:val="Heading2"/>
      </w:pPr>
      <w:r>
        <w:t>6.3 Macro: volatility and dislocation</w:t>
      </w:r>
    </w:p>
    <w:p>
      <w:pPr>
        <w:keepNext/>
        <w:jc w:val="center"/>
      </w:pPr>
      <w:r>
        <w:drawing>
          <wp:inline xmlns:a="http://schemas.openxmlformats.org/drawingml/2006/main" xmlns:pic="http://schemas.openxmlformats.org/drawingml/2006/picture">
            <wp:extent cx="5943600" cy="1783080"/>
            <wp:docPr id="6" name="Picture 6"/>
            <wp:cNvGraphicFramePr>
              <a:graphicFrameLocks noChangeAspect="1"/>
            </wp:cNvGraphicFramePr>
            <a:graphic>
              <a:graphicData uri="http://schemas.openxmlformats.org/drawingml/2006/picture">
                <pic:pic>
                  <pic:nvPicPr>
                    <pic:cNvPr id="0" name="G_macro_regimes.png"/>
                    <pic:cNvPicPr/>
                  </pic:nvPicPr>
                  <pic:blipFill>
                    <a:blip r:embed="rId14"/>
                    <a:stretch>
                      <a:fillRect/>
                    </a:stretch>
                  </pic:blipFill>
                  <pic:spPr>
                    <a:xfrm>
                      <a:off x="0" y="0"/>
                      <a:ext cx="5943600" cy="1783080"/>
                    </a:xfrm>
                    <a:prstGeom prst="rect"/>
                  </pic:spPr>
                </pic:pic>
              </a:graphicData>
            </a:graphic>
          </wp:inline>
        </w:drawing>
      </w:r>
    </w:p>
    <w:p>
      <w:pPr>
        <w:spacing w:after="200"/>
        <w:jc w:val="center"/>
      </w:pPr>
      <w:r>
        <w:rPr>
          <w:i/>
          <w:sz w:val="19"/>
        </w:rPr>
        <w:t>Figure 6. Gross Sharpe by macro regime, research period.</w:t>
      </w:r>
    </w:p>
    <w:p>
      <w:pPr>
        <w:spacing w:after="120"/>
      </w:pPr>
      <w:r>
        <w:rPr>
          <w:b w:val="0"/>
          <w:i w:val="0"/>
        </w:rPr>
        <w:t>The clearest macro result is for momentum: time-series momentum earns 1.10 when implied volatility is low and -2.12 when it is high (the pattern repeats in the hold-out), which is why the DVOL filter is part of the selected strategy. For reversal, 1-day reversal is strongest when implied volatility is high (momentum-sign Sharpe -2.60) and when average correlation is high (-1.36), in line with the brief and Nagel (2012).</w:t>
      </w:r>
    </w:p>
    <w:p>
      <w:pPr>
        <w:pStyle w:val="Heading1"/>
      </w:pPr>
      <w:r>
        <w:t>7. Mechanical Strategy Selection</w:t>
      </w:r>
    </w:p>
    <w:p>
      <w:pPr>
        <w:spacing w:after="120"/>
      </w:pPr>
      <w:r>
        <w:rPr>
          <w:b w:val="0"/>
          <w:i w:val="0"/>
        </w:rPr>
        <w:t>Of the 51 signal variants, the research period assigned 17 to the momentum direction and 34 to reversal. After crossing with holding periods, the best candidate per family was:</w:t>
      </w:r>
    </w:p>
    <w:p>
      <w:pPr>
        <w:keepNext/>
        <w:spacing w:after="60"/>
      </w:pPr>
      <w:r>
        <w:rPr>
          <w:b/>
          <w:sz w:val="20"/>
        </w:rPr>
        <w:t>Table 9. Family winners (research-period net Sharpe at the book's cost).</w:t>
      </w:r>
    </w:p>
    <w:tbl>
      <w:tblPr>
        <w:tblStyle w:val="TableGrid"/>
        <w:tblW w:type="auto" w:w="0"/>
        <w:jc w:val="center"/>
        <w:tblLayout w:type="fixed"/>
        <w:tblLook w:firstColumn="1" w:firstRow="1" w:lastColumn="0" w:lastRow="0" w:noHBand="0" w:noVBand="1" w:val="04A0"/>
      </w:tblPr>
      <w:tblGrid>
        <w:gridCol w:w="3744"/>
        <w:gridCol w:w="1152"/>
        <w:gridCol w:w="1368"/>
        <w:gridCol w:w="1080"/>
        <w:gridCol w:w="1080"/>
        <w:gridCol w:w="936"/>
      </w:tblGrid>
      <w:tr>
        <w:tc>
          <w:tcPr>
            <w:tcW w:type="dxa" w:w="3744"/>
            <w:shd w:val="clear" w:fill="1F3864"/>
          </w:tcPr>
          <w:p>
            <w:pPr>
              <w:jc w:val="left"/>
            </w:pPr>
            <w:r/>
            <w:r>
              <w:rPr>
                <w:b/>
                <w:color w:val="FFFFFF"/>
                <w:sz w:val="17"/>
              </w:rPr>
              <w:t>Best candidate in family</w:t>
            </w:r>
          </w:p>
        </w:tc>
        <w:tc>
          <w:tcPr>
            <w:tcW w:type="dxa" w:w="1152"/>
            <w:shd w:val="clear" w:fill="1F3864"/>
          </w:tcPr>
          <w:p>
            <w:pPr>
              <w:jc w:val="center"/>
            </w:pPr>
            <w:r/>
            <w:r>
              <w:rPr>
                <w:b/>
                <w:color w:val="FFFFFF"/>
                <w:sz w:val="17"/>
              </w:rPr>
              <w:t>Book</w:t>
            </w:r>
          </w:p>
        </w:tc>
        <w:tc>
          <w:tcPr>
            <w:tcW w:type="dxa" w:w="1368"/>
            <w:shd w:val="clear" w:fill="1F3864"/>
          </w:tcPr>
          <w:p>
            <w:pPr>
              <w:jc w:val="center"/>
            </w:pPr>
            <w:r/>
            <w:r>
              <w:rPr>
                <w:b/>
                <w:color w:val="FFFFFF"/>
                <w:sz w:val="17"/>
              </w:rPr>
              <w:t>Net Sharpe IS (selection)</w:t>
            </w:r>
          </w:p>
        </w:tc>
        <w:tc>
          <w:tcPr>
            <w:tcW w:type="dxa" w:w="1080"/>
            <w:shd w:val="clear" w:fill="1F3864"/>
          </w:tcPr>
          <w:p>
            <w:pPr>
              <w:jc w:val="center"/>
            </w:pPr>
            <w:r/>
            <w:r>
              <w:rPr>
                <w:b/>
                <w:color w:val="FFFFFF"/>
                <w:sz w:val="17"/>
              </w:rPr>
              <w:t>Hold-out net 20</w:t>
            </w:r>
          </w:p>
        </w:tc>
        <w:tc>
          <w:tcPr>
            <w:tcW w:type="dxa" w:w="1080"/>
            <w:shd w:val="clear" w:fill="1F3864"/>
          </w:tcPr>
          <w:p>
            <w:pPr>
              <w:jc w:val="center"/>
            </w:pPr>
            <w:r/>
            <w:r>
              <w:rPr>
                <w:b/>
                <w:color w:val="FFFFFF"/>
                <w:sz w:val="17"/>
              </w:rPr>
              <w:t>Hold-out net 7</w:t>
            </w:r>
          </w:p>
        </w:tc>
        <w:tc>
          <w:tcPr>
            <w:tcW w:type="dxa" w:w="936"/>
            <w:shd w:val="clear" w:fill="1F3864"/>
          </w:tcPr>
          <w:p>
            <w:pPr>
              <w:jc w:val="center"/>
            </w:pPr>
            <w:r/>
            <w:r>
              <w:rPr>
                <w:b/>
                <w:color w:val="FFFFFF"/>
                <w:sz w:val="17"/>
              </w:rPr>
              <w:t>Turnover</w:t>
            </w:r>
          </w:p>
        </w:tc>
      </w:tr>
      <w:tr>
        <w:tc>
          <w:tcPr>
            <w:tcW w:type="dxa" w:w="3744"/>
          </w:tcPr>
          <w:p>
            <w:pPr>
              <w:spacing w:after="0"/>
            </w:pPr>
            <w:r/>
            <w:r>
              <w:rPr>
                <w:sz w:val="17"/>
              </w:rPr>
              <w:t>Theme look-back 14 momentum, hold 7</w:t>
            </w:r>
          </w:p>
        </w:tc>
        <w:tc>
          <w:tcPr>
            <w:tcW w:type="dxa" w:w="1152"/>
          </w:tcPr>
          <w:p>
            <w:pPr>
              <w:spacing w:after="0"/>
              <w:jc w:val="center"/>
            </w:pPr>
            <w:r/>
            <w:r>
              <w:rPr>
                <w:sz w:val="17"/>
              </w:rPr>
              <w:t>Momentum</w:t>
            </w:r>
          </w:p>
        </w:tc>
        <w:tc>
          <w:tcPr>
            <w:tcW w:type="dxa" w:w="1368"/>
          </w:tcPr>
          <w:p>
            <w:pPr>
              <w:spacing w:after="0"/>
              <w:jc w:val="center"/>
            </w:pPr>
            <w:r/>
            <w:r>
              <w:rPr>
                <w:sz w:val="17"/>
              </w:rPr>
              <w:t>0.57</w:t>
            </w:r>
          </w:p>
        </w:tc>
        <w:tc>
          <w:tcPr>
            <w:tcW w:type="dxa" w:w="1080"/>
          </w:tcPr>
          <w:p>
            <w:pPr>
              <w:spacing w:after="0"/>
              <w:jc w:val="center"/>
            </w:pPr>
            <w:r/>
            <w:r>
              <w:rPr>
                <w:sz w:val="17"/>
              </w:rPr>
              <w:t>-0.45</w:t>
            </w:r>
          </w:p>
        </w:tc>
        <w:tc>
          <w:tcPr>
            <w:tcW w:type="dxa" w:w="1080"/>
          </w:tcPr>
          <w:p>
            <w:pPr>
              <w:spacing w:after="0"/>
              <w:jc w:val="center"/>
            </w:pPr>
            <w:r/>
            <w:r>
              <w:rPr>
                <w:sz w:val="17"/>
              </w:rPr>
              <w:t>-0.09</w:t>
            </w:r>
          </w:p>
        </w:tc>
        <w:tc>
          <w:tcPr>
            <w:tcW w:type="dxa" w:w="936"/>
          </w:tcPr>
          <w:p>
            <w:pPr>
              <w:spacing w:after="0"/>
              <w:jc w:val="center"/>
            </w:pPr>
            <w:r/>
            <w:r>
              <w:rPr>
                <w:sz w:val="17"/>
              </w:rPr>
              <w:t>0.17</w:t>
            </w:r>
          </w:p>
        </w:tc>
      </w:tr>
      <w:tr>
        <w:tc>
          <w:tcPr>
            <w:tcW w:type="dxa" w:w="3744"/>
          </w:tcPr>
          <w:p>
            <w:pPr>
              <w:spacing w:after="0"/>
            </w:pPr>
            <w:r/>
            <w:r>
              <w:rPr>
                <w:sz w:val="17"/>
              </w:rPr>
              <w:t>TS look-back 7/14/28 blend + DVOL filter momentum, hold 1</w:t>
            </w:r>
          </w:p>
        </w:tc>
        <w:tc>
          <w:tcPr>
            <w:tcW w:type="dxa" w:w="1152"/>
          </w:tcPr>
          <w:p>
            <w:pPr>
              <w:spacing w:after="0"/>
              <w:jc w:val="center"/>
            </w:pPr>
            <w:r/>
            <w:r>
              <w:rPr>
                <w:sz w:val="17"/>
              </w:rPr>
              <w:t>Momentum</w:t>
            </w:r>
          </w:p>
        </w:tc>
        <w:tc>
          <w:tcPr>
            <w:tcW w:type="dxa" w:w="1368"/>
          </w:tcPr>
          <w:p>
            <w:pPr>
              <w:spacing w:after="0"/>
              <w:jc w:val="center"/>
            </w:pPr>
            <w:r/>
            <w:r>
              <w:rPr>
                <w:sz w:val="17"/>
              </w:rPr>
              <w:t>0.55</w:t>
            </w:r>
          </w:p>
        </w:tc>
        <w:tc>
          <w:tcPr>
            <w:tcW w:type="dxa" w:w="1080"/>
          </w:tcPr>
          <w:p>
            <w:pPr>
              <w:spacing w:after="0"/>
              <w:jc w:val="center"/>
            </w:pPr>
            <w:r/>
            <w:r>
              <w:rPr>
                <w:sz w:val="17"/>
              </w:rPr>
              <w:t>0.62</w:t>
            </w:r>
          </w:p>
        </w:tc>
        <w:tc>
          <w:tcPr>
            <w:tcW w:type="dxa" w:w="1080"/>
          </w:tcPr>
          <w:p>
            <w:pPr>
              <w:spacing w:after="0"/>
              <w:jc w:val="center"/>
            </w:pPr>
            <w:r/>
            <w:r>
              <w:rPr>
                <w:sz w:val="17"/>
              </w:rPr>
              <w:t>0.90</w:t>
            </w:r>
          </w:p>
        </w:tc>
        <w:tc>
          <w:tcPr>
            <w:tcW w:type="dxa" w:w="936"/>
          </w:tcPr>
          <w:p>
            <w:pPr>
              <w:spacing w:after="0"/>
              <w:jc w:val="center"/>
            </w:pPr>
            <w:r/>
            <w:r>
              <w:rPr>
                <w:sz w:val="17"/>
              </w:rPr>
              <w:t>0.24</w:t>
            </w:r>
          </w:p>
        </w:tc>
      </w:tr>
      <w:tr>
        <w:tc>
          <w:tcPr>
            <w:tcW w:type="dxa" w:w="3744"/>
          </w:tcPr>
          <w:p>
            <w:pPr>
              <w:spacing w:after="0"/>
            </w:pPr>
            <w:r/>
            <w:r>
              <w:rPr>
                <w:sz w:val="17"/>
              </w:rPr>
              <w:t>CS look-back 14 momentum, hold 3</w:t>
            </w:r>
          </w:p>
        </w:tc>
        <w:tc>
          <w:tcPr>
            <w:tcW w:type="dxa" w:w="1152"/>
          </w:tcPr>
          <w:p>
            <w:pPr>
              <w:spacing w:after="0"/>
              <w:jc w:val="center"/>
            </w:pPr>
            <w:r/>
            <w:r>
              <w:rPr>
                <w:sz w:val="17"/>
              </w:rPr>
              <w:t>Momentum</w:t>
            </w:r>
          </w:p>
        </w:tc>
        <w:tc>
          <w:tcPr>
            <w:tcW w:type="dxa" w:w="1368"/>
          </w:tcPr>
          <w:p>
            <w:pPr>
              <w:spacing w:after="0"/>
              <w:jc w:val="center"/>
            </w:pPr>
            <w:r/>
            <w:r>
              <w:rPr>
                <w:sz w:val="17"/>
              </w:rPr>
              <w:t>-0.56</w:t>
            </w:r>
          </w:p>
        </w:tc>
        <w:tc>
          <w:tcPr>
            <w:tcW w:type="dxa" w:w="1080"/>
          </w:tcPr>
          <w:p>
            <w:pPr>
              <w:spacing w:after="0"/>
              <w:jc w:val="center"/>
            </w:pPr>
            <w:r/>
            <w:r>
              <w:rPr>
                <w:sz w:val="17"/>
              </w:rPr>
              <w:t>-0.20</w:t>
            </w:r>
          </w:p>
        </w:tc>
        <w:tc>
          <w:tcPr>
            <w:tcW w:type="dxa" w:w="1080"/>
          </w:tcPr>
          <w:p>
            <w:pPr>
              <w:spacing w:after="0"/>
              <w:jc w:val="center"/>
            </w:pPr>
            <w:r/>
            <w:r>
              <w:rPr>
                <w:sz w:val="17"/>
              </w:rPr>
              <w:t>0.23</w:t>
            </w:r>
          </w:p>
        </w:tc>
        <w:tc>
          <w:tcPr>
            <w:tcW w:type="dxa" w:w="936"/>
          </w:tcPr>
          <w:p>
            <w:pPr>
              <w:spacing w:after="0"/>
              <w:jc w:val="center"/>
            </w:pPr>
            <w:r/>
            <w:r>
              <w:rPr>
                <w:sz w:val="17"/>
              </w:rPr>
              <w:t>0.23</w:t>
            </w:r>
          </w:p>
        </w:tc>
      </w:tr>
      <w:tr>
        <w:tc>
          <w:tcPr>
            <w:tcW w:type="dxa" w:w="3744"/>
          </w:tcPr>
          <w:p>
            <w:pPr>
              <w:spacing w:after="0"/>
            </w:pPr>
            <w:r/>
            <w:r>
              <w:rPr>
                <w:sz w:val="17"/>
              </w:rPr>
              <w:t>Residual vs theme look-back 60 reversal, hold 7</w:t>
            </w:r>
          </w:p>
        </w:tc>
        <w:tc>
          <w:tcPr>
            <w:tcW w:type="dxa" w:w="1152"/>
          </w:tcPr>
          <w:p>
            <w:pPr>
              <w:spacing w:after="0"/>
              <w:jc w:val="center"/>
            </w:pPr>
            <w:r/>
            <w:r>
              <w:rPr>
                <w:sz w:val="17"/>
              </w:rPr>
              <w:t>Reversal</w:t>
            </w:r>
          </w:p>
        </w:tc>
        <w:tc>
          <w:tcPr>
            <w:tcW w:type="dxa" w:w="1368"/>
          </w:tcPr>
          <w:p>
            <w:pPr>
              <w:spacing w:after="0"/>
              <w:jc w:val="center"/>
            </w:pPr>
            <w:r/>
            <w:r>
              <w:rPr>
                <w:sz w:val="17"/>
              </w:rPr>
              <w:t>0.81</w:t>
            </w:r>
          </w:p>
        </w:tc>
        <w:tc>
          <w:tcPr>
            <w:tcW w:type="dxa" w:w="1080"/>
          </w:tcPr>
          <w:p>
            <w:pPr>
              <w:spacing w:after="0"/>
              <w:jc w:val="center"/>
            </w:pPr>
            <w:r/>
            <w:r>
              <w:rPr>
                <w:sz w:val="17"/>
              </w:rPr>
              <w:t>-0.09</w:t>
            </w:r>
          </w:p>
        </w:tc>
        <w:tc>
          <w:tcPr>
            <w:tcW w:type="dxa" w:w="1080"/>
          </w:tcPr>
          <w:p>
            <w:pPr>
              <w:spacing w:after="0"/>
              <w:jc w:val="center"/>
            </w:pPr>
            <w:r/>
            <w:r>
              <w:rPr>
                <w:sz w:val="17"/>
              </w:rPr>
              <w:t>0.05</w:t>
            </w:r>
          </w:p>
        </w:tc>
        <w:tc>
          <w:tcPr>
            <w:tcW w:type="dxa" w:w="936"/>
          </w:tcPr>
          <w:p>
            <w:pPr>
              <w:spacing w:after="0"/>
              <w:jc w:val="center"/>
            </w:pPr>
            <w:r/>
            <w:r>
              <w:rPr>
                <w:sz w:val="17"/>
              </w:rPr>
              <w:t>0.07</w:t>
            </w:r>
          </w:p>
        </w:tc>
      </w:tr>
      <w:tr>
        <w:tc>
          <w:tcPr>
            <w:tcW w:type="dxa" w:w="3744"/>
          </w:tcPr>
          <w:p>
            <w:pPr>
              <w:spacing w:after="0"/>
            </w:pPr>
            <w:r/>
            <w:r>
              <w:rPr>
                <w:sz w:val="17"/>
              </w:rPr>
              <w:t>CS look-back 120 reversal, hold 7</w:t>
            </w:r>
          </w:p>
        </w:tc>
        <w:tc>
          <w:tcPr>
            <w:tcW w:type="dxa" w:w="1152"/>
          </w:tcPr>
          <w:p>
            <w:pPr>
              <w:spacing w:after="0"/>
              <w:jc w:val="center"/>
            </w:pPr>
            <w:r/>
            <w:r>
              <w:rPr>
                <w:sz w:val="17"/>
              </w:rPr>
              <w:t>Reversal</w:t>
            </w:r>
          </w:p>
        </w:tc>
        <w:tc>
          <w:tcPr>
            <w:tcW w:type="dxa" w:w="1368"/>
          </w:tcPr>
          <w:p>
            <w:pPr>
              <w:spacing w:after="0"/>
              <w:jc w:val="center"/>
            </w:pPr>
            <w:r/>
            <w:r>
              <w:rPr>
                <w:sz w:val="17"/>
              </w:rPr>
              <w:t>0.67</w:t>
            </w:r>
          </w:p>
        </w:tc>
        <w:tc>
          <w:tcPr>
            <w:tcW w:type="dxa" w:w="1080"/>
          </w:tcPr>
          <w:p>
            <w:pPr>
              <w:spacing w:after="0"/>
              <w:jc w:val="center"/>
            </w:pPr>
            <w:r/>
            <w:r>
              <w:rPr>
                <w:sz w:val="17"/>
              </w:rPr>
              <w:t>-0.16</w:t>
            </w:r>
          </w:p>
        </w:tc>
        <w:tc>
          <w:tcPr>
            <w:tcW w:type="dxa" w:w="1080"/>
          </w:tcPr>
          <w:p>
            <w:pPr>
              <w:spacing w:after="0"/>
              <w:jc w:val="center"/>
            </w:pPr>
            <w:r/>
            <w:r>
              <w:rPr>
                <w:sz w:val="17"/>
              </w:rPr>
              <w:t>-0.07</w:t>
            </w:r>
          </w:p>
        </w:tc>
        <w:tc>
          <w:tcPr>
            <w:tcW w:type="dxa" w:w="936"/>
          </w:tcPr>
          <w:p>
            <w:pPr>
              <w:spacing w:after="0"/>
              <w:jc w:val="center"/>
            </w:pPr>
            <w:r/>
            <w:r>
              <w:rPr>
                <w:sz w:val="17"/>
              </w:rPr>
              <w:t>0.05</w:t>
            </w:r>
          </w:p>
        </w:tc>
      </w:tr>
      <w:tr>
        <w:tc>
          <w:tcPr>
            <w:tcW w:type="dxa" w:w="3744"/>
          </w:tcPr>
          <w:p>
            <w:pPr>
              <w:spacing w:after="0"/>
            </w:pPr>
            <w:r/>
            <w:r>
              <w:rPr>
                <w:sz w:val="17"/>
              </w:rPr>
              <w:t>Residual vs market look-back 60 reversal, hold 7</w:t>
            </w:r>
          </w:p>
        </w:tc>
        <w:tc>
          <w:tcPr>
            <w:tcW w:type="dxa" w:w="1152"/>
          </w:tcPr>
          <w:p>
            <w:pPr>
              <w:spacing w:after="0"/>
              <w:jc w:val="center"/>
            </w:pPr>
            <w:r/>
            <w:r>
              <w:rPr>
                <w:sz w:val="17"/>
              </w:rPr>
              <w:t>Reversal</w:t>
            </w:r>
          </w:p>
        </w:tc>
        <w:tc>
          <w:tcPr>
            <w:tcW w:type="dxa" w:w="1368"/>
          </w:tcPr>
          <w:p>
            <w:pPr>
              <w:spacing w:after="0"/>
              <w:jc w:val="center"/>
            </w:pPr>
            <w:r/>
            <w:r>
              <w:rPr>
                <w:sz w:val="17"/>
              </w:rPr>
              <w:t>0.65</w:t>
            </w:r>
          </w:p>
        </w:tc>
        <w:tc>
          <w:tcPr>
            <w:tcW w:type="dxa" w:w="1080"/>
          </w:tcPr>
          <w:p>
            <w:pPr>
              <w:spacing w:after="0"/>
              <w:jc w:val="center"/>
            </w:pPr>
            <w:r/>
            <w:r>
              <w:rPr>
                <w:sz w:val="17"/>
              </w:rPr>
              <w:t>-0.40</w:t>
            </w:r>
          </w:p>
        </w:tc>
        <w:tc>
          <w:tcPr>
            <w:tcW w:type="dxa" w:w="1080"/>
          </w:tcPr>
          <w:p>
            <w:pPr>
              <w:spacing w:after="0"/>
              <w:jc w:val="center"/>
            </w:pPr>
            <w:r/>
            <w:r>
              <w:rPr>
                <w:sz w:val="17"/>
              </w:rPr>
              <w:t>-0.26</w:t>
            </w:r>
          </w:p>
        </w:tc>
        <w:tc>
          <w:tcPr>
            <w:tcW w:type="dxa" w:w="936"/>
          </w:tcPr>
          <w:p>
            <w:pPr>
              <w:spacing w:after="0"/>
              <w:jc w:val="center"/>
            </w:pPr>
            <w:r/>
            <w:r>
              <w:rPr>
                <w:sz w:val="17"/>
              </w:rPr>
              <w:t>0.07</w:t>
            </w:r>
          </w:p>
        </w:tc>
      </w:tr>
      <w:tr>
        <w:tc>
          <w:tcPr>
            <w:tcW w:type="dxa" w:w="3744"/>
          </w:tcPr>
          <w:p>
            <w:pPr>
              <w:spacing w:after="0"/>
            </w:pPr>
            <w:r/>
            <w:r>
              <w:rPr>
                <w:sz w:val="17"/>
              </w:rPr>
              <w:t>TS look-back 90 reversal, hold 1</w:t>
            </w:r>
          </w:p>
        </w:tc>
        <w:tc>
          <w:tcPr>
            <w:tcW w:type="dxa" w:w="1152"/>
          </w:tcPr>
          <w:p>
            <w:pPr>
              <w:spacing w:after="0"/>
              <w:jc w:val="center"/>
            </w:pPr>
            <w:r/>
            <w:r>
              <w:rPr>
                <w:sz w:val="17"/>
              </w:rPr>
              <w:t>Reversal</w:t>
            </w:r>
          </w:p>
        </w:tc>
        <w:tc>
          <w:tcPr>
            <w:tcW w:type="dxa" w:w="1368"/>
          </w:tcPr>
          <w:p>
            <w:pPr>
              <w:spacing w:after="0"/>
              <w:jc w:val="center"/>
            </w:pPr>
            <w:r/>
            <w:r>
              <w:rPr>
                <w:sz w:val="17"/>
              </w:rPr>
              <w:t>0.34</w:t>
            </w:r>
          </w:p>
        </w:tc>
        <w:tc>
          <w:tcPr>
            <w:tcW w:type="dxa" w:w="1080"/>
          </w:tcPr>
          <w:p>
            <w:pPr>
              <w:spacing w:after="0"/>
              <w:jc w:val="center"/>
            </w:pPr>
            <w:r/>
            <w:r>
              <w:rPr>
                <w:sz w:val="17"/>
              </w:rPr>
              <w:t>-0.58</w:t>
            </w:r>
          </w:p>
        </w:tc>
        <w:tc>
          <w:tcPr>
            <w:tcW w:type="dxa" w:w="1080"/>
          </w:tcPr>
          <w:p>
            <w:pPr>
              <w:spacing w:after="0"/>
              <w:jc w:val="center"/>
            </w:pPr>
            <w:r/>
            <w:r>
              <w:rPr>
                <w:sz w:val="17"/>
              </w:rPr>
              <w:t>-0.48</w:t>
            </w:r>
          </w:p>
        </w:tc>
        <w:tc>
          <w:tcPr>
            <w:tcW w:type="dxa" w:w="936"/>
          </w:tcPr>
          <w:p>
            <w:pPr>
              <w:spacing w:after="0"/>
              <w:jc w:val="center"/>
            </w:pPr>
            <w:r/>
            <w:r>
              <w:rPr>
                <w:sz w:val="17"/>
              </w:rPr>
              <w:t>0.12</w:t>
            </w:r>
          </w:p>
        </w:tc>
      </w:tr>
      <w:tr>
        <w:tc>
          <w:tcPr>
            <w:tcW w:type="dxa" w:w="3744"/>
          </w:tcPr>
          <w:p>
            <w:pPr>
              <w:spacing w:after="0"/>
            </w:pPr>
            <w:r/>
            <w:r>
              <w:rPr>
                <w:sz w:val="17"/>
              </w:rPr>
              <w:t>Short-term (1d) in high-vol regime reversal, hold 2</w:t>
            </w:r>
          </w:p>
        </w:tc>
        <w:tc>
          <w:tcPr>
            <w:tcW w:type="dxa" w:w="1152"/>
          </w:tcPr>
          <w:p>
            <w:pPr>
              <w:spacing w:after="0"/>
              <w:jc w:val="center"/>
            </w:pPr>
            <w:r/>
            <w:r>
              <w:rPr>
                <w:sz w:val="17"/>
              </w:rPr>
              <w:t>Reversal</w:t>
            </w:r>
          </w:p>
        </w:tc>
        <w:tc>
          <w:tcPr>
            <w:tcW w:type="dxa" w:w="1368"/>
          </w:tcPr>
          <w:p>
            <w:pPr>
              <w:spacing w:after="0"/>
              <w:jc w:val="center"/>
            </w:pPr>
            <w:r/>
            <w:r>
              <w:rPr>
                <w:sz w:val="17"/>
              </w:rPr>
              <w:t>0.29</w:t>
            </w:r>
          </w:p>
        </w:tc>
        <w:tc>
          <w:tcPr>
            <w:tcW w:type="dxa" w:w="1080"/>
          </w:tcPr>
          <w:p>
            <w:pPr>
              <w:spacing w:after="0"/>
              <w:jc w:val="center"/>
            </w:pPr>
            <w:r/>
            <w:r>
              <w:rPr>
                <w:sz w:val="17"/>
              </w:rPr>
              <w:t>-1.76</w:t>
            </w:r>
          </w:p>
        </w:tc>
        <w:tc>
          <w:tcPr>
            <w:tcW w:type="dxa" w:w="1080"/>
          </w:tcPr>
          <w:p>
            <w:pPr>
              <w:spacing w:after="0"/>
              <w:jc w:val="center"/>
            </w:pPr>
            <w:r/>
            <w:r>
              <w:rPr>
                <w:sz w:val="17"/>
              </w:rPr>
              <w:t>-0.66</w:t>
            </w:r>
          </w:p>
        </w:tc>
        <w:tc>
          <w:tcPr>
            <w:tcW w:type="dxa" w:w="936"/>
          </w:tcPr>
          <w:p>
            <w:pPr>
              <w:spacing w:after="0"/>
              <w:jc w:val="center"/>
            </w:pPr>
            <w:r/>
            <w:r>
              <w:rPr>
                <w:sz w:val="17"/>
              </w:rPr>
              <w:t>0.27</w:t>
            </w:r>
          </w:p>
        </w:tc>
      </w:tr>
      <w:tr>
        <w:tc>
          <w:tcPr>
            <w:tcW w:type="dxa" w:w="3744"/>
          </w:tcPr>
          <w:p>
            <w:pPr>
              <w:spacing w:after="0"/>
            </w:pPr>
            <w:r/>
            <w:r>
              <w:rPr>
                <w:sz w:val="17"/>
              </w:rPr>
              <w:t>Cointegrated pairs REV</w:t>
            </w:r>
          </w:p>
        </w:tc>
        <w:tc>
          <w:tcPr>
            <w:tcW w:type="dxa" w:w="1152"/>
          </w:tcPr>
          <w:p>
            <w:pPr>
              <w:spacing w:after="0"/>
              <w:jc w:val="center"/>
            </w:pPr>
            <w:r/>
            <w:r>
              <w:rPr>
                <w:sz w:val="17"/>
              </w:rPr>
              <w:t>Reversal</w:t>
            </w:r>
          </w:p>
        </w:tc>
        <w:tc>
          <w:tcPr>
            <w:tcW w:type="dxa" w:w="1368"/>
          </w:tcPr>
          <w:p>
            <w:pPr>
              <w:spacing w:after="0"/>
              <w:jc w:val="center"/>
            </w:pPr>
            <w:r/>
            <w:r>
              <w:rPr>
                <w:sz w:val="17"/>
              </w:rPr>
              <w:t>-0.58</w:t>
            </w:r>
          </w:p>
        </w:tc>
        <w:tc>
          <w:tcPr>
            <w:tcW w:type="dxa" w:w="1080"/>
          </w:tcPr>
          <w:p>
            <w:pPr>
              <w:spacing w:after="0"/>
              <w:jc w:val="center"/>
            </w:pPr>
            <w:r/>
            <w:r>
              <w:rPr>
                <w:sz w:val="17"/>
              </w:rPr>
              <w:t>0.64</w:t>
            </w:r>
          </w:p>
        </w:tc>
        <w:tc>
          <w:tcPr>
            <w:tcW w:type="dxa" w:w="1080"/>
          </w:tcPr>
          <w:p>
            <w:pPr>
              <w:spacing w:after="0"/>
              <w:jc w:val="center"/>
            </w:pPr>
            <w:r/>
            <w:r>
              <w:rPr>
                <w:sz w:val="17"/>
              </w:rPr>
              <w:t>0.94</w:t>
            </w:r>
          </w:p>
        </w:tc>
        <w:tc>
          <w:tcPr>
            <w:tcW w:type="dxa" w:w="936"/>
          </w:tcPr>
          <w:p>
            <w:pPr>
              <w:spacing w:after="0"/>
              <w:jc w:val="center"/>
            </w:pPr>
            <w:r/>
            <w:r>
              <w:rPr>
                <w:sz w:val="17"/>
              </w:rPr>
              <w:t>0.04</w:t>
            </w:r>
          </w:p>
        </w:tc>
      </w:tr>
    </w:tbl>
    <w:p>
      <w:pPr>
        <w:spacing w:after="40"/>
      </w:pPr>
    </w:p>
    <w:p>
      <w:pPr>
        <w:spacing w:after="60"/>
      </w:pPr>
      <w:r>
        <w:rPr>
          <w:b w:val="0"/>
          <w:i w:val="0"/>
        </w:rPr>
        <w:t>Selected books (families with positive research-period net Sharpe, top three per book):</w:t>
      </w:r>
    </w:p>
    <w:p>
      <w:pPr>
        <w:pStyle w:val="ListBullet"/>
      </w:pPr>
      <w:r>
        <w:rPr>
          <w:b/>
        </w:rPr>
        <w:t xml:space="preserve">Momentum: </w:t>
      </w:r>
      <w:r>
        <w:t>Theme look-back 14 momentum, hold 7</w:t>
      </w:r>
    </w:p>
    <w:p>
      <w:pPr>
        <w:pStyle w:val="ListBullet"/>
      </w:pPr>
      <w:r>
        <w:rPr>
          <w:b/>
        </w:rPr>
        <w:t xml:space="preserve">Momentum: </w:t>
      </w:r>
      <w:r>
        <w:t>TS look-back 7/14/28 blend + DVOL filter momentum, hold 1</w:t>
      </w:r>
    </w:p>
    <w:p>
      <w:pPr>
        <w:pStyle w:val="ListBullet"/>
      </w:pPr>
      <w:r>
        <w:rPr>
          <w:b/>
        </w:rPr>
        <w:t xml:space="preserve">Reversal: </w:t>
      </w:r>
      <w:r>
        <w:t>Residual vs theme look-back 60 reversal, hold 7</w:t>
      </w:r>
    </w:p>
    <w:p>
      <w:pPr>
        <w:pStyle w:val="ListBullet"/>
      </w:pPr>
      <w:r>
        <w:rPr>
          <w:b/>
        </w:rPr>
        <w:t xml:space="preserve">Reversal: </w:t>
      </w:r>
      <w:r>
        <w:t>CS look-back 120 reversal, hold 7</w:t>
      </w:r>
    </w:p>
    <w:p>
      <w:pPr>
        <w:pStyle w:val="ListBullet"/>
      </w:pPr>
      <w:r>
        <w:rPr>
          <w:b/>
        </w:rPr>
        <w:t xml:space="preserve">Reversal: </w:t>
      </w:r>
      <w:r>
        <w:t>Residual vs market look-back 60 reversal, hold 7</w:t>
      </w:r>
    </w:p>
    <w:p>
      <w:pPr>
        <w:spacing w:after="120"/>
      </w:pPr>
      <w:r>
        <w:rPr>
          <w:b w:val="0"/>
          <w:i w:val="0"/>
        </w:rPr>
        <w:t>Cross-sectional momentum has no variant with a positive net Sharpe after 20 bps, so the momentum book has two members.</w:t>
      </w:r>
    </w:p>
    <w:p>
      <w:pPr>
        <w:pStyle w:val="Heading1"/>
      </w:pPr>
      <w:r>
        <w:t>8. Execution</w:t>
      </w:r>
    </w:p>
    <w:p>
      <w:pPr>
        <w:keepNext/>
        <w:spacing w:after="60"/>
      </w:pPr>
      <w:r>
        <w:rPr>
          <w:b/>
          <w:sz w:val="20"/>
        </w:rPr>
        <w:t>Table 10. Execution variants (book cost: momentum 20 bps, reversal 7 bps; 'other' swaps them).</w:t>
      </w:r>
    </w:p>
    <w:tbl>
      <w:tblPr>
        <w:tblStyle w:val="TableGrid"/>
        <w:tblW w:type="auto" w:w="0"/>
        <w:jc w:val="center"/>
        <w:tblLayout w:type="fixed"/>
        <w:tblLook w:firstColumn="1" w:firstRow="1" w:lastColumn="0" w:lastRow="0" w:noHBand="0" w:noVBand="1" w:val="04A0"/>
      </w:tblPr>
      <w:tblGrid>
        <w:gridCol w:w="1152"/>
        <w:gridCol w:w="2232"/>
        <w:gridCol w:w="1080"/>
        <w:gridCol w:w="1080"/>
        <w:gridCol w:w="1224"/>
        <w:gridCol w:w="1224"/>
        <w:gridCol w:w="1296"/>
      </w:tblGrid>
      <w:tr>
        <w:tc>
          <w:tcPr>
            <w:tcW w:type="dxa" w:w="1152"/>
            <w:shd w:val="clear" w:fill="1F3864"/>
          </w:tcPr>
          <w:p>
            <w:pPr>
              <w:jc w:val="left"/>
            </w:pPr>
            <w:r/>
            <w:r>
              <w:rPr>
                <w:b/>
                <w:color w:val="FFFFFF"/>
                <w:sz w:val="17"/>
              </w:rPr>
              <w:t>Book</w:t>
            </w:r>
          </w:p>
        </w:tc>
        <w:tc>
          <w:tcPr>
            <w:tcW w:type="dxa" w:w="2232"/>
            <w:shd w:val="clear" w:fill="1F3864"/>
          </w:tcPr>
          <w:p>
            <w:pPr>
              <w:jc w:val="center"/>
            </w:pPr>
            <w:r/>
            <w:r>
              <w:rPr>
                <w:b/>
                <w:color w:val="FFFFFF"/>
                <w:sz w:val="17"/>
              </w:rPr>
              <w:t>Execution</w:t>
            </w:r>
          </w:p>
        </w:tc>
        <w:tc>
          <w:tcPr>
            <w:tcW w:type="dxa" w:w="1080"/>
            <w:shd w:val="clear" w:fill="1F3864"/>
          </w:tcPr>
          <w:p>
            <w:pPr>
              <w:jc w:val="center"/>
            </w:pPr>
            <w:r/>
            <w:r>
              <w:rPr>
                <w:b/>
                <w:color w:val="FFFFFF"/>
                <w:sz w:val="17"/>
              </w:rPr>
              <w:t>Turnover/day</w:t>
            </w:r>
          </w:p>
        </w:tc>
        <w:tc>
          <w:tcPr>
            <w:tcW w:type="dxa" w:w="1080"/>
            <w:shd w:val="clear" w:fill="1F3864"/>
          </w:tcPr>
          <w:p>
            <w:pPr>
              <w:jc w:val="center"/>
            </w:pPr>
            <w:r/>
            <w:r>
              <w:rPr>
                <w:b/>
                <w:color w:val="FFFFFF"/>
                <w:sz w:val="17"/>
              </w:rPr>
              <w:t>Gross Sharpe</w:t>
            </w:r>
          </w:p>
        </w:tc>
        <w:tc>
          <w:tcPr>
            <w:tcW w:type="dxa" w:w="1224"/>
            <w:shd w:val="clear" w:fill="1F3864"/>
          </w:tcPr>
          <w:p>
            <w:pPr>
              <w:jc w:val="center"/>
            </w:pPr>
            <w:r/>
            <w:r>
              <w:rPr>
                <w:b/>
                <w:color w:val="FFFFFF"/>
                <w:sz w:val="17"/>
              </w:rPr>
              <w:t>IS at book cost</w:t>
            </w:r>
          </w:p>
        </w:tc>
        <w:tc>
          <w:tcPr>
            <w:tcW w:type="dxa" w:w="1224"/>
            <w:shd w:val="clear" w:fill="1F3864"/>
          </w:tcPr>
          <w:p>
            <w:pPr>
              <w:jc w:val="center"/>
            </w:pPr>
            <w:r/>
            <w:r>
              <w:rPr>
                <w:b/>
                <w:color w:val="FFFFFF"/>
                <w:sz w:val="17"/>
              </w:rPr>
              <w:t>Full at book cost</w:t>
            </w:r>
          </w:p>
        </w:tc>
        <w:tc>
          <w:tcPr>
            <w:tcW w:type="dxa" w:w="1296"/>
            <w:shd w:val="clear" w:fill="1F3864"/>
          </w:tcPr>
          <w:p>
            <w:pPr>
              <w:jc w:val="center"/>
            </w:pPr>
            <w:r/>
            <w:r>
              <w:rPr>
                <w:b/>
                <w:color w:val="FFFFFF"/>
                <w:sz w:val="17"/>
              </w:rPr>
              <w:t>Full at other cost</w:t>
            </w:r>
          </w:p>
        </w:tc>
      </w:tr>
      <w:tr>
        <w:tc>
          <w:tcPr>
            <w:tcW w:type="dxa" w:w="1152"/>
          </w:tcPr>
          <w:p>
            <w:pPr>
              <w:spacing w:after="0"/>
            </w:pPr>
            <w:r/>
            <w:r>
              <w:rPr>
                <w:sz w:val="17"/>
              </w:rPr>
              <w:t>Momentum</w:t>
            </w:r>
          </w:p>
        </w:tc>
        <w:tc>
          <w:tcPr>
            <w:tcW w:type="dxa" w:w="2232"/>
          </w:tcPr>
          <w:p>
            <w:pPr>
              <w:spacing w:after="0"/>
              <w:jc w:val="center"/>
            </w:pPr>
            <w:r/>
            <w:r>
              <w:rPr>
                <w:sz w:val="17"/>
              </w:rPr>
              <w:t>Daily rebalance</w:t>
            </w:r>
          </w:p>
        </w:tc>
        <w:tc>
          <w:tcPr>
            <w:tcW w:type="dxa" w:w="1080"/>
          </w:tcPr>
          <w:p>
            <w:pPr>
              <w:spacing w:after="0"/>
              <w:jc w:val="center"/>
            </w:pPr>
            <w:r/>
            <w:r>
              <w:rPr>
                <w:sz w:val="17"/>
              </w:rPr>
              <w:t>0.206</w:t>
            </w:r>
          </w:p>
        </w:tc>
        <w:tc>
          <w:tcPr>
            <w:tcW w:type="dxa" w:w="1080"/>
          </w:tcPr>
          <w:p>
            <w:pPr>
              <w:spacing w:after="0"/>
              <w:jc w:val="center"/>
            </w:pPr>
            <w:r/>
            <w:r>
              <w:rPr>
                <w:sz w:val="17"/>
              </w:rPr>
              <w:t>0.98</w:t>
            </w:r>
          </w:p>
        </w:tc>
        <w:tc>
          <w:tcPr>
            <w:tcW w:type="dxa" w:w="1224"/>
          </w:tcPr>
          <w:p>
            <w:pPr>
              <w:spacing w:after="0"/>
              <w:jc w:val="center"/>
            </w:pPr>
            <w:r/>
            <w:r>
              <w:rPr>
                <w:sz w:val="17"/>
              </w:rPr>
              <w:t>0.65</w:t>
            </w:r>
          </w:p>
        </w:tc>
        <w:tc>
          <w:tcPr>
            <w:tcW w:type="dxa" w:w="1224"/>
          </w:tcPr>
          <w:p>
            <w:pPr>
              <w:spacing w:after="0"/>
              <w:jc w:val="center"/>
            </w:pPr>
            <w:r/>
            <w:r>
              <w:rPr>
                <w:sz w:val="17"/>
              </w:rPr>
              <w:t>0.48</w:t>
            </w:r>
          </w:p>
        </w:tc>
        <w:tc>
          <w:tcPr>
            <w:tcW w:type="dxa" w:w="1296"/>
          </w:tcPr>
          <w:p>
            <w:pPr>
              <w:spacing w:after="0"/>
              <w:jc w:val="center"/>
            </w:pPr>
            <w:r/>
            <w:r>
              <w:rPr>
                <w:sz w:val="17"/>
              </w:rPr>
              <w:t>0.81</w:t>
            </w:r>
          </w:p>
        </w:tc>
      </w:tr>
      <w:tr>
        <w:tc>
          <w:tcPr>
            <w:tcW w:type="dxa" w:w="1152"/>
          </w:tcPr>
          <w:p>
            <w:pPr>
              <w:spacing w:after="0"/>
            </w:pPr>
            <w:r/>
            <w:r>
              <w:rPr>
                <w:sz w:val="17"/>
              </w:rPr>
              <w:t>Momentum</w:t>
            </w:r>
          </w:p>
        </w:tc>
        <w:tc>
          <w:tcPr>
            <w:tcW w:type="dxa" w:w="2232"/>
          </w:tcPr>
          <w:p>
            <w:pPr>
              <w:spacing w:after="0"/>
              <w:jc w:val="center"/>
            </w:pPr>
            <w:r/>
            <w:r>
              <w:rPr>
                <w:sz w:val="17"/>
              </w:rPr>
              <w:t>Hold 3d (overlapping)</w:t>
            </w:r>
          </w:p>
        </w:tc>
        <w:tc>
          <w:tcPr>
            <w:tcW w:type="dxa" w:w="1080"/>
          </w:tcPr>
          <w:p>
            <w:pPr>
              <w:spacing w:after="0"/>
              <w:jc w:val="center"/>
            </w:pPr>
            <w:r/>
            <w:r>
              <w:rPr>
                <w:sz w:val="17"/>
              </w:rPr>
              <w:t>0.180</w:t>
            </w:r>
          </w:p>
        </w:tc>
        <w:tc>
          <w:tcPr>
            <w:tcW w:type="dxa" w:w="1080"/>
          </w:tcPr>
          <w:p>
            <w:pPr>
              <w:spacing w:after="0"/>
              <w:jc w:val="center"/>
            </w:pPr>
            <w:r/>
            <w:r>
              <w:rPr>
                <w:sz w:val="17"/>
              </w:rPr>
              <w:t>0.81</w:t>
            </w:r>
          </w:p>
        </w:tc>
        <w:tc>
          <w:tcPr>
            <w:tcW w:type="dxa" w:w="1224"/>
          </w:tcPr>
          <w:p>
            <w:pPr>
              <w:spacing w:after="0"/>
              <w:jc w:val="center"/>
            </w:pPr>
            <w:r/>
            <w:r>
              <w:rPr>
                <w:sz w:val="17"/>
              </w:rPr>
              <w:t>0.46</w:t>
            </w:r>
          </w:p>
        </w:tc>
        <w:tc>
          <w:tcPr>
            <w:tcW w:type="dxa" w:w="1224"/>
          </w:tcPr>
          <w:p>
            <w:pPr>
              <w:spacing w:after="0"/>
              <w:jc w:val="center"/>
            </w:pPr>
            <w:r/>
            <w:r>
              <w:rPr>
                <w:sz w:val="17"/>
              </w:rPr>
              <w:t>0.39</w:t>
            </w:r>
          </w:p>
        </w:tc>
        <w:tc>
          <w:tcPr>
            <w:tcW w:type="dxa" w:w="1296"/>
          </w:tcPr>
          <w:p>
            <w:pPr>
              <w:spacing w:after="0"/>
              <w:jc w:val="center"/>
            </w:pPr>
            <w:r/>
            <w:r>
              <w:rPr>
                <w:sz w:val="17"/>
              </w:rPr>
              <w:t>0.66</w:t>
            </w:r>
          </w:p>
        </w:tc>
      </w:tr>
      <w:tr>
        <w:tc>
          <w:tcPr>
            <w:tcW w:type="dxa" w:w="1152"/>
          </w:tcPr>
          <w:p>
            <w:pPr>
              <w:spacing w:after="0"/>
            </w:pPr>
            <w:r/>
            <w:r>
              <w:rPr>
                <w:sz w:val="17"/>
              </w:rPr>
              <w:t>Momentum</w:t>
            </w:r>
          </w:p>
        </w:tc>
        <w:tc>
          <w:tcPr>
            <w:tcW w:type="dxa" w:w="2232"/>
          </w:tcPr>
          <w:p>
            <w:pPr>
              <w:spacing w:after="0"/>
              <w:jc w:val="center"/>
            </w:pPr>
            <w:r/>
            <w:r>
              <w:rPr>
                <w:sz w:val="17"/>
              </w:rPr>
              <w:t>Hold 7d (overlapping)</w:t>
            </w:r>
          </w:p>
        </w:tc>
        <w:tc>
          <w:tcPr>
            <w:tcW w:type="dxa" w:w="1080"/>
          </w:tcPr>
          <w:p>
            <w:pPr>
              <w:spacing w:after="0"/>
              <w:jc w:val="center"/>
            </w:pPr>
            <w:r/>
            <w:r>
              <w:rPr>
                <w:sz w:val="17"/>
              </w:rPr>
              <w:t>0.146</w:t>
            </w:r>
          </w:p>
        </w:tc>
        <w:tc>
          <w:tcPr>
            <w:tcW w:type="dxa" w:w="1080"/>
          </w:tcPr>
          <w:p>
            <w:pPr>
              <w:spacing w:after="0"/>
              <w:jc w:val="center"/>
            </w:pPr>
            <w:r/>
            <w:r>
              <w:rPr>
                <w:sz w:val="17"/>
              </w:rPr>
              <w:t>0.64</w:t>
            </w:r>
          </w:p>
        </w:tc>
        <w:tc>
          <w:tcPr>
            <w:tcW w:type="dxa" w:w="1224"/>
          </w:tcPr>
          <w:p>
            <w:pPr>
              <w:spacing w:after="0"/>
              <w:jc w:val="center"/>
            </w:pPr>
            <w:r/>
            <w:r>
              <w:rPr>
                <w:sz w:val="17"/>
              </w:rPr>
              <w:t>0.25</w:t>
            </w:r>
          </w:p>
        </w:tc>
        <w:tc>
          <w:tcPr>
            <w:tcW w:type="dxa" w:w="1224"/>
          </w:tcPr>
          <w:p>
            <w:pPr>
              <w:spacing w:after="0"/>
              <w:jc w:val="center"/>
            </w:pPr>
            <w:r/>
            <w:r>
              <w:rPr>
                <w:sz w:val="17"/>
              </w:rPr>
              <w:t>0.32</w:t>
            </w:r>
          </w:p>
        </w:tc>
        <w:tc>
          <w:tcPr>
            <w:tcW w:type="dxa" w:w="1296"/>
          </w:tcPr>
          <w:p>
            <w:pPr>
              <w:spacing w:after="0"/>
              <w:jc w:val="center"/>
            </w:pPr>
            <w:r/>
            <w:r>
              <w:rPr>
                <w:sz w:val="17"/>
              </w:rPr>
              <w:t>0.53</w:t>
            </w:r>
          </w:p>
        </w:tc>
      </w:tr>
      <w:tr>
        <w:tc>
          <w:tcPr>
            <w:tcW w:type="dxa" w:w="1152"/>
          </w:tcPr>
          <w:p>
            <w:pPr>
              <w:spacing w:after="0"/>
            </w:pPr>
            <w:r/>
            <w:r>
              <w:rPr>
                <w:sz w:val="17"/>
              </w:rPr>
              <w:t>Momentum</w:t>
            </w:r>
          </w:p>
        </w:tc>
        <w:tc>
          <w:tcPr>
            <w:tcW w:type="dxa" w:w="2232"/>
          </w:tcPr>
          <w:p>
            <w:pPr>
              <w:spacing w:after="0"/>
              <w:jc w:val="center"/>
            </w:pPr>
            <w:r/>
            <w:r>
              <w:rPr>
                <w:sz w:val="17"/>
              </w:rPr>
              <w:t>No-trade band 2%</w:t>
            </w:r>
          </w:p>
        </w:tc>
        <w:tc>
          <w:tcPr>
            <w:tcW w:type="dxa" w:w="1080"/>
          </w:tcPr>
          <w:p>
            <w:pPr>
              <w:spacing w:after="0"/>
              <w:jc w:val="center"/>
            </w:pPr>
            <w:r/>
            <w:r>
              <w:rPr>
                <w:sz w:val="17"/>
              </w:rPr>
              <w:t>0.163</w:t>
            </w:r>
          </w:p>
        </w:tc>
        <w:tc>
          <w:tcPr>
            <w:tcW w:type="dxa" w:w="1080"/>
          </w:tcPr>
          <w:p>
            <w:pPr>
              <w:spacing w:after="0"/>
              <w:jc w:val="center"/>
            </w:pPr>
            <w:r/>
            <w:r>
              <w:rPr>
                <w:sz w:val="17"/>
              </w:rPr>
              <w:t>0.95</w:t>
            </w:r>
          </w:p>
        </w:tc>
        <w:tc>
          <w:tcPr>
            <w:tcW w:type="dxa" w:w="1224"/>
          </w:tcPr>
          <w:p>
            <w:pPr>
              <w:spacing w:after="0"/>
              <w:jc w:val="center"/>
            </w:pPr>
            <w:r/>
            <w:r>
              <w:rPr>
                <w:sz w:val="17"/>
              </w:rPr>
              <w:t>0.75</w:t>
            </w:r>
          </w:p>
        </w:tc>
        <w:tc>
          <w:tcPr>
            <w:tcW w:type="dxa" w:w="1224"/>
          </w:tcPr>
          <w:p>
            <w:pPr>
              <w:spacing w:after="0"/>
              <w:jc w:val="center"/>
            </w:pPr>
            <w:r/>
            <w:r>
              <w:rPr>
                <w:sz w:val="17"/>
              </w:rPr>
              <w:t>0.54</w:t>
            </w:r>
          </w:p>
        </w:tc>
        <w:tc>
          <w:tcPr>
            <w:tcW w:type="dxa" w:w="1296"/>
          </w:tcPr>
          <w:p>
            <w:pPr>
              <w:spacing w:after="0"/>
              <w:jc w:val="center"/>
            </w:pPr>
            <w:r/>
            <w:r>
              <w:rPr>
                <w:sz w:val="17"/>
              </w:rPr>
              <w:t>0.81</w:t>
            </w:r>
          </w:p>
        </w:tc>
      </w:tr>
      <w:tr>
        <w:tc>
          <w:tcPr>
            <w:tcW w:type="dxa" w:w="1152"/>
          </w:tcPr>
          <w:p>
            <w:pPr>
              <w:spacing w:after="0"/>
            </w:pPr>
            <w:r/>
            <w:r>
              <w:rPr>
                <w:sz w:val="17"/>
              </w:rPr>
              <w:t>Momentum</w:t>
            </w:r>
          </w:p>
        </w:tc>
        <w:tc>
          <w:tcPr>
            <w:tcW w:type="dxa" w:w="2232"/>
          </w:tcPr>
          <w:p>
            <w:pPr>
              <w:spacing w:after="0"/>
              <w:jc w:val="center"/>
            </w:pPr>
            <w:r/>
            <w:r>
              <w:rPr>
                <w:sz w:val="17"/>
              </w:rPr>
              <w:t>No-trade band 5%</w:t>
            </w:r>
          </w:p>
        </w:tc>
        <w:tc>
          <w:tcPr>
            <w:tcW w:type="dxa" w:w="1080"/>
          </w:tcPr>
          <w:p>
            <w:pPr>
              <w:spacing w:after="0"/>
              <w:jc w:val="center"/>
            </w:pPr>
            <w:r/>
            <w:r>
              <w:rPr>
                <w:sz w:val="17"/>
              </w:rPr>
              <w:t>0.043</w:t>
            </w:r>
          </w:p>
        </w:tc>
        <w:tc>
          <w:tcPr>
            <w:tcW w:type="dxa" w:w="1080"/>
          </w:tcPr>
          <w:p>
            <w:pPr>
              <w:spacing w:after="0"/>
              <w:jc w:val="center"/>
            </w:pPr>
            <w:r/>
            <w:r>
              <w:rPr>
                <w:sz w:val="17"/>
              </w:rPr>
              <w:t>-0.11</w:t>
            </w:r>
          </w:p>
        </w:tc>
        <w:tc>
          <w:tcPr>
            <w:tcW w:type="dxa" w:w="1224"/>
          </w:tcPr>
          <w:p>
            <w:pPr>
              <w:spacing w:after="0"/>
              <w:jc w:val="center"/>
            </w:pPr>
            <w:r/>
            <w:r>
              <w:rPr>
                <w:sz w:val="17"/>
              </w:rPr>
              <w:t>-0.40</w:t>
            </w:r>
          </w:p>
        </w:tc>
        <w:tc>
          <w:tcPr>
            <w:tcW w:type="dxa" w:w="1224"/>
          </w:tcPr>
          <w:p>
            <w:pPr>
              <w:spacing w:after="0"/>
              <w:jc w:val="center"/>
            </w:pPr>
            <w:r/>
            <w:r>
              <w:rPr>
                <w:sz w:val="17"/>
              </w:rPr>
              <w:t>-0.30</w:t>
            </w:r>
          </w:p>
        </w:tc>
        <w:tc>
          <w:tcPr>
            <w:tcW w:type="dxa" w:w="1296"/>
          </w:tcPr>
          <w:p>
            <w:pPr>
              <w:spacing w:after="0"/>
              <w:jc w:val="center"/>
            </w:pPr>
            <w:r/>
            <w:r>
              <w:rPr>
                <w:sz w:val="17"/>
              </w:rPr>
              <w:t>-0.18</w:t>
            </w:r>
          </w:p>
        </w:tc>
      </w:tr>
      <w:tr>
        <w:tc>
          <w:tcPr>
            <w:tcW w:type="dxa" w:w="1152"/>
          </w:tcPr>
          <w:p>
            <w:pPr>
              <w:spacing w:after="0"/>
            </w:pPr>
            <w:r/>
            <w:r>
              <w:rPr>
                <w:sz w:val="17"/>
              </w:rPr>
              <w:t>Reversal</w:t>
            </w:r>
          </w:p>
        </w:tc>
        <w:tc>
          <w:tcPr>
            <w:tcW w:type="dxa" w:w="2232"/>
          </w:tcPr>
          <w:p>
            <w:pPr>
              <w:spacing w:after="0"/>
              <w:jc w:val="center"/>
            </w:pPr>
            <w:r/>
            <w:r>
              <w:rPr>
                <w:sz w:val="17"/>
              </w:rPr>
              <w:t>Daily rebalance</w:t>
            </w:r>
          </w:p>
        </w:tc>
        <w:tc>
          <w:tcPr>
            <w:tcW w:type="dxa" w:w="1080"/>
          </w:tcPr>
          <w:p>
            <w:pPr>
              <w:spacing w:after="0"/>
              <w:jc w:val="center"/>
            </w:pPr>
            <w:r/>
            <w:r>
              <w:rPr>
                <w:sz w:val="17"/>
              </w:rPr>
              <w:t>0.063</w:t>
            </w:r>
          </w:p>
        </w:tc>
        <w:tc>
          <w:tcPr>
            <w:tcW w:type="dxa" w:w="1080"/>
          </w:tcPr>
          <w:p>
            <w:pPr>
              <w:spacing w:after="0"/>
              <w:jc w:val="center"/>
            </w:pPr>
            <w:r/>
            <w:r>
              <w:rPr>
                <w:sz w:val="17"/>
              </w:rPr>
              <w:t>0.38</w:t>
            </w:r>
          </w:p>
        </w:tc>
        <w:tc>
          <w:tcPr>
            <w:tcW w:type="dxa" w:w="1224"/>
          </w:tcPr>
          <w:p>
            <w:pPr>
              <w:spacing w:after="0"/>
              <w:jc w:val="center"/>
            </w:pPr>
            <w:r/>
            <w:r>
              <w:rPr>
                <w:sz w:val="17"/>
              </w:rPr>
              <w:t>0.80</w:t>
            </w:r>
          </w:p>
        </w:tc>
        <w:tc>
          <w:tcPr>
            <w:tcW w:type="dxa" w:w="1224"/>
          </w:tcPr>
          <w:p>
            <w:pPr>
              <w:spacing w:after="0"/>
              <w:jc w:val="center"/>
            </w:pPr>
            <w:r/>
            <w:r>
              <w:rPr>
                <w:sz w:val="17"/>
              </w:rPr>
              <w:t>0.30</w:t>
            </w:r>
          </w:p>
        </w:tc>
        <w:tc>
          <w:tcPr>
            <w:tcW w:type="dxa" w:w="1296"/>
          </w:tcPr>
          <w:p>
            <w:pPr>
              <w:spacing w:after="0"/>
              <w:jc w:val="center"/>
            </w:pPr>
            <w:r/>
            <w:r>
              <w:rPr>
                <w:sz w:val="17"/>
              </w:rPr>
              <w:t>0.15</w:t>
            </w:r>
          </w:p>
        </w:tc>
      </w:tr>
      <w:tr>
        <w:tc>
          <w:tcPr>
            <w:tcW w:type="dxa" w:w="1152"/>
          </w:tcPr>
          <w:p>
            <w:pPr>
              <w:spacing w:after="0"/>
            </w:pPr>
            <w:r/>
            <w:r>
              <w:rPr>
                <w:sz w:val="17"/>
              </w:rPr>
              <w:t>Reversal</w:t>
            </w:r>
          </w:p>
        </w:tc>
        <w:tc>
          <w:tcPr>
            <w:tcW w:type="dxa" w:w="2232"/>
          </w:tcPr>
          <w:p>
            <w:pPr>
              <w:spacing w:after="0"/>
              <w:jc w:val="center"/>
            </w:pPr>
            <w:r/>
            <w:r>
              <w:rPr>
                <w:sz w:val="17"/>
              </w:rPr>
              <w:t>Hold 3d (overlapping)</w:t>
            </w:r>
          </w:p>
        </w:tc>
        <w:tc>
          <w:tcPr>
            <w:tcW w:type="dxa" w:w="1080"/>
          </w:tcPr>
          <w:p>
            <w:pPr>
              <w:spacing w:after="0"/>
              <w:jc w:val="center"/>
            </w:pPr>
            <w:r/>
            <w:r>
              <w:rPr>
                <w:sz w:val="17"/>
              </w:rPr>
              <w:t>0.057</w:t>
            </w:r>
          </w:p>
        </w:tc>
        <w:tc>
          <w:tcPr>
            <w:tcW w:type="dxa" w:w="1080"/>
          </w:tcPr>
          <w:p>
            <w:pPr>
              <w:spacing w:after="0"/>
              <w:jc w:val="center"/>
            </w:pPr>
            <w:r/>
            <w:r>
              <w:rPr>
                <w:sz w:val="17"/>
              </w:rPr>
              <w:t>0.41</w:t>
            </w:r>
          </w:p>
        </w:tc>
        <w:tc>
          <w:tcPr>
            <w:tcW w:type="dxa" w:w="1224"/>
          </w:tcPr>
          <w:p>
            <w:pPr>
              <w:spacing w:after="0"/>
              <w:jc w:val="center"/>
            </w:pPr>
            <w:r/>
            <w:r>
              <w:rPr>
                <w:sz w:val="17"/>
              </w:rPr>
              <w:t>0.84</w:t>
            </w:r>
          </w:p>
        </w:tc>
        <w:tc>
          <w:tcPr>
            <w:tcW w:type="dxa" w:w="1224"/>
          </w:tcPr>
          <w:p>
            <w:pPr>
              <w:spacing w:after="0"/>
              <w:jc w:val="center"/>
            </w:pPr>
            <w:r/>
            <w:r>
              <w:rPr>
                <w:sz w:val="17"/>
              </w:rPr>
              <w:t>0.33</w:t>
            </w:r>
          </w:p>
        </w:tc>
        <w:tc>
          <w:tcPr>
            <w:tcW w:type="dxa" w:w="1296"/>
          </w:tcPr>
          <w:p>
            <w:pPr>
              <w:spacing w:after="0"/>
              <w:jc w:val="center"/>
            </w:pPr>
            <w:r/>
            <w:r>
              <w:rPr>
                <w:sz w:val="17"/>
              </w:rPr>
              <w:t>0.20</w:t>
            </w:r>
          </w:p>
        </w:tc>
      </w:tr>
      <w:tr>
        <w:tc>
          <w:tcPr>
            <w:tcW w:type="dxa" w:w="1152"/>
          </w:tcPr>
          <w:p>
            <w:pPr>
              <w:spacing w:after="0"/>
            </w:pPr>
            <w:r/>
            <w:r>
              <w:rPr>
                <w:sz w:val="17"/>
              </w:rPr>
              <w:t>Reversal</w:t>
            </w:r>
          </w:p>
        </w:tc>
        <w:tc>
          <w:tcPr>
            <w:tcW w:type="dxa" w:w="2232"/>
          </w:tcPr>
          <w:p>
            <w:pPr>
              <w:spacing w:after="0"/>
              <w:jc w:val="center"/>
            </w:pPr>
            <w:r/>
            <w:r>
              <w:rPr>
                <w:sz w:val="17"/>
              </w:rPr>
              <w:t>Hold 7d (overlapping)</w:t>
            </w:r>
          </w:p>
        </w:tc>
        <w:tc>
          <w:tcPr>
            <w:tcW w:type="dxa" w:w="1080"/>
          </w:tcPr>
          <w:p>
            <w:pPr>
              <w:spacing w:after="0"/>
              <w:jc w:val="center"/>
            </w:pPr>
            <w:r/>
            <w:r>
              <w:rPr>
                <w:sz w:val="17"/>
              </w:rPr>
              <w:t>0.050</w:t>
            </w:r>
          </w:p>
        </w:tc>
        <w:tc>
          <w:tcPr>
            <w:tcW w:type="dxa" w:w="1080"/>
          </w:tcPr>
          <w:p>
            <w:pPr>
              <w:spacing w:after="0"/>
              <w:jc w:val="center"/>
            </w:pPr>
            <w:r/>
            <w:r>
              <w:rPr>
                <w:sz w:val="17"/>
              </w:rPr>
              <w:t>0.42</w:t>
            </w:r>
          </w:p>
        </w:tc>
        <w:tc>
          <w:tcPr>
            <w:tcW w:type="dxa" w:w="1224"/>
          </w:tcPr>
          <w:p>
            <w:pPr>
              <w:spacing w:after="0"/>
              <w:jc w:val="center"/>
            </w:pPr>
            <w:r/>
            <w:r>
              <w:rPr>
                <w:sz w:val="17"/>
              </w:rPr>
              <w:t>0.82</w:t>
            </w:r>
          </w:p>
        </w:tc>
        <w:tc>
          <w:tcPr>
            <w:tcW w:type="dxa" w:w="1224"/>
          </w:tcPr>
          <w:p>
            <w:pPr>
              <w:spacing w:after="0"/>
              <w:jc w:val="center"/>
            </w:pPr>
            <w:r/>
            <w:r>
              <w:rPr>
                <w:sz w:val="17"/>
              </w:rPr>
              <w:t>0.35</w:t>
            </w:r>
          </w:p>
        </w:tc>
        <w:tc>
          <w:tcPr>
            <w:tcW w:type="dxa" w:w="1296"/>
          </w:tcPr>
          <w:p>
            <w:pPr>
              <w:spacing w:after="0"/>
              <w:jc w:val="center"/>
            </w:pPr>
            <w:r/>
            <w:r>
              <w:rPr>
                <w:sz w:val="17"/>
              </w:rPr>
              <w:t>0.23</w:t>
            </w:r>
          </w:p>
        </w:tc>
      </w:tr>
      <w:tr>
        <w:tc>
          <w:tcPr>
            <w:tcW w:type="dxa" w:w="1152"/>
          </w:tcPr>
          <w:p>
            <w:pPr>
              <w:spacing w:after="0"/>
            </w:pPr>
            <w:r/>
            <w:r>
              <w:rPr>
                <w:sz w:val="17"/>
              </w:rPr>
              <w:t>Reversal</w:t>
            </w:r>
          </w:p>
        </w:tc>
        <w:tc>
          <w:tcPr>
            <w:tcW w:type="dxa" w:w="2232"/>
          </w:tcPr>
          <w:p>
            <w:pPr>
              <w:spacing w:after="0"/>
              <w:jc w:val="center"/>
            </w:pPr>
            <w:r/>
            <w:r>
              <w:rPr>
                <w:sz w:val="17"/>
              </w:rPr>
              <w:t>No-trade band 2%</w:t>
            </w:r>
          </w:p>
        </w:tc>
        <w:tc>
          <w:tcPr>
            <w:tcW w:type="dxa" w:w="1080"/>
          </w:tcPr>
          <w:p>
            <w:pPr>
              <w:spacing w:after="0"/>
              <w:jc w:val="center"/>
            </w:pPr>
            <w:r/>
            <w:r>
              <w:rPr>
                <w:sz w:val="17"/>
              </w:rPr>
              <w:t>0.029</w:t>
            </w:r>
          </w:p>
        </w:tc>
        <w:tc>
          <w:tcPr>
            <w:tcW w:type="dxa" w:w="1080"/>
          </w:tcPr>
          <w:p>
            <w:pPr>
              <w:spacing w:after="0"/>
              <w:jc w:val="center"/>
            </w:pPr>
            <w:r/>
            <w:r>
              <w:rPr>
                <w:sz w:val="17"/>
              </w:rPr>
              <w:t>0.45</w:t>
            </w:r>
          </w:p>
        </w:tc>
        <w:tc>
          <w:tcPr>
            <w:tcW w:type="dxa" w:w="1224"/>
          </w:tcPr>
          <w:p>
            <w:pPr>
              <w:spacing w:after="0"/>
              <w:jc w:val="center"/>
            </w:pPr>
            <w:r/>
            <w:r>
              <w:rPr>
                <w:sz w:val="17"/>
              </w:rPr>
              <w:t>0.80</w:t>
            </w:r>
          </w:p>
        </w:tc>
        <w:tc>
          <w:tcPr>
            <w:tcW w:type="dxa" w:w="1224"/>
          </w:tcPr>
          <w:p>
            <w:pPr>
              <w:spacing w:after="0"/>
              <w:jc w:val="center"/>
            </w:pPr>
            <w:r/>
            <w:r>
              <w:rPr>
                <w:sz w:val="17"/>
              </w:rPr>
              <w:t>0.40</w:t>
            </w:r>
          </w:p>
        </w:tc>
        <w:tc>
          <w:tcPr>
            <w:tcW w:type="dxa" w:w="1296"/>
          </w:tcPr>
          <w:p>
            <w:pPr>
              <w:spacing w:after="0"/>
              <w:jc w:val="center"/>
            </w:pPr>
            <w:r/>
            <w:r>
              <w:rPr>
                <w:sz w:val="17"/>
              </w:rPr>
              <w:t>0.33</w:t>
            </w:r>
          </w:p>
        </w:tc>
      </w:tr>
      <w:tr>
        <w:tc>
          <w:tcPr>
            <w:tcW w:type="dxa" w:w="1152"/>
          </w:tcPr>
          <w:p>
            <w:pPr>
              <w:spacing w:after="0"/>
            </w:pPr>
            <w:r/>
            <w:r>
              <w:rPr>
                <w:sz w:val="17"/>
              </w:rPr>
              <w:t>Reversal</w:t>
            </w:r>
          </w:p>
        </w:tc>
        <w:tc>
          <w:tcPr>
            <w:tcW w:type="dxa" w:w="2232"/>
          </w:tcPr>
          <w:p>
            <w:pPr>
              <w:spacing w:after="0"/>
              <w:jc w:val="center"/>
            </w:pPr>
            <w:r/>
            <w:r>
              <w:rPr>
                <w:sz w:val="17"/>
              </w:rPr>
              <w:t>No-trade band 5%</w:t>
            </w:r>
          </w:p>
        </w:tc>
        <w:tc>
          <w:tcPr>
            <w:tcW w:type="dxa" w:w="1080"/>
          </w:tcPr>
          <w:p>
            <w:pPr>
              <w:spacing w:after="0"/>
              <w:jc w:val="center"/>
            </w:pPr>
            <w:r/>
            <w:r>
              <w:rPr>
                <w:sz w:val="17"/>
              </w:rPr>
              <w:t>0.010</w:t>
            </w:r>
          </w:p>
        </w:tc>
        <w:tc>
          <w:tcPr>
            <w:tcW w:type="dxa" w:w="1080"/>
          </w:tcPr>
          <w:p>
            <w:pPr>
              <w:spacing w:after="0"/>
              <w:jc w:val="center"/>
            </w:pPr>
            <w:r/>
            <w:r>
              <w:rPr>
                <w:sz w:val="17"/>
              </w:rPr>
              <w:t>0.23</w:t>
            </w:r>
          </w:p>
        </w:tc>
        <w:tc>
          <w:tcPr>
            <w:tcW w:type="dxa" w:w="1224"/>
          </w:tcPr>
          <w:p>
            <w:pPr>
              <w:spacing w:after="0"/>
              <w:jc w:val="center"/>
            </w:pPr>
            <w:r/>
            <w:r>
              <w:rPr>
                <w:sz w:val="17"/>
              </w:rPr>
              <w:t>0.77</w:t>
            </w:r>
          </w:p>
        </w:tc>
        <w:tc>
          <w:tcPr>
            <w:tcW w:type="dxa" w:w="1224"/>
          </w:tcPr>
          <w:p>
            <w:pPr>
              <w:spacing w:after="0"/>
              <w:jc w:val="center"/>
            </w:pPr>
            <w:r/>
            <w:r>
              <w:rPr>
                <w:sz w:val="17"/>
              </w:rPr>
              <w:t>0.21</w:t>
            </w:r>
          </w:p>
        </w:tc>
        <w:tc>
          <w:tcPr>
            <w:tcW w:type="dxa" w:w="1296"/>
          </w:tcPr>
          <w:p>
            <w:pPr>
              <w:spacing w:after="0"/>
              <w:jc w:val="center"/>
            </w:pPr>
            <w:r/>
            <w:r>
              <w:rPr>
                <w:sz w:val="17"/>
              </w:rPr>
              <w:t>0.18</w:t>
            </w:r>
          </w:p>
        </w:tc>
      </w:tr>
    </w:tbl>
    <w:p>
      <w:pPr>
        <w:spacing w:after="40"/>
      </w:pPr>
    </w:p>
    <w:p>
      <w:pPr>
        <w:spacing w:after="120"/>
      </w:pPr>
      <w:r>
        <w:rPr>
          <w:b w:val="0"/>
          <w:i w:val="0"/>
        </w:rPr>
        <w:t>The research period selected 'No-trade band 2%' for momentum and 'Hold 3d (overlapping)' for reversal. A 2% band cuts momentum turnover without diluting the signal; wider bands or longer holds lose too much signal. The cost sweep below shows the combined portfolio reaches zero Sharpe between 20 and 30 bps in the hold-out (Sharpe 0.11 at 20 bps).</w:t>
      </w:r>
    </w:p>
    <w:p>
      <w:pPr>
        <w:keepNext/>
        <w:jc w:val="center"/>
      </w:pPr>
      <w:r>
        <w:drawing>
          <wp:inline xmlns:a="http://schemas.openxmlformats.org/drawingml/2006/main" xmlns:pic="http://schemas.openxmlformats.org/drawingml/2006/picture">
            <wp:extent cx="5303520" cy="2592832"/>
            <wp:docPr id="7" name="Picture 7"/>
            <wp:cNvGraphicFramePr>
              <a:graphicFrameLocks noChangeAspect="1"/>
            </wp:cNvGraphicFramePr>
            <a:graphic>
              <a:graphicData uri="http://schemas.openxmlformats.org/drawingml/2006/picture">
                <pic:pic>
                  <pic:nvPicPr>
                    <pic:cNvPr id="0" name="H_cost_sweep.png"/>
                    <pic:cNvPicPr/>
                  </pic:nvPicPr>
                  <pic:blipFill>
                    <a:blip r:embed="rId15"/>
                    <a:stretch>
                      <a:fillRect/>
                    </a:stretch>
                  </pic:blipFill>
                  <pic:spPr>
                    <a:xfrm>
                      <a:off x="0" y="0"/>
                      <a:ext cx="5303520" cy="2592832"/>
                    </a:xfrm>
                    <a:prstGeom prst="rect"/>
                  </pic:spPr>
                </pic:pic>
              </a:graphicData>
            </a:graphic>
          </wp:inline>
        </w:drawing>
      </w:r>
    </w:p>
    <w:p>
      <w:pPr>
        <w:spacing w:after="200"/>
        <w:jc w:val="center"/>
      </w:pPr>
      <w:r>
        <w:rPr>
          <w:i/>
          <w:sz w:val="19"/>
        </w:rPr>
        <w:t>Figure 7. Net Sharpe versus transaction cost (0-200 bps).</w:t>
      </w:r>
    </w:p>
    <w:p>
      <w:pPr>
        <w:pStyle w:val="Heading1"/>
      </w:pPr>
      <w:r>
        <w:t>9. Weighting</w:t>
      </w:r>
    </w:p>
    <w:p>
      <w:pPr>
        <w:spacing w:after="120"/>
      </w:pPr>
      <w:r>
        <w:rPr>
          <w:b w:val="0"/>
          <w:i w:val="0"/>
        </w:rPr>
        <w:t>The two books are slightly negatively correlated (daily correlation -0.11). Four schemes were tested, all re-estimated every 21 days on the trailing 180 days only.</w:t>
      </w:r>
    </w:p>
    <w:p>
      <w:pPr>
        <w:keepNext/>
        <w:spacing w:after="60"/>
      </w:pPr>
      <w:r>
        <w:rPr>
          <w:b/>
          <w:sz w:val="20"/>
        </w:rPr>
        <w:t>Table 11. Weighting methods (selection on the research-period Sharpe).</w:t>
      </w:r>
    </w:p>
    <w:tbl>
      <w:tblPr>
        <w:tblStyle w:val="TableGrid"/>
        <w:tblW w:type="auto" w:w="0"/>
        <w:jc w:val="center"/>
        <w:tblLayout w:type="fixed"/>
        <w:tblLook w:firstColumn="1" w:firstRow="1" w:lastColumn="0" w:lastRow="0" w:noHBand="0" w:noVBand="1" w:val="04A0"/>
      </w:tblPr>
      <w:tblGrid>
        <w:gridCol w:w="2736"/>
        <w:gridCol w:w="1440"/>
        <w:gridCol w:w="1440"/>
        <w:gridCol w:w="1152"/>
        <w:gridCol w:w="1152"/>
        <w:gridCol w:w="1152"/>
      </w:tblGrid>
      <w:tr>
        <w:tc>
          <w:tcPr>
            <w:tcW w:type="dxa" w:w="2736"/>
            <w:shd w:val="clear" w:fill="1F3864"/>
          </w:tcPr>
          <w:p>
            <w:pPr>
              <w:jc w:val="left"/>
            </w:pPr>
            <w:r/>
            <w:r>
              <w:rPr>
                <w:b/>
                <w:color w:val="FFFFFF"/>
                <w:sz w:val="18"/>
              </w:rPr>
              <w:t>Method</w:t>
            </w:r>
          </w:p>
        </w:tc>
        <w:tc>
          <w:tcPr>
            <w:tcW w:type="dxa" w:w="1440"/>
            <w:shd w:val="clear" w:fill="1F3864"/>
          </w:tcPr>
          <w:p>
            <w:pPr>
              <w:jc w:val="center"/>
            </w:pPr>
            <w:r/>
            <w:r>
              <w:rPr>
                <w:b/>
                <w:color w:val="FFFFFF"/>
                <w:sz w:val="18"/>
              </w:rPr>
              <w:t>Avg weight momentum</w:t>
            </w:r>
          </w:p>
        </w:tc>
        <w:tc>
          <w:tcPr>
            <w:tcW w:type="dxa" w:w="1440"/>
            <w:shd w:val="clear" w:fill="1F3864"/>
          </w:tcPr>
          <w:p>
            <w:pPr>
              <w:jc w:val="center"/>
            </w:pPr>
            <w:r/>
            <w:r>
              <w:rPr>
                <w:b/>
                <w:color w:val="FFFFFF"/>
                <w:sz w:val="18"/>
              </w:rPr>
              <w:t>Avg weight reversal</w:t>
            </w:r>
          </w:p>
        </w:tc>
        <w:tc>
          <w:tcPr>
            <w:tcW w:type="dxa" w:w="1152"/>
            <w:shd w:val="clear" w:fill="1F3864"/>
          </w:tcPr>
          <w:p>
            <w:pPr>
              <w:jc w:val="center"/>
            </w:pPr>
            <w:r/>
            <w:r>
              <w:rPr>
                <w:b/>
                <w:color w:val="FFFFFF"/>
                <w:sz w:val="18"/>
              </w:rPr>
              <w:t>Sharpe IS</w:t>
            </w:r>
          </w:p>
        </w:tc>
        <w:tc>
          <w:tcPr>
            <w:tcW w:type="dxa" w:w="1152"/>
            <w:shd w:val="clear" w:fill="1F3864"/>
          </w:tcPr>
          <w:p>
            <w:pPr>
              <w:jc w:val="center"/>
            </w:pPr>
            <w:r/>
            <w:r>
              <w:rPr>
                <w:b/>
                <w:color w:val="FFFFFF"/>
                <w:sz w:val="18"/>
              </w:rPr>
              <w:t>Sharpe OOS</w:t>
            </w:r>
          </w:p>
        </w:tc>
        <w:tc>
          <w:tcPr>
            <w:tcW w:type="dxa" w:w="1152"/>
            <w:shd w:val="clear" w:fill="1F3864"/>
          </w:tcPr>
          <w:p>
            <w:pPr>
              <w:jc w:val="center"/>
            </w:pPr>
            <w:r/>
            <w:r>
              <w:rPr>
                <w:b/>
                <w:color w:val="FFFFFF"/>
                <w:sz w:val="18"/>
              </w:rPr>
              <w:t>Sharpe full</w:t>
            </w:r>
          </w:p>
        </w:tc>
      </w:tr>
      <w:tr>
        <w:tc>
          <w:tcPr>
            <w:tcW w:type="dxa" w:w="2736"/>
          </w:tcPr>
          <w:p>
            <w:pPr>
              <w:spacing w:after="0"/>
            </w:pPr>
            <w:r/>
            <w:r>
              <w:rPr>
                <w:sz w:val="18"/>
              </w:rPr>
              <w:t>Equal weight</w:t>
            </w:r>
          </w:p>
        </w:tc>
        <w:tc>
          <w:tcPr>
            <w:tcW w:type="dxa" w:w="1440"/>
          </w:tcPr>
          <w:p>
            <w:pPr>
              <w:spacing w:after="0"/>
              <w:jc w:val="center"/>
            </w:pPr>
            <w:r/>
            <w:r>
              <w:rPr>
                <w:sz w:val="18"/>
              </w:rPr>
              <w:t>50%</w:t>
            </w:r>
          </w:p>
        </w:tc>
        <w:tc>
          <w:tcPr>
            <w:tcW w:type="dxa" w:w="1440"/>
          </w:tcPr>
          <w:p>
            <w:pPr>
              <w:spacing w:after="0"/>
              <w:jc w:val="center"/>
            </w:pPr>
            <w:r/>
            <w:r>
              <w:rPr>
                <w:sz w:val="18"/>
              </w:rPr>
              <w:t>50%</w:t>
            </w:r>
          </w:p>
        </w:tc>
        <w:tc>
          <w:tcPr>
            <w:tcW w:type="dxa" w:w="1152"/>
          </w:tcPr>
          <w:p>
            <w:pPr>
              <w:spacing w:after="0"/>
              <w:jc w:val="center"/>
            </w:pPr>
            <w:r/>
            <w:r>
              <w:rPr>
                <w:sz w:val="18"/>
              </w:rPr>
              <w:t>0.86</w:t>
            </w:r>
          </w:p>
        </w:tc>
        <w:tc>
          <w:tcPr>
            <w:tcW w:type="dxa" w:w="1152"/>
          </w:tcPr>
          <w:p>
            <w:pPr>
              <w:spacing w:after="0"/>
              <w:jc w:val="center"/>
            </w:pPr>
            <w:r/>
            <w:r>
              <w:rPr>
                <w:sz w:val="18"/>
              </w:rPr>
              <w:t>0.20</w:t>
            </w:r>
          </w:p>
        </w:tc>
        <w:tc>
          <w:tcPr>
            <w:tcW w:type="dxa" w:w="1152"/>
          </w:tcPr>
          <w:p>
            <w:pPr>
              <w:spacing w:after="0"/>
              <w:jc w:val="center"/>
            </w:pPr>
            <w:r/>
            <w:r>
              <w:rPr>
                <w:sz w:val="18"/>
              </w:rPr>
              <w:t>0.49</w:t>
            </w:r>
          </w:p>
        </w:tc>
      </w:tr>
      <w:tr>
        <w:tc>
          <w:tcPr>
            <w:tcW w:type="dxa" w:w="2736"/>
            <w:shd w:val="clear" w:fill="DCE6F1"/>
          </w:tcPr>
          <w:p>
            <w:pPr>
              <w:spacing w:after="0"/>
            </w:pPr>
            <w:r/>
            <w:r>
              <w:rPr>
                <w:b/>
                <w:sz w:val="18"/>
              </w:rPr>
              <w:t>Inverse volatility</w:t>
            </w:r>
          </w:p>
        </w:tc>
        <w:tc>
          <w:tcPr>
            <w:tcW w:type="dxa" w:w="1440"/>
            <w:shd w:val="clear" w:fill="DCE6F1"/>
          </w:tcPr>
          <w:p>
            <w:pPr>
              <w:spacing w:after="0"/>
              <w:jc w:val="center"/>
            </w:pPr>
            <w:r/>
            <w:r>
              <w:rPr>
                <w:b/>
                <w:sz w:val="18"/>
              </w:rPr>
              <w:t>43%</w:t>
            </w:r>
          </w:p>
        </w:tc>
        <w:tc>
          <w:tcPr>
            <w:tcW w:type="dxa" w:w="1440"/>
            <w:shd w:val="clear" w:fill="DCE6F1"/>
          </w:tcPr>
          <w:p>
            <w:pPr>
              <w:spacing w:after="0"/>
              <w:jc w:val="center"/>
            </w:pPr>
            <w:r/>
            <w:r>
              <w:rPr>
                <w:b/>
                <w:sz w:val="18"/>
              </w:rPr>
              <w:t>57%</w:t>
            </w:r>
          </w:p>
        </w:tc>
        <w:tc>
          <w:tcPr>
            <w:tcW w:type="dxa" w:w="1152"/>
            <w:shd w:val="clear" w:fill="DCE6F1"/>
          </w:tcPr>
          <w:p>
            <w:pPr>
              <w:spacing w:after="0"/>
              <w:jc w:val="center"/>
            </w:pPr>
            <w:r/>
            <w:r>
              <w:rPr>
                <w:b/>
                <w:sz w:val="18"/>
              </w:rPr>
              <w:t>0.93</w:t>
            </w:r>
          </w:p>
        </w:tc>
        <w:tc>
          <w:tcPr>
            <w:tcW w:type="dxa" w:w="1152"/>
            <w:shd w:val="clear" w:fill="DCE6F1"/>
          </w:tcPr>
          <w:p>
            <w:pPr>
              <w:spacing w:after="0"/>
              <w:jc w:val="center"/>
            </w:pPr>
            <w:r/>
            <w:r>
              <w:rPr>
                <w:b/>
                <w:sz w:val="18"/>
              </w:rPr>
              <w:t>0.20</w:t>
            </w:r>
          </w:p>
        </w:tc>
        <w:tc>
          <w:tcPr>
            <w:tcW w:type="dxa" w:w="1152"/>
            <w:shd w:val="clear" w:fill="DCE6F1"/>
          </w:tcPr>
          <w:p>
            <w:pPr>
              <w:spacing w:after="0"/>
              <w:jc w:val="center"/>
            </w:pPr>
            <w:r/>
            <w:r>
              <w:rPr>
                <w:b/>
                <w:sz w:val="18"/>
              </w:rPr>
              <w:t>0.50</w:t>
            </w:r>
          </w:p>
        </w:tc>
      </w:tr>
      <w:tr>
        <w:tc>
          <w:tcPr>
            <w:tcW w:type="dxa" w:w="2736"/>
          </w:tcPr>
          <w:p>
            <w:pPr>
              <w:spacing w:after="0"/>
            </w:pPr>
            <w:r/>
            <w:r>
              <w:rPr>
                <w:sz w:val="18"/>
              </w:rPr>
              <w:t>Risk parity (ERC)</w:t>
            </w:r>
          </w:p>
        </w:tc>
        <w:tc>
          <w:tcPr>
            <w:tcW w:type="dxa" w:w="1440"/>
          </w:tcPr>
          <w:p>
            <w:pPr>
              <w:spacing w:after="0"/>
              <w:jc w:val="center"/>
            </w:pPr>
            <w:r/>
            <w:r>
              <w:rPr>
                <w:sz w:val="18"/>
              </w:rPr>
              <w:t>43%</w:t>
            </w:r>
          </w:p>
        </w:tc>
        <w:tc>
          <w:tcPr>
            <w:tcW w:type="dxa" w:w="1440"/>
          </w:tcPr>
          <w:p>
            <w:pPr>
              <w:spacing w:after="0"/>
              <w:jc w:val="center"/>
            </w:pPr>
            <w:r/>
            <w:r>
              <w:rPr>
                <w:sz w:val="18"/>
              </w:rPr>
              <w:t>57%</w:t>
            </w:r>
          </w:p>
        </w:tc>
        <w:tc>
          <w:tcPr>
            <w:tcW w:type="dxa" w:w="1152"/>
          </w:tcPr>
          <w:p>
            <w:pPr>
              <w:spacing w:after="0"/>
              <w:jc w:val="center"/>
            </w:pPr>
            <w:r/>
            <w:r>
              <w:rPr>
                <w:sz w:val="18"/>
              </w:rPr>
              <w:t>0.93</w:t>
            </w:r>
          </w:p>
        </w:tc>
        <w:tc>
          <w:tcPr>
            <w:tcW w:type="dxa" w:w="1152"/>
          </w:tcPr>
          <w:p>
            <w:pPr>
              <w:spacing w:after="0"/>
              <w:jc w:val="center"/>
            </w:pPr>
            <w:r/>
            <w:r>
              <w:rPr>
                <w:sz w:val="18"/>
              </w:rPr>
              <w:t>0.20</w:t>
            </w:r>
          </w:p>
        </w:tc>
        <w:tc>
          <w:tcPr>
            <w:tcW w:type="dxa" w:w="1152"/>
          </w:tcPr>
          <w:p>
            <w:pPr>
              <w:spacing w:after="0"/>
              <w:jc w:val="center"/>
            </w:pPr>
            <w:r/>
            <w:r>
              <w:rPr>
                <w:sz w:val="18"/>
              </w:rPr>
              <w:t>0.50</w:t>
            </w:r>
          </w:p>
        </w:tc>
      </w:tr>
      <w:tr>
        <w:tc>
          <w:tcPr>
            <w:tcW w:type="dxa" w:w="2736"/>
          </w:tcPr>
          <w:p>
            <w:pPr>
              <w:spacing w:after="0"/>
            </w:pPr>
            <w:r/>
            <w:r>
              <w:rPr>
                <w:sz w:val="18"/>
              </w:rPr>
              <w:t>Mean-variance (shrunk)</w:t>
            </w:r>
          </w:p>
        </w:tc>
        <w:tc>
          <w:tcPr>
            <w:tcW w:type="dxa" w:w="1440"/>
          </w:tcPr>
          <w:p>
            <w:pPr>
              <w:spacing w:after="0"/>
              <w:jc w:val="center"/>
            </w:pPr>
            <w:r/>
            <w:r>
              <w:rPr>
                <w:sz w:val="18"/>
              </w:rPr>
              <w:t>47%</w:t>
            </w:r>
          </w:p>
        </w:tc>
        <w:tc>
          <w:tcPr>
            <w:tcW w:type="dxa" w:w="1440"/>
          </w:tcPr>
          <w:p>
            <w:pPr>
              <w:spacing w:after="0"/>
              <w:jc w:val="center"/>
            </w:pPr>
            <w:r/>
            <w:r>
              <w:rPr>
                <w:sz w:val="18"/>
              </w:rPr>
              <w:t>53%</w:t>
            </w:r>
          </w:p>
        </w:tc>
        <w:tc>
          <w:tcPr>
            <w:tcW w:type="dxa" w:w="1152"/>
          </w:tcPr>
          <w:p>
            <w:pPr>
              <w:spacing w:after="0"/>
              <w:jc w:val="center"/>
            </w:pPr>
            <w:r/>
            <w:r>
              <w:rPr>
                <w:sz w:val="18"/>
              </w:rPr>
              <w:t>0.60</w:t>
            </w:r>
          </w:p>
        </w:tc>
        <w:tc>
          <w:tcPr>
            <w:tcW w:type="dxa" w:w="1152"/>
          </w:tcPr>
          <w:p>
            <w:pPr>
              <w:spacing w:after="0"/>
              <w:jc w:val="center"/>
            </w:pPr>
            <w:r/>
            <w:r>
              <w:rPr>
                <w:sz w:val="18"/>
              </w:rPr>
              <w:t>-0.01</w:t>
            </w:r>
          </w:p>
        </w:tc>
        <w:tc>
          <w:tcPr>
            <w:tcW w:type="dxa" w:w="1152"/>
          </w:tcPr>
          <w:p>
            <w:pPr>
              <w:spacing w:after="0"/>
              <w:jc w:val="center"/>
            </w:pPr>
            <w:r/>
            <w:r>
              <w:rPr>
                <w:sz w:val="18"/>
              </w:rPr>
              <w:t>0.22</w:t>
            </w:r>
          </w:p>
        </w:tc>
      </w:tr>
    </w:tbl>
    <w:p>
      <w:pPr>
        <w:spacing w:after="40"/>
      </w:pPr>
    </w:p>
    <w:p>
      <w:pPr>
        <w:keepNext/>
        <w:jc w:val="center"/>
      </w:pPr>
      <w:r>
        <w:drawing>
          <wp:inline xmlns:a="http://schemas.openxmlformats.org/drawingml/2006/main" xmlns:pic="http://schemas.openxmlformats.org/drawingml/2006/picture">
            <wp:extent cx="5486400" cy="1795549"/>
            <wp:docPr id="8" name="Picture 8"/>
            <wp:cNvGraphicFramePr>
              <a:graphicFrameLocks noChangeAspect="1"/>
            </wp:cNvGraphicFramePr>
            <a:graphic>
              <a:graphicData uri="http://schemas.openxmlformats.org/drawingml/2006/picture">
                <pic:pic>
                  <pic:nvPicPr>
                    <pic:cNvPr id="0" name="I_sleeve_weights.png"/>
                    <pic:cNvPicPr/>
                  </pic:nvPicPr>
                  <pic:blipFill>
                    <a:blip r:embed="rId16"/>
                    <a:stretch>
                      <a:fillRect/>
                    </a:stretch>
                  </pic:blipFill>
                  <pic:spPr>
                    <a:xfrm>
                      <a:off x="0" y="0"/>
                      <a:ext cx="5486400" cy="1795549"/>
                    </a:xfrm>
                    <a:prstGeom prst="rect"/>
                  </pic:spPr>
                </pic:pic>
              </a:graphicData>
            </a:graphic>
          </wp:inline>
        </w:drawing>
      </w:r>
    </w:p>
    <w:p>
      <w:pPr>
        <w:spacing w:after="200"/>
        <w:jc w:val="center"/>
      </w:pPr>
      <w:r>
        <w:rPr>
          <w:i/>
          <w:sz w:val="19"/>
        </w:rPr>
        <w:t>Figure 8. Walk-forward book weights (inverse volatility).</w:t>
      </w:r>
    </w:p>
    <w:p>
      <w:pPr>
        <w:keepNext/>
        <w:spacing w:after="60"/>
      </w:pPr>
      <w:r>
        <w:rPr>
          <w:b/>
          <w:sz w:val="20"/>
        </w:rPr>
        <w:t>Table 12. Ensemble versus single best strategy.</w:t>
      </w:r>
    </w:p>
    <w:tbl>
      <w:tblPr>
        <w:tblStyle w:val="TableGrid"/>
        <w:tblW w:type="auto" w:w="0"/>
        <w:jc w:val="center"/>
        <w:tblLayout w:type="fixed"/>
        <w:tblLook w:firstColumn="1" w:firstRow="1" w:lastColumn="0" w:lastRow="0" w:noHBand="0" w:noVBand="1" w:val="04A0"/>
      </w:tblPr>
      <w:tblGrid>
        <w:gridCol w:w="3168"/>
        <w:gridCol w:w="936"/>
        <w:gridCol w:w="1007"/>
        <w:gridCol w:w="936"/>
        <w:gridCol w:w="1007"/>
        <w:gridCol w:w="1152"/>
        <w:gridCol w:w="1224"/>
      </w:tblGrid>
      <w:tr>
        <w:tc>
          <w:tcPr>
            <w:tcW w:type="dxa" w:w="3168"/>
            <w:shd w:val="clear" w:fill="1F3864"/>
          </w:tcPr>
          <w:p>
            <w:pPr>
              <w:jc w:val="left"/>
            </w:pPr>
            <w:r/>
            <w:r>
              <w:rPr>
                <w:b/>
                <w:color w:val="FFFFFF"/>
                <w:sz w:val="17"/>
              </w:rPr>
              <w:t>Construction</w:t>
            </w:r>
          </w:p>
        </w:tc>
        <w:tc>
          <w:tcPr>
            <w:tcW w:type="dxa" w:w="936"/>
            <w:shd w:val="clear" w:fill="1F3864"/>
          </w:tcPr>
          <w:p>
            <w:pPr>
              <w:jc w:val="center"/>
            </w:pPr>
            <w:r/>
            <w:r>
              <w:rPr>
                <w:b/>
                <w:color w:val="FFFFFF"/>
                <w:sz w:val="17"/>
              </w:rPr>
              <w:t>Mom. IS</w:t>
            </w:r>
          </w:p>
        </w:tc>
        <w:tc>
          <w:tcPr>
            <w:tcW w:type="dxa" w:w="1008"/>
            <w:shd w:val="clear" w:fill="1F3864"/>
          </w:tcPr>
          <w:p>
            <w:pPr>
              <w:jc w:val="center"/>
            </w:pPr>
            <w:r/>
            <w:r>
              <w:rPr>
                <w:b/>
                <w:color w:val="FFFFFF"/>
                <w:sz w:val="17"/>
              </w:rPr>
              <w:t>Mom. OOS</w:t>
            </w:r>
          </w:p>
        </w:tc>
        <w:tc>
          <w:tcPr>
            <w:tcW w:type="dxa" w:w="936"/>
            <w:shd w:val="clear" w:fill="1F3864"/>
          </w:tcPr>
          <w:p>
            <w:pPr>
              <w:jc w:val="center"/>
            </w:pPr>
            <w:r/>
            <w:r>
              <w:rPr>
                <w:b/>
                <w:color w:val="FFFFFF"/>
                <w:sz w:val="17"/>
              </w:rPr>
              <w:t>Rev. IS</w:t>
            </w:r>
          </w:p>
        </w:tc>
        <w:tc>
          <w:tcPr>
            <w:tcW w:type="dxa" w:w="1008"/>
            <w:shd w:val="clear" w:fill="1F3864"/>
          </w:tcPr>
          <w:p>
            <w:pPr>
              <w:jc w:val="center"/>
            </w:pPr>
            <w:r/>
            <w:r>
              <w:rPr>
                <w:b/>
                <w:color w:val="FFFFFF"/>
                <w:sz w:val="17"/>
              </w:rPr>
              <w:t>Rev. OOS</w:t>
            </w:r>
          </w:p>
        </w:tc>
        <w:tc>
          <w:tcPr>
            <w:tcW w:type="dxa" w:w="1152"/>
            <w:shd w:val="clear" w:fill="1F3864"/>
          </w:tcPr>
          <w:p>
            <w:pPr>
              <w:jc w:val="center"/>
            </w:pPr>
            <w:r/>
            <w:r>
              <w:rPr>
                <w:b/>
                <w:color w:val="FFFFFF"/>
                <w:sz w:val="17"/>
              </w:rPr>
              <w:t>Combined IS</w:t>
            </w:r>
          </w:p>
        </w:tc>
        <w:tc>
          <w:tcPr>
            <w:tcW w:type="dxa" w:w="1224"/>
            <w:shd w:val="clear" w:fill="1F3864"/>
          </w:tcPr>
          <w:p>
            <w:pPr>
              <w:jc w:val="center"/>
            </w:pPr>
            <w:r/>
            <w:r>
              <w:rPr>
                <w:b/>
                <w:color w:val="FFFFFF"/>
                <w:sz w:val="17"/>
              </w:rPr>
              <w:t>Combined OOS</w:t>
            </w:r>
          </w:p>
        </w:tc>
      </w:tr>
      <w:tr>
        <w:tc>
          <w:tcPr>
            <w:tcW w:type="dxa" w:w="3168"/>
          </w:tcPr>
          <w:p>
            <w:pPr>
              <w:spacing w:after="0"/>
            </w:pPr>
            <w:r/>
            <w:r>
              <w:rPr>
                <w:sz w:val="17"/>
              </w:rPr>
              <w:t>Final: top-3 family ensembles</w:t>
            </w:r>
          </w:p>
        </w:tc>
        <w:tc>
          <w:tcPr>
            <w:tcW w:type="dxa" w:w="936"/>
          </w:tcPr>
          <w:p>
            <w:pPr>
              <w:spacing w:after="0"/>
              <w:jc w:val="center"/>
            </w:pPr>
            <w:r/>
            <w:r>
              <w:rPr>
                <w:sz w:val="17"/>
              </w:rPr>
              <w:t>0.54</w:t>
            </w:r>
          </w:p>
        </w:tc>
        <w:tc>
          <w:tcPr>
            <w:tcW w:type="dxa" w:w="1008"/>
          </w:tcPr>
          <w:p>
            <w:pPr>
              <w:spacing w:after="0"/>
              <w:jc w:val="center"/>
            </w:pPr>
            <w:r/>
            <w:r>
              <w:rPr>
                <w:sz w:val="17"/>
              </w:rPr>
              <w:t>0.30</w:t>
            </w:r>
          </w:p>
        </w:tc>
        <w:tc>
          <w:tcPr>
            <w:tcW w:type="dxa" w:w="936"/>
          </w:tcPr>
          <w:p>
            <w:pPr>
              <w:spacing w:after="0"/>
              <w:jc w:val="center"/>
            </w:pPr>
            <w:r/>
            <w:r>
              <w:rPr>
                <w:sz w:val="17"/>
              </w:rPr>
              <w:t>0.66</w:t>
            </w:r>
          </w:p>
        </w:tc>
        <w:tc>
          <w:tcPr>
            <w:tcW w:type="dxa" w:w="1008"/>
          </w:tcPr>
          <w:p>
            <w:pPr>
              <w:spacing w:after="0"/>
              <w:jc w:val="center"/>
            </w:pPr>
            <w:r/>
            <w:r>
              <w:rPr>
                <w:sz w:val="17"/>
              </w:rPr>
              <w:t>-0.07</w:t>
            </w:r>
          </w:p>
        </w:tc>
        <w:tc>
          <w:tcPr>
            <w:tcW w:type="dxa" w:w="1152"/>
          </w:tcPr>
          <w:p>
            <w:pPr>
              <w:spacing w:after="0"/>
              <w:jc w:val="center"/>
            </w:pPr>
            <w:r/>
            <w:r>
              <w:rPr>
                <w:sz w:val="17"/>
              </w:rPr>
              <w:t>0.93</w:t>
            </w:r>
          </w:p>
        </w:tc>
        <w:tc>
          <w:tcPr>
            <w:tcW w:type="dxa" w:w="1224"/>
          </w:tcPr>
          <w:p>
            <w:pPr>
              <w:spacing w:after="0"/>
              <w:jc w:val="center"/>
            </w:pPr>
            <w:r/>
            <w:r>
              <w:rPr>
                <w:sz w:val="17"/>
              </w:rPr>
              <w:t>0.20</w:t>
            </w:r>
          </w:p>
        </w:tc>
      </w:tr>
      <w:tr>
        <w:tc>
          <w:tcPr>
            <w:tcW w:type="dxa" w:w="3168"/>
          </w:tcPr>
          <w:p>
            <w:pPr>
              <w:spacing w:after="0"/>
            </w:pPr>
            <w:r/>
            <w:r>
              <w:rPr>
                <w:sz w:val="17"/>
              </w:rPr>
              <w:t>Single IS-best strategy per book</w:t>
            </w:r>
          </w:p>
        </w:tc>
        <w:tc>
          <w:tcPr>
            <w:tcW w:type="dxa" w:w="936"/>
          </w:tcPr>
          <w:p>
            <w:pPr>
              <w:spacing w:after="0"/>
              <w:jc w:val="center"/>
            </w:pPr>
            <w:r/>
            <w:r>
              <w:rPr>
                <w:sz w:val="17"/>
              </w:rPr>
              <w:t>0.54</w:t>
            </w:r>
          </w:p>
        </w:tc>
        <w:tc>
          <w:tcPr>
            <w:tcW w:type="dxa" w:w="1008"/>
          </w:tcPr>
          <w:p>
            <w:pPr>
              <w:spacing w:after="0"/>
              <w:jc w:val="center"/>
            </w:pPr>
            <w:r/>
            <w:r>
              <w:rPr>
                <w:sz w:val="17"/>
              </w:rPr>
              <w:t>-0.30</w:t>
            </w:r>
          </w:p>
        </w:tc>
        <w:tc>
          <w:tcPr>
            <w:tcW w:type="dxa" w:w="936"/>
          </w:tcPr>
          <w:p>
            <w:pPr>
              <w:spacing w:after="0"/>
              <w:jc w:val="center"/>
            </w:pPr>
            <w:r/>
            <w:r>
              <w:rPr>
                <w:sz w:val="17"/>
              </w:rPr>
              <w:t>0.70</w:t>
            </w:r>
          </w:p>
        </w:tc>
        <w:tc>
          <w:tcPr>
            <w:tcW w:type="dxa" w:w="1008"/>
          </w:tcPr>
          <w:p>
            <w:pPr>
              <w:spacing w:after="0"/>
              <w:jc w:val="center"/>
            </w:pPr>
            <w:r/>
            <w:r>
              <w:rPr>
                <w:sz w:val="17"/>
              </w:rPr>
              <w:t>0.08</w:t>
            </w:r>
          </w:p>
        </w:tc>
        <w:tc>
          <w:tcPr>
            <w:tcW w:type="dxa" w:w="1152"/>
          </w:tcPr>
          <w:p>
            <w:pPr>
              <w:spacing w:after="0"/>
              <w:jc w:val="center"/>
            </w:pPr>
            <w:r/>
            <w:r>
              <w:rPr>
                <w:sz w:val="17"/>
              </w:rPr>
              <w:t>0.98</w:t>
            </w:r>
          </w:p>
        </w:tc>
        <w:tc>
          <w:tcPr>
            <w:tcW w:type="dxa" w:w="1224"/>
          </w:tcPr>
          <w:p>
            <w:pPr>
              <w:spacing w:after="0"/>
              <w:jc w:val="center"/>
            </w:pPr>
            <w:r/>
            <w:r>
              <w:rPr>
                <w:sz w:val="17"/>
              </w:rPr>
              <w:t>-0.24</w:t>
            </w:r>
          </w:p>
        </w:tc>
      </w:tr>
    </w:tbl>
    <w:p>
      <w:pPr>
        <w:spacing w:after="40"/>
      </w:pPr>
    </w:p>
    <w:p>
      <w:pPr>
        <w:spacing w:after="120"/>
      </w:pPr>
      <w:r>
        <w:rPr>
          <w:b w:val="0"/>
          <w:i w:val="0"/>
        </w:rPr>
        <w:t>Picking only the single best research-period strategy in each book would have given a hold-out Sharpe of -0.24; the three-family ensembles gave 0.20. Diversifying across families reduces, but does not remove, selection risk.</w:t>
      </w:r>
    </w:p>
    <w:p>
      <w:pPr>
        <w:pStyle w:val="Heading1"/>
      </w:pPr>
      <w:r>
        <w:t>10. Performance Evaluation</w:t>
      </w:r>
    </w:p>
    <w:p>
      <w:pPr>
        <w:keepNext/>
        <w:spacing w:after="60"/>
      </w:pPr>
      <w:r>
        <w:rPr>
          <w:b/>
          <w:sz w:val="20"/>
        </w:rPr>
        <w:t>Table 13. Hold-out, 2024-01-01 to 2026-10-08 (never used for any decision).</w:t>
      </w:r>
    </w:p>
    <w:tbl>
      <w:tblPr>
        <w:tblStyle w:val="TableGrid"/>
        <w:tblW w:type="auto" w:w="0"/>
        <w:jc w:val="center"/>
        <w:tblLayout w:type="fixed"/>
        <w:tblLook w:firstColumn="1" w:firstRow="1" w:lastColumn="0" w:lastRow="0" w:noHBand="0" w:noVBand="1" w:val="04A0"/>
      </w:tblPr>
      <w:tblGrid>
        <w:gridCol w:w="2880"/>
        <w:gridCol w:w="835"/>
        <w:gridCol w:w="792"/>
        <w:gridCol w:w="792"/>
        <w:gridCol w:w="835"/>
        <w:gridCol w:w="792"/>
        <w:gridCol w:w="720"/>
        <w:gridCol w:w="792"/>
        <w:gridCol w:w="864"/>
      </w:tblGrid>
      <w:tr>
        <w:tc>
          <w:tcPr>
            <w:tcW w:type="dxa" w:w="2880"/>
            <w:shd w:val="clear" w:fill="1F3864"/>
          </w:tcPr>
          <w:p>
            <w:pPr>
              <w:jc w:val="left"/>
            </w:pPr>
            <w:r/>
            <w:r>
              <w:rPr>
                <w:b/>
                <w:color w:val="FFFFFF"/>
                <w:sz w:val="17"/>
              </w:rPr>
              <w:t>Strategy</w:t>
            </w:r>
          </w:p>
        </w:tc>
        <w:tc>
          <w:tcPr>
            <w:tcW w:type="dxa" w:w="835"/>
            <w:shd w:val="clear" w:fill="1F3864"/>
          </w:tcPr>
          <w:p>
            <w:pPr>
              <w:jc w:val="center"/>
            </w:pPr>
            <w:r/>
            <w:r>
              <w:rPr>
                <w:b/>
                <w:color w:val="FFFFFF"/>
                <w:sz w:val="17"/>
              </w:rPr>
              <w:t>Ann. return</w:t>
            </w:r>
          </w:p>
        </w:tc>
        <w:tc>
          <w:tcPr>
            <w:tcW w:type="dxa" w:w="792"/>
            <w:shd w:val="clear" w:fill="1F3864"/>
          </w:tcPr>
          <w:p>
            <w:pPr>
              <w:jc w:val="center"/>
            </w:pPr>
            <w:r/>
            <w:r>
              <w:rPr>
                <w:b/>
                <w:color w:val="FFFFFF"/>
                <w:sz w:val="17"/>
              </w:rPr>
              <w:t>Ann. vol</w:t>
            </w:r>
          </w:p>
        </w:tc>
        <w:tc>
          <w:tcPr>
            <w:tcW w:type="dxa" w:w="792"/>
            <w:shd w:val="clear" w:fill="1F3864"/>
          </w:tcPr>
          <w:p>
            <w:pPr>
              <w:jc w:val="center"/>
            </w:pPr>
            <w:r/>
            <w:r>
              <w:rPr>
                <w:b/>
                <w:color w:val="FFFFFF"/>
                <w:sz w:val="17"/>
              </w:rPr>
              <w:t>Sharpe</w:t>
            </w:r>
          </w:p>
        </w:tc>
        <w:tc>
          <w:tcPr>
            <w:tcW w:type="dxa" w:w="835"/>
            <w:shd w:val="clear" w:fill="1F3864"/>
          </w:tcPr>
          <w:p>
            <w:pPr>
              <w:jc w:val="center"/>
            </w:pPr>
            <w:r/>
            <w:r>
              <w:rPr>
                <w:b/>
                <w:color w:val="FFFFFF"/>
                <w:sz w:val="17"/>
              </w:rPr>
              <w:t>Max DD</w:t>
            </w:r>
          </w:p>
        </w:tc>
        <w:tc>
          <w:tcPr>
            <w:tcW w:type="dxa" w:w="792"/>
            <w:shd w:val="clear" w:fill="1F3864"/>
          </w:tcPr>
          <w:p>
            <w:pPr>
              <w:jc w:val="center"/>
            </w:pPr>
            <w:r/>
            <w:r>
              <w:rPr>
                <w:b/>
                <w:color w:val="FFFFFF"/>
                <w:sz w:val="17"/>
              </w:rPr>
              <w:t>Alpha</w:t>
            </w:r>
          </w:p>
        </w:tc>
        <w:tc>
          <w:tcPr>
            <w:tcW w:type="dxa" w:w="720"/>
            <w:shd w:val="clear" w:fill="1F3864"/>
          </w:tcPr>
          <w:p>
            <w:pPr>
              <w:jc w:val="center"/>
            </w:pPr>
            <w:r/>
            <w:r>
              <w:rPr>
                <w:b/>
                <w:color w:val="FFFFFF"/>
                <w:sz w:val="17"/>
              </w:rPr>
              <w:t>Beta</w:t>
            </w:r>
          </w:p>
        </w:tc>
        <w:tc>
          <w:tcPr>
            <w:tcW w:type="dxa" w:w="792"/>
            <w:shd w:val="clear" w:fill="1F3864"/>
          </w:tcPr>
          <w:p>
            <w:pPr>
              <w:jc w:val="center"/>
            </w:pPr>
            <w:r/>
            <w:r>
              <w:rPr>
                <w:b/>
                <w:color w:val="FFFFFF"/>
                <w:sz w:val="17"/>
              </w:rPr>
              <w:t>Alpha t</w:t>
            </w:r>
          </w:p>
        </w:tc>
        <w:tc>
          <w:tcPr>
            <w:tcW w:type="dxa" w:w="864"/>
            <w:shd w:val="clear" w:fill="1F3864"/>
          </w:tcPr>
          <w:p>
            <w:pPr>
              <w:jc w:val="center"/>
            </w:pPr>
            <w:r/>
            <w:r>
              <w:rPr>
                <w:b/>
                <w:color w:val="FFFFFF"/>
                <w:sz w:val="17"/>
              </w:rPr>
              <w:t>Corr BTC</w:t>
            </w:r>
          </w:p>
        </w:tc>
      </w:tr>
      <w:tr>
        <w:tc>
          <w:tcPr>
            <w:tcW w:type="dxa" w:w="2880"/>
            <w:shd w:val="clear" w:fill="DCE6F1"/>
          </w:tcPr>
          <w:p>
            <w:pPr>
              <w:spacing w:after="0"/>
            </w:pPr>
            <w:r/>
            <w:r>
              <w:rPr>
                <w:b/>
                <w:sz w:val="17"/>
              </w:rPr>
              <w:t>Combined portfolio *</w:t>
            </w:r>
          </w:p>
        </w:tc>
        <w:tc>
          <w:tcPr>
            <w:tcW w:type="dxa" w:w="835"/>
            <w:shd w:val="clear" w:fill="DCE6F1"/>
          </w:tcPr>
          <w:p>
            <w:pPr>
              <w:spacing w:after="0"/>
              <w:jc w:val="center"/>
            </w:pPr>
            <w:r/>
            <w:r>
              <w:rPr>
                <w:b/>
                <w:sz w:val="17"/>
              </w:rPr>
              <w:t>2.1%</w:t>
            </w:r>
          </w:p>
        </w:tc>
        <w:tc>
          <w:tcPr>
            <w:tcW w:type="dxa" w:w="792"/>
            <w:shd w:val="clear" w:fill="DCE6F1"/>
          </w:tcPr>
          <w:p>
            <w:pPr>
              <w:spacing w:after="0"/>
              <w:jc w:val="center"/>
            </w:pPr>
            <w:r/>
            <w:r>
              <w:rPr>
                <w:b/>
                <w:sz w:val="17"/>
              </w:rPr>
              <w:t>10.3%</w:t>
            </w:r>
          </w:p>
        </w:tc>
        <w:tc>
          <w:tcPr>
            <w:tcW w:type="dxa" w:w="792"/>
            <w:shd w:val="clear" w:fill="DCE6F1"/>
          </w:tcPr>
          <w:p>
            <w:pPr>
              <w:spacing w:after="0"/>
              <w:jc w:val="center"/>
            </w:pPr>
            <w:r/>
            <w:r>
              <w:rPr>
                <w:b/>
                <w:sz w:val="17"/>
              </w:rPr>
              <w:t>0.20</w:t>
            </w:r>
          </w:p>
        </w:tc>
        <w:tc>
          <w:tcPr>
            <w:tcW w:type="dxa" w:w="835"/>
            <w:shd w:val="clear" w:fill="DCE6F1"/>
          </w:tcPr>
          <w:p>
            <w:pPr>
              <w:spacing w:after="0"/>
              <w:jc w:val="center"/>
            </w:pPr>
            <w:r/>
            <w:r>
              <w:rPr>
                <w:b/>
                <w:sz w:val="17"/>
              </w:rPr>
              <w:t>-26.7%</w:t>
            </w:r>
          </w:p>
        </w:tc>
        <w:tc>
          <w:tcPr>
            <w:tcW w:type="dxa" w:w="792"/>
            <w:shd w:val="clear" w:fill="DCE6F1"/>
          </w:tcPr>
          <w:p>
            <w:pPr>
              <w:spacing w:after="0"/>
              <w:jc w:val="center"/>
            </w:pPr>
            <w:r/>
            <w:r>
              <w:rPr>
                <w:b/>
                <w:sz w:val="17"/>
              </w:rPr>
              <w:t>2.8%</w:t>
            </w:r>
          </w:p>
        </w:tc>
        <w:tc>
          <w:tcPr>
            <w:tcW w:type="dxa" w:w="720"/>
            <w:shd w:val="clear" w:fill="DCE6F1"/>
          </w:tcPr>
          <w:p>
            <w:pPr>
              <w:spacing w:after="0"/>
              <w:jc w:val="center"/>
            </w:pPr>
            <w:r/>
            <w:r>
              <w:rPr>
                <w:b/>
                <w:sz w:val="17"/>
              </w:rPr>
              <w:t>-0.03</w:t>
            </w:r>
          </w:p>
        </w:tc>
        <w:tc>
          <w:tcPr>
            <w:tcW w:type="dxa" w:w="792"/>
            <w:shd w:val="clear" w:fill="DCE6F1"/>
          </w:tcPr>
          <w:p>
            <w:pPr>
              <w:spacing w:after="0"/>
              <w:jc w:val="center"/>
            </w:pPr>
            <w:r/>
            <w:r>
              <w:rPr>
                <w:b/>
                <w:sz w:val="17"/>
              </w:rPr>
              <w:t>0.52</w:t>
            </w:r>
          </w:p>
        </w:tc>
        <w:tc>
          <w:tcPr>
            <w:tcW w:type="dxa" w:w="864"/>
            <w:shd w:val="clear" w:fill="DCE6F1"/>
          </w:tcPr>
          <w:p>
            <w:pPr>
              <w:spacing w:after="0"/>
              <w:jc w:val="center"/>
            </w:pPr>
            <w:r/>
            <w:r>
              <w:rPr>
                <w:b/>
                <w:sz w:val="17"/>
              </w:rPr>
              <w:t>-0.12</w:t>
            </w:r>
          </w:p>
        </w:tc>
      </w:tr>
      <w:tr>
        <w:tc>
          <w:tcPr>
            <w:tcW w:type="dxa" w:w="2880"/>
          </w:tcPr>
          <w:p>
            <w:pPr>
              <w:spacing w:after="0"/>
            </w:pPr>
            <w:r/>
            <w:r>
              <w:rPr>
                <w:sz w:val="17"/>
              </w:rPr>
              <w:t>Combined (all trades at 20 bps)</w:t>
            </w:r>
          </w:p>
        </w:tc>
        <w:tc>
          <w:tcPr>
            <w:tcW w:type="dxa" w:w="835"/>
          </w:tcPr>
          <w:p>
            <w:pPr>
              <w:spacing w:after="0"/>
              <w:jc w:val="center"/>
            </w:pPr>
            <w:r/>
            <w:r>
              <w:rPr>
                <w:sz w:val="17"/>
              </w:rPr>
              <w:t>1.1%</w:t>
            </w:r>
          </w:p>
        </w:tc>
        <w:tc>
          <w:tcPr>
            <w:tcW w:type="dxa" w:w="792"/>
          </w:tcPr>
          <w:p>
            <w:pPr>
              <w:spacing w:after="0"/>
              <w:jc w:val="center"/>
            </w:pPr>
            <w:r/>
            <w:r>
              <w:rPr>
                <w:sz w:val="17"/>
              </w:rPr>
              <w:t>10.3%</w:t>
            </w:r>
          </w:p>
        </w:tc>
        <w:tc>
          <w:tcPr>
            <w:tcW w:type="dxa" w:w="792"/>
          </w:tcPr>
          <w:p>
            <w:pPr>
              <w:spacing w:after="0"/>
              <w:jc w:val="center"/>
            </w:pPr>
            <w:r/>
            <w:r>
              <w:rPr>
                <w:sz w:val="17"/>
              </w:rPr>
              <w:t>0.11</w:t>
            </w:r>
          </w:p>
        </w:tc>
        <w:tc>
          <w:tcPr>
            <w:tcW w:type="dxa" w:w="835"/>
          </w:tcPr>
          <w:p>
            <w:pPr>
              <w:spacing w:after="0"/>
              <w:jc w:val="center"/>
            </w:pPr>
            <w:r/>
            <w:r>
              <w:rPr>
                <w:sz w:val="17"/>
              </w:rPr>
              <w:t>-27.7%</w:t>
            </w:r>
          </w:p>
        </w:tc>
        <w:tc>
          <w:tcPr>
            <w:tcW w:type="dxa" w:w="792"/>
          </w:tcPr>
          <w:p>
            <w:pPr>
              <w:spacing w:after="0"/>
              <w:jc w:val="center"/>
            </w:pPr>
            <w:r/>
            <w:r>
              <w:rPr>
                <w:sz w:val="17"/>
              </w:rPr>
              <w:t>1.9%</w:t>
            </w:r>
          </w:p>
        </w:tc>
        <w:tc>
          <w:tcPr>
            <w:tcW w:type="dxa" w:w="720"/>
          </w:tcPr>
          <w:p>
            <w:pPr>
              <w:spacing w:after="0"/>
              <w:jc w:val="center"/>
            </w:pPr>
            <w:r/>
            <w:r>
              <w:rPr>
                <w:sz w:val="17"/>
              </w:rPr>
              <w:t>-0.03</w:t>
            </w:r>
          </w:p>
        </w:tc>
        <w:tc>
          <w:tcPr>
            <w:tcW w:type="dxa" w:w="792"/>
          </w:tcPr>
          <w:p>
            <w:pPr>
              <w:spacing w:after="0"/>
              <w:jc w:val="center"/>
            </w:pPr>
            <w:r/>
            <w:r>
              <w:rPr>
                <w:sz w:val="17"/>
              </w:rPr>
              <w:t>0.34</w:t>
            </w:r>
          </w:p>
        </w:tc>
        <w:tc>
          <w:tcPr>
            <w:tcW w:type="dxa" w:w="864"/>
          </w:tcPr>
          <w:p>
            <w:pPr>
              <w:spacing w:after="0"/>
              <w:jc w:val="center"/>
            </w:pPr>
            <w:r/>
            <w:r>
              <w:rPr>
                <w:sz w:val="17"/>
              </w:rPr>
              <w:t>-0.12</w:t>
            </w:r>
          </w:p>
        </w:tc>
      </w:tr>
      <w:tr>
        <w:tc>
          <w:tcPr>
            <w:tcW w:type="dxa" w:w="2880"/>
          </w:tcPr>
          <w:p>
            <w:pPr>
              <w:spacing w:after="0"/>
            </w:pPr>
            <w:r/>
            <w:r>
              <w:rPr>
                <w:sz w:val="17"/>
              </w:rPr>
              <w:t>Momentum book (20 bps)</w:t>
            </w:r>
          </w:p>
        </w:tc>
        <w:tc>
          <w:tcPr>
            <w:tcW w:type="dxa" w:w="835"/>
          </w:tcPr>
          <w:p>
            <w:pPr>
              <w:spacing w:after="0"/>
              <w:jc w:val="center"/>
            </w:pPr>
            <w:r/>
            <w:r>
              <w:rPr>
                <w:sz w:val="17"/>
              </w:rPr>
              <w:t>5.2%</w:t>
            </w:r>
          </w:p>
        </w:tc>
        <w:tc>
          <w:tcPr>
            <w:tcW w:type="dxa" w:w="792"/>
          </w:tcPr>
          <w:p>
            <w:pPr>
              <w:spacing w:after="0"/>
              <w:jc w:val="center"/>
            </w:pPr>
            <w:r/>
            <w:r>
              <w:rPr>
                <w:sz w:val="17"/>
              </w:rPr>
              <w:t>17.3%</w:t>
            </w:r>
          </w:p>
        </w:tc>
        <w:tc>
          <w:tcPr>
            <w:tcW w:type="dxa" w:w="792"/>
          </w:tcPr>
          <w:p>
            <w:pPr>
              <w:spacing w:after="0"/>
              <w:jc w:val="center"/>
            </w:pPr>
            <w:r/>
            <w:r>
              <w:rPr>
                <w:sz w:val="17"/>
              </w:rPr>
              <w:t>0.30</w:t>
            </w:r>
          </w:p>
        </w:tc>
        <w:tc>
          <w:tcPr>
            <w:tcW w:type="dxa" w:w="835"/>
          </w:tcPr>
          <w:p>
            <w:pPr>
              <w:spacing w:after="0"/>
              <w:jc w:val="center"/>
            </w:pPr>
            <w:r/>
            <w:r>
              <w:rPr>
                <w:sz w:val="17"/>
              </w:rPr>
              <w:t>-24.8%</w:t>
            </w:r>
          </w:p>
        </w:tc>
        <w:tc>
          <w:tcPr>
            <w:tcW w:type="dxa" w:w="792"/>
          </w:tcPr>
          <w:p>
            <w:pPr>
              <w:spacing w:after="0"/>
              <w:jc w:val="center"/>
            </w:pPr>
            <w:r/>
            <w:r>
              <w:rPr>
                <w:sz w:val="17"/>
              </w:rPr>
              <w:t>7.2%</w:t>
            </w:r>
          </w:p>
        </w:tc>
        <w:tc>
          <w:tcPr>
            <w:tcW w:type="dxa" w:w="720"/>
          </w:tcPr>
          <w:p>
            <w:pPr>
              <w:spacing w:after="0"/>
              <w:jc w:val="center"/>
            </w:pPr>
            <w:r/>
            <w:r>
              <w:rPr>
                <w:sz w:val="17"/>
              </w:rPr>
              <w:t>-0.08</w:t>
            </w:r>
          </w:p>
        </w:tc>
        <w:tc>
          <w:tcPr>
            <w:tcW w:type="dxa" w:w="792"/>
          </w:tcPr>
          <w:p>
            <w:pPr>
              <w:spacing w:after="0"/>
              <w:jc w:val="center"/>
            </w:pPr>
            <w:r/>
            <w:r>
              <w:rPr>
                <w:sz w:val="17"/>
              </w:rPr>
              <w:t>0.80</w:t>
            </w:r>
          </w:p>
        </w:tc>
        <w:tc>
          <w:tcPr>
            <w:tcW w:type="dxa" w:w="864"/>
          </w:tcPr>
          <w:p>
            <w:pPr>
              <w:spacing w:after="0"/>
              <w:jc w:val="center"/>
            </w:pPr>
            <w:r/>
            <w:r>
              <w:rPr>
                <w:sz w:val="17"/>
              </w:rPr>
              <w:t>-0.18</w:t>
            </w:r>
          </w:p>
        </w:tc>
      </w:tr>
      <w:tr>
        <w:tc>
          <w:tcPr>
            <w:tcW w:type="dxa" w:w="2880"/>
          </w:tcPr>
          <w:p>
            <w:pPr>
              <w:spacing w:after="0"/>
            </w:pPr>
            <w:r/>
            <w:r>
              <w:rPr>
                <w:sz w:val="17"/>
              </w:rPr>
              <w:t>Momentum book (7 bps)</w:t>
            </w:r>
          </w:p>
        </w:tc>
        <w:tc>
          <w:tcPr>
            <w:tcW w:type="dxa" w:w="835"/>
          </w:tcPr>
          <w:p>
            <w:pPr>
              <w:spacing w:after="0"/>
              <w:jc w:val="center"/>
            </w:pPr>
            <w:r/>
            <w:r>
              <w:rPr>
                <w:sz w:val="17"/>
              </w:rPr>
              <w:t>10.6%</w:t>
            </w:r>
          </w:p>
        </w:tc>
        <w:tc>
          <w:tcPr>
            <w:tcW w:type="dxa" w:w="792"/>
          </w:tcPr>
          <w:p>
            <w:pPr>
              <w:spacing w:after="0"/>
              <w:jc w:val="center"/>
            </w:pPr>
            <w:r/>
            <w:r>
              <w:rPr>
                <w:sz w:val="17"/>
              </w:rPr>
              <w:t>17.3%</w:t>
            </w:r>
          </w:p>
        </w:tc>
        <w:tc>
          <w:tcPr>
            <w:tcW w:type="dxa" w:w="792"/>
          </w:tcPr>
          <w:p>
            <w:pPr>
              <w:spacing w:after="0"/>
              <w:jc w:val="center"/>
            </w:pPr>
            <w:r/>
            <w:r>
              <w:rPr>
                <w:sz w:val="17"/>
              </w:rPr>
              <w:t>0.61</w:t>
            </w:r>
          </w:p>
        </w:tc>
        <w:tc>
          <w:tcPr>
            <w:tcW w:type="dxa" w:w="835"/>
          </w:tcPr>
          <w:p>
            <w:pPr>
              <w:spacing w:after="0"/>
              <w:jc w:val="center"/>
            </w:pPr>
            <w:r/>
            <w:r>
              <w:rPr>
                <w:sz w:val="17"/>
              </w:rPr>
              <w:t>-18.6%</w:t>
            </w:r>
          </w:p>
        </w:tc>
        <w:tc>
          <w:tcPr>
            <w:tcW w:type="dxa" w:w="792"/>
          </w:tcPr>
          <w:p>
            <w:pPr>
              <w:spacing w:after="0"/>
              <w:jc w:val="center"/>
            </w:pPr>
            <w:r/>
            <w:r>
              <w:rPr>
                <w:sz w:val="17"/>
              </w:rPr>
              <w:t>12.5%</w:t>
            </w:r>
          </w:p>
        </w:tc>
        <w:tc>
          <w:tcPr>
            <w:tcW w:type="dxa" w:w="720"/>
          </w:tcPr>
          <w:p>
            <w:pPr>
              <w:spacing w:after="0"/>
              <w:jc w:val="center"/>
            </w:pPr>
            <w:r/>
            <w:r>
              <w:rPr>
                <w:sz w:val="17"/>
              </w:rPr>
              <w:t>-0.08</w:t>
            </w:r>
          </w:p>
        </w:tc>
        <w:tc>
          <w:tcPr>
            <w:tcW w:type="dxa" w:w="792"/>
          </w:tcPr>
          <w:p>
            <w:pPr>
              <w:spacing w:after="0"/>
              <w:jc w:val="center"/>
            </w:pPr>
            <w:r/>
            <w:r>
              <w:rPr>
                <w:sz w:val="17"/>
              </w:rPr>
              <w:t>1.40</w:t>
            </w:r>
          </w:p>
        </w:tc>
        <w:tc>
          <w:tcPr>
            <w:tcW w:type="dxa" w:w="864"/>
          </w:tcPr>
          <w:p>
            <w:pPr>
              <w:spacing w:after="0"/>
              <w:jc w:val="center"/>
            </w:pPr>
            <w:r/>
            <w:r>
              <w:rPr>
                <w:sz w:val="17"/>
              </w:rPr>
              <w:t>-0.18</w:t>
            </w:r>
          </w:p>
        </w:tc>
      </w:tr>
      <w:tr>
        <w:tc>
          <w:tcPr>
            <w:tcW w:type="dxa" w:w="2880"/>
          </w:tcPr>
          <w:p>
            <w:pPr>
              <w:spacing w:after="0"/>
            </w:pPr>
            <w:r/>
            <w:r>
              <w:rPr>
                <w:sz w:val="17"/>
              </w:rPr>
              <w:t>Reversal book (7 bps)</w:t>
            </w:r>
          </w:p>
        </w:tc>
        <w:tc>
          <w:tcPr>
            <w:tcW w:type="dxa" w:w="835"/>
          </w:tcPr>
          <w:p>
            <w:pPr>
              <w:spacing w:after="0"/>
              <w:jc w:val="center"/>
            </w:pPr>
            <w:r/>
            <w:r>
              <w:rPr>
                <w:sz w:val="17"/>
              </w:rPr>
              <w:t>-1.0%</w:t>
            </w:r>
          </w:p>
        </w:tc>
        <w:tc>
          <w:tcPr>
            <w:tcW w:type="dxa" w:w="792"/>
          </w:tcPr>
          <w:p>
            <w:pPr>
              <w:spacing w:after="0"/>
              <w:jc w:val="center"/>
            </w:pPr>
            <w:r/>
            <w:r>
              <w:rPr>
                <w:sz w:val="17"/>
              </w:rPr>
              <w:t>14.4%</w:t>
            </w:r>
          </w:p>
        </w:tc>
        <w:tc>
          <w:tcPr>
            <w:tcW w:type="dxa" w:w="792"/>
          </w:tcPr>
          <w:p>
            <w:pPr>
              <w:spacing w:after="0"/>
              <w:jc w:val="center"/>
            </w:pPr>
            <w:r/>
            <w:r>
              <w:rPr>
                <w:sz w:val="17"/>
              </w:rPr>
              <w:t>-0.07</w:t>
            </w:r>
          </w:p>
        </w:tc>
        <w:tc>
          <w:tcPr>
            <w:tcW w:type="dxa" w:w="835"/>
          </w:tcPr>
          <w:p>
            <w:pPr>
              <w:spacing w:after="0"/>
              <w:jc w:val="center"/>
            </w:pPr>
            <w:r/>
            <w:r>
              <w:rPr>
                <w:sz w:val="17"/>
              </w:rPr>
              <w:t>-35.4%</w:t>
            </w:r>
          </w:p>
        </w:tc>
        <w:tc>
          <w:tcPr>
            <w:tcW w:type="dxa" w:w="792"/>
          </w:tcPr>
          <w:p>
            <w:pPr>
              <w:spacing w:after="0"/>
              <w:jc w:val="center"/>
            </w:pPr>
            <w:r/>
            <w:r>
              <w:rPr>
                <w:sz w:val="17"/>
              </w:rPr>
              <w:t>-1.2%</w:t>
            </w:r>
          </w:p>
        </w:tc>
        <w:tc>
          <w:tcPr>
            <w:tcW w:type="dxa" w:w="720"/>
          </w:tcPr>
          <w:p>
            <w:pPr>
              <w:spacing w:after="0"/>
              <w:jc w:val="center"/>
            </w:pPr>
            <w:r/>
            <w:r>
              <w:rPr>
                <w:sz w:val="17"/>
              </w:rPr>
              <w:t>0.01</w:t>
            </w:r>
          </w:p>
        </w:tc>
        <w:tc>
          <w:tcPr>
            <w:tcW w:type="dxa" w:w="792"/>
          </w:tcPr>
          <w:p>
            <w:pPr>
              <w:spacing w:after="0"/>
              <w:jc w:val="center"/>
            </w:pPr>
            <w:r/>
            <w:r>
              <w:rPr>
                <w:sz w:val="17"/>
              </w:rPr>
              <w:t>-0.16</w:t>
            </w:r>
          </w:p>
        </w:tc>
        <w:tc>
          <w:tcPr>
            <w:tcW w:type="dxa" w:w="864"/>
          </w:tcPr>
          <w:p>
            <w:pPr>
              <w:spacing w:after="0"/>
              <w:jc w:val="center"/>
            </w:pPr>
            <w:r/>
            <w:r>
              <w:rPr>
                <w:sz w:val="17"/>
              </w:rPr>
              <w:t>0.03</w:t>
            </w:r>
          </w:p>
        </w:tc>
      </w:tr>
      <w:tr>
        <w:tc>
          <w:tcPr>
            <w:tcW w:type="dxa" w:w="2880"/>
          </w:tcPr>
          <w:p>
            <w:pPr>
              <w:spacing w:after="0"/>
            </w:pPr>
            <w:r/>
            <w:r>
              <w:rPr>
                <w:sz w:val="17"/>
              </w:rPr>
              <w:t>Reversal book (20 bps)</w:t>
            </w:r>
          </w:p>
        </w:tc>
        <w:tc>
          <w:tcPr>
            <w:tcW w:type="dxa" w:w="835"/>
          </w:tcPr>
          <w:p>
            <w:pPr>
              <w:spacing w:after="0"/>
              <w:jc w:val="center"/>
            </w:pPr>
            <w:r/>
            <w:r>
              <w:rPr>
                <w:sz w:val="17"/>
              </w:rPr>
              <w:t>-2.8%</w:t>
            </w:r>
          </w:p>
        </w:tc>
        <w:tc>
          <w:tcPr>
            <w:tcW w:type="dxa" w:w="792"/>
          </w:tcPr>
          <w:p>
            <w:pPr>
              <w:spacing w:after="0"/>
              <w:jc w:val="center"/>
            </w:pPr>
            <w:r/>
            <w:r>
              <w:rPr>
                <w:sz w:val="17"/>
              </w:rPr>
              <w:t>14.4%</w:t>
            </w:r>
          </w:p>
        </w:tc>
        <w:tc>
          <w:tcPr>
            <w:tcW w:type="dxa" w:w="792"/>
          </w:tcPr>
          <w:p>
            <w:pPr>
              <w:spacing w:after="0"/>
              <w:jc w:val="center"/>
            </w:pPr>
            <w:r/>
            <w:r>
              <w:rPr>
                <w:sz w:val="17"/>
              </w:rPr>
              <w:t>-0.19</w:t>
            </w:r>
          </w:p>
        </w:tc>
        <w:tc>
          <w:tcPr>
            <w:tcW w:type="dxa" w:w="835"/>
          </w:tcPr>
          <w:p>
            <w:pPr>
              <w:spacing w:after="0"/>
              <w:jc w:val="center"/>
            </w:pPr>
            <w:r/>
            <w:r>
              <w:rPr>
                <w:sz w:val="17"/>
              </w:rPr>
              <w:t>-38.2%</w:t>
            </w:r>
          </w:p>
        </w:tc>
        <w:tc>
          <w:tcPr>
            <w:tcW w:type="dxa" w:w="792"/>
          </w:tcPr>
          <w:p>
            <w:pPr>
              <w:spacing w:after="0"/>
              <w:jc w:val="center"/>
            </w:pPr>
            <w:r/>
            <w:r>
              <w:rPr>
                <w:sz w:val="17"/>
              </w:rPr>
              <w:t>-3.0%</w:t>
            </w:r>
          </w:p>
        </w:tc>
        <w:tc>
          <w:tcPr>
            <w:tcW w:type="dxa" w:w="720"/>
          </w:tcPr>
          <w:p>
            <w:pPr>
              <w:spacing w:after="0"/>
              <w:jc w:val="center"/>
            </w:pPr>
            <w:r/>
            <w:r>
              <w:rPr>
                <w:sz w:val="17"/>
              </w:rPr>
              <w:t>0.01</w:t>
            </w:r>
          </w:p>
        </w:tc>
        <w:tc>
          <w:tcPr>
            <w:tcW w:type="dxa" w:w="792"/>
          </w:tcPr>
          <w:p>
            <w:pPr>
              <w:spacing w:after="0"/>
              <w:jc w:val="center"/>
            </w:pPr>
            <w:r/>
            <w:r>
              <w:rPr>
                <w:sz w:val="17"/>
              </w:rPr>
              <w:t>-0.40</w:t>
            </w:r>
          </w:p>
        </w:tc>
        <w:tc>
          <w:tcPr>
            <w:tcW w:type="dxa" w:w="864"/>
          </w:tcPr>
          <w:p>
            <w:pPr>
              <w:spacing w:after="0"/>
              <w:jc w:val="center"/>
            </w:pPr>
            <w:r/>
            <w:r>
              <w:rPr>
                <w:sz w:val="17"/>
              </w:rPr>
              <w:t>0.03</w:t>
            </w:r>
          </w:p>
        </w:tc>
      </w:tr>
      <w:tr>
        <w:tc>
          <w:tcPr>
            <w:tcW w:type="dxa" w:w="2880"/>
          </w:tcPr>
          <w:p>
            <w:pPr>
              <w:spacing w:after="0"/>
            </w:pPr>
            <w:r/>
            <w:r>
              <w:rPr>
                <w:sz w:val="17"/>
              </w:rPr>
              <w:t>Cointegrated pairs (20 bps)</w:t>
            </w:r>
          </w:p>
        </w:tc>
        <w:tc>
          <w:tcPr>
            <w:tcW w:type="dxa" w:w="835"/>
          </w:tcPr>
          <w:p>
            <w:pPr>
              <w:spacing w:after="0"/>
              <w:jc w:val="center"/>
            </w:pPr>
            <w:r/>
            <w:r>
              <w:rPr>
                <w:sz w:val="17"/>
              </w:rPr>
              <w:t>2.7%</w:t>
            </w:r>
          </w:p>
        </w:tc>
        <w:tc>
          <w:tcPr>
            <w:tcW w:type="dxa" w:w="792"/>
          </w:tcPr>
          <w:p>
            <w:pPr>
              <w:spacing w:after="0"/>
              <w:jc w:val="center"/>
            </w:pPr>
            <w:r/>
            <w:r>
              <w:rPr>
                <w:sz w:val="17"/>
              </w:rPr>
              <w:t>4.3%</w:t>
            </w:r>
          </w:p>
        </w:tc>
        <w:tc>
          <w:tcPr>
            <w:tcW w:type="dxa" w:w="792"/>
          </w:tcPr>
          <w:p>
            <w:pPr>
              <w:spacing w:after="0"/>
              <w:jc w:val="center"/>
            </w:pPr>
            <w:r/>
            <w:r>
              <w:rPr>
                <w:sz w:val="17"/>
              </w:rPr>
              <w:t>0.64</w:t>
            </w:r>
          </w:p>
        </w:tc>
        <w:tc>
          <w:tcPr>
            <w:tcW w:type="dxa" w:w="835"/>
          </w:tcPr>
          <w:p>
            <w:pPr>
              <w:spacing w:after="0"/>
              <w:jc w:val="center"/>
            </w:pPr>
            <w:r/>
            <w:r>
              <w:rPr>
                <w:sz w:val="17"/>
              </w:rPr>
              <w:t>-5.6%</w:t>
            </w:r>
          </w:p>
        </w:tc>
        <w:tc>
          <w:tcPr>
            <w:tcW w:type="dxa" w:w="792"/>
          </w:tcPr>
          <w:p>
            <w:pPr>
              <w:spacing w:after="0"/>
              <w:jc w:val="center"/>
            </w:pPr>
            <w:r/>
            <w:r>
              <w:rPr>
                <w:sz w:val="17"/>
              </w:rPr>
              <w:t>2.6%</w:t>
            </w:r>
          </w:p>
        </w:tc>
        <w:tc>
          <w:tcPr>
            <w:tcW w:type="dxa" w:w="720"/>
          </w:tcPr>
          <w:p>
            <w:pPr>
              <w:spacing w:after="0"/>
              <w:jc w:val="center"/>
            </w:pPr>
            <w:r/>
            <w:r>
              <w:rPr>
                <w:sz w:val="17"/>
              </w:rPr>
              <w:t>0.01</w:t>
            </w:r>
          </w:p>
        </w:tc>
        <w:tc>
          <w:tcPr>
            <w:tcW w:type="dxa" w:w="792"/>
          </w:tcPr>
          <w:p>
            <w:pPr>
              <w:spacing w:after="0"/>
              <w:jc w:val="center"/>
            </w:pPr>
            <w:r/>
            <w:r>
              <w:rPr>
                <w:sz w:val="17"/>
              </w:rPr>
              <w:t>1.20</w:t>
            </w:r>
          </w:p>
        </w:tc>
        <w:tc>
          <w:tcPr>
            <w:tcW w:type="dxa" w:w="864"/>
          </w:tcPr>
          <w:p>
            <w:pPr>
              <w:spacing w:after="0"/>
              <w:jc w:val="center"/>
            </w:pPr>
            <w:r/>
            <w:r>
              <w:rPr>
                <w:sz w:val="17"/>
              </w:rPr>
              <w:t>0.06</w:t>
            </w:r>
          </w:p>
        </w:tc>
      </w:tr>
      <w:tr>
        <w:tc>
          <w:tcPr>
            <w:tcW w:type="dxa" w:w="2880"/>
          </w:tcPr>
          <w:p>
            <w:pPr>
              <w:spacing w:after="0"/>
            </w:pPr>
            <w:r/>
            <w:r>
              <w:rPr>
                <w:sz w:val="17"/>
              </w:rPr>
              <w:t>Equal-weight crypto</w:t>
            </w:r>
          </w:p>
        </w:tc>
        <w:tc>
          <w:tcPr>
            <w:tcW w:type="dxa" w:w="835"/>
          </w:tcPr>
          <w:p>
            <w:pPr>
              <w:spacing w:after="0"/>
              <w:jc w:val="center"/>
            </w:pPr>
            <w:r/>
            <w:r>
              <w:rPr>
                <w:sz w:val="17"/>
              </w:rPr>
              <w:t>10.1%</w:t>
            </w:r>
          </w:p>
        </w:tc>
        <w:tc>
          <w:tcPr>
            <w:tcW w:type="dxa" w:w="792"/>
          </w:tcPr>
          <w:p>
            <w:pPr>
              <w:spacing w:after="0"/>
              <w:jc w:val="center"/>
            </w:pPr>
            <w:r/>
            <w:r>
              <w:rPr>
                <w:sz w:val="17"/>
              </w:rPr>
              <w:t>52.5%</w:t>
            </w:r>
          </w:p>
        </w:tc>
        <w:tc>
          <w:tcPr>
            <w:tcW w:type="dxa" w:w="792"/>
          </w:tcPr>
          <w:p>
            <w:pPr>
              <w:spacing w:after="0"/>
              <w:jc w:val="center"/>
            </w:pPr>
            <w:r/>
            <w:r>
              <w:rPr>
                <w:sz w:val="17"/>
              </w:rPr>
              <w:t>0.19</w:t>
            </w:r>
          </w:p>
        </w:tc>
        <w:tc>
          <w:tcPr>
            <w:tcW w:type="dxa" w:w="835"/>
          </w:tcPr>
          <w:p>
            <w:pPr>
              <w:spacing w:after="0"/>
              <w:jc w:val="center"/>
            </w:pPr>
            <w:r/>
            <w:r>
              <w:rPr>
                <w:sz w:val="17"/>
              </w:rPr>
              <w:t>-74.4%</w:t>
            </w:r>
          </w:p>
        </w:tc>
        <w:tc>
          <w:tcPr>
            <w:tcW w:type="dxa" w:w="792"/>
          </w:tcPr>
          <w:p>
            <w:pPr>
              <w:spacing w:after="0"/>
              <w:jc w:val="center"/>
            </w:pPr>
            <w:r/>
            <w:r>
              <w:rPr>
                <w:sz w:val="17"/>
              </w:rPr>
              <w:t>-15.2%</w:t>
            </w:r>
          </w:p>
        </w:tc>
        <w:tc>
          <w:tcPr>
            <w:tcW w:type="dxa" w:w="720"/>
          </w:tcPr>
          <w:p>
            <w:pPr>
              <w:spacing w:after="0"/>
              <w:jc w:val="center"/>
            </w:pPr>
            <w:r/>
            <w:r>
              <w:rPr>
                <w:sz w:val="17"/>
              </w:rPr>
              <w:t>1.05</w:t>
            </w:r>
          </w:p>
        </w:tc>
        <w:tc>
          <w:tcPr>
            <w:tcW w:type="dxa" w:w="792"/>
          </w:tcPr>
          <w:p>
            <w:pPr>
              <w:spacing w:after="0"/>
              <w:jc w:val="center"/>
            </w:pPr>
            <w:r/>
            <w:r>
              <w:rPr>
                <w:sz w:val="17"/>
              </w:rPr>
              <w:t>-0.92</w:t>
            </w:r>
          </w:p>
        </w:tc>
        <w:tc>
          <w:tcPr>
            <w:tcW w:type="dxa" w:w="864"/>
          </w:tcPr>
          <w:p>
            <w:pPr>
              <w:spacing w:after="0"/>
              <w:jc w:val="center"/>
            </w:pPr>
            <w:r/>
            <w:r>
              <w:rPr>
                <w:sz w:val="17"/>
              </w:rPr>
              <w:t>0.79</w:t>
            </w:r>
          </w:p>
        </w:tc>
      </w:tr>
      <w:tr>
        <w:tc>
          <w:tcPr>
            <w:tcW w:type="dxa" w:w="2880"/>
          </w:tcPr>
          <w:p>
            <w:pPr>
              <w:spacing w:after="0"/>
            </w:pPr>
            <w:r/>
            <w:r>
              <w:rPr>
                <w:sz w:val="17"/>
              </w:rPr>
              <w:t>Buy &amp; hold BTC</w:t>
            </w:r>
          </w:p>
        </w:tc>
        <w:tc>
          <w:tcPr>
            <w:tcW w:type="dxa" w:w="835"/>
          </w:tcPr>
          <w:p>
            <w:pPr>
              <w:spacing w:after="0"/>
              <w:jc w:val="center"/>
            </w:pPr>
            <w:r/>
            <w:r>
              <w:rPr>
                <w:sz w:val="17"/>
              </w:rPr>
              <w:t>24.1%</w:t>
            </w:r>
          </w:p>
        </w:tc>
        <w:tc>
          <w:tcPr>
            <w:tcW w:type="dxa" w:w="792"/>
          </w:tcPr>
          <w:p>
            <w:pPr>
              <w:spacing w:after="0"/>
              <w:jc w:val="center"/>
            </w:pPr>
            <w:r/>
            <w:r>
              <w:rPr>
                <w:sz w:val="17"/>
              </w:rPr>
              <w:t>39.4%</w:t>
            </w:r>
          </w:p>
        </w:tc>
        <w:tc>
          <w:tcPr>
            <w:tcW w:type="dxa" w:w="792"/>
          </w:tcPr>
          <w:p>
            <w:pPr>
              <w:spacing w:after="0"/>
              <w:jc w:val="center"/>
            </w:pPr>
            <w:r/>
            <w:r>
              <w:rPr>
                <w:sz w:val="17"/>
              </w:rPr>
              <w:t>0.61</w:t>
            </w:r>
          </w:p>
        </w:tc>
        <w:tc>
          <w:tcPr>
            <w:tcW w:type="dxa" w:w="835"/>
          </w:tcPr>
          <w:p>
            <w:pPr>
              <w:spacing w:after="0"/>
              <w:jc w:val="center"/>
            </w:pPr>
            <w:r/>
            <w:r>
              <w:rPr>
                <w:sz w:val="17"/>
              </w:rPr>
              <w:t>-53.1%</w:t>
            </w:r>
          </w:p>
        </w:tc>
        <w:tc>
          <w:tcPr>
            <w:tcW w:type="dxa" w:w="792"/>
          </w:tcPr>
          <w:p>
            <w:pPr>
              <w:spacing w:after="0"/>
              <w:jc w:val="center"/>
            </w:pPr>
            <w:r/>
            <w:r>
              <w:rPr>
                <w:sz w:val="17"/>
              </w:rPr>
              <w:t>0.0%</w:t>
            </w:r>
          </w:p>
        </w:tc>
        <w:tc>
          <w:tcPr>
            <w:tcW w:type="dxa" w:w="720"/>
          </w:tcPr>
          <w:p>
            <w:pPr>
              <w:spacing w:after="0"/>
              <w:jc w:val="center"/>
            </w:pPr>
            <w:r/>
            <w:r>
              <w:rPr>
                <w:sz w:val="17"/>
              </w:rPr>
              <w:t>1.00</w:t>
            </w:r>
          </w:p>
        </w:tc>
        <w:tc>
          <w:tcPr>
            <w:tcW w:type="dxa" w:w="792"/>
          </w:tcPr>
          <w:p>
            <w:pPr>
              <w:spacing w:after="0"/>
              <w:jc w:val="center"/>
            </w:pPr>
            <w:r/>
            <w:r>
              <w:rPr>
                <w:sz w:val="17"/>
              </w:rPr>
              <w:t>0.33</w:t>
            </w:r>
          </w:p>
        </w:tc>
        <w:tc>
          <w:tcPr>
            <w:tcW w:type="dxa" w:w="864"/>
          </w:tcPr>
          <w:p>
            <w:pPr>
              <w:spacing w:after="0"/>
              <w:jc w:val="center"/>
            </w:pPr>
            <w:r/>
            <w:r>
              <w:rPr>
                <w:sz w:val="17"/>
              </w:rPr>
              <w:t>1.00</w:t>
            </w:r>
          </w:p>
        </w:tc>
      </w:tr>
    </w:tbl>
    <w:p>
      <w:pPr>
        <w:spacing w:after="160"/>
      </w:pPr>
      <w:r>
        <w:rPr>
          <w:i/>
          <w:sz w:val="18"/>
        </w:rPr>
        <w:t>* Momentum book at 20 bps (market orders), reversal book at 7 bps (limit orders). Sharpe = mean / std x sqrt(252); return, volatility and alpha annualised with 252 days. Alpha, beta and correlation vs daily Bitcoin returns; alpha t uses Newey-West (5-lag) errors.</w:t>
      </w:r>
    </w:p>
    <w:p>
      <w:pPr>
        <w:keepNext/>
        <w:spacing w:after="60"/>
      </w:pPr>
      <w:r>
        <w:rPr>
          <w:b/>
          <w:sz w:val="20"/>
        </w:rPr>
        <w:t>Table 14. Research period, 2021-12-28 to 2023-12-31 (all decisions made here).</w:t>
      </w:r>
    </w:p>
    <w:tbl>
      <w:tblPr>
        <w:tblStyle w:val="TableGrid"/>
        <w:tblW w:type="auto" w:w="0"/>
        <w:jc w:val="center"/>
        <w:tblLayout w:type="fixed"/>
        <w:tblLook w:firstColumn="1" w:firstRow="1" w:lastColumn="0" w:lastRow="0" w:noHBand="0" w:noVBand="1" w:val="04A0"/>
      </w:tblPr>
      <w:tblGrid>
        <w:gridCol w:w="2880"/>
        <w:gridCol w:w="835"/>
        <w:gridCol w:w="792"/>
        <w:gridCol w:w="792"/>
        <w:gridCol w:w="835"/>
        <w:gridCol w:w="792"/>
        <w:gridCol w:w="720"/>
        <w:gridCol w:w="792"/>
        <w:gridCol w:w="864"/>
      </w:tblGrid>
      <w:tr>
        <w:tc>
          <w:tcPr>
            <w:tcW w:type="dxa" w:w="2880"/>
            <w:shd w:val="clear" w:fill="1F3864"/>
          </w:tcPr>
          <w:p>
            <w:pPr>
              <w:jc w:val="left"/>
            </w:pPr>
            <w:r/>
            <w:r>
              <w:rPr>
                <w:b/>
                <w:color w:val="FFFFFF"/>
                <w:sz w:val="17"/>
              </w:rPr>
              <w:t>Strategy</w:t>
            </w:r>
          </w:p>
        </w:tc>
        <w:tc>
          <w:tcPr>
            <w:tcW w:type="dxa" w:w="835"/>
            <w:shd w:val="clear" w:fill="1F3864"/>
          </w:tcPr>
          <w:p>
            <w:pPr>
              <w:jc w:val="center"/>
            </w:pPr>
            <w:r/>
            <w:r>
              <w:rPr>
                <w:b/>
                <w:color w:val="FFFFFF"/>
                <w:sz w:val="17"/>
              </w:rPr>
              <w:t>Ann. return</w:t>
            </w:r>
          </w:p>
        </w:tc>
        <w:tc>
          <w:tcPr>
            <w:tcW w:type="dxa" w:w="792"/>
            <w:shd w:val="clear" w:fill="1F3864"/>
          </w:tcPr>
          <w:p>
            <w:pPr>
              <w:jc w:val="center"/>
            </w:pPr>
            <w:r/>
            <w:r>
              <w:rPr>
                <w:b/>
                <w:color w:val="FFFFFF"/>
                <w:sz w:val="17"/>
              </w:rPr>
              <w:t>Ann. vol</w:t>
            </w:r>
          </w:p>
        </w:tc>
        <w:tc>
          <w:tcPr>
            <w:tcW w:type="dxa" w:w="792"/>
            <w:shd w:val="clear" w:fill="1F3864"/>
          </w:tcPr>
          <w:p>
            <w:pPr>
              <w:jc w:val="center"/>
            </w:pPr>
            <w:r/>
            <w:r>
              <w:rPr>
                <w:b/>
                <w:color w:val="FFFFFF"/>
                <w:sz w:val="17"/>
              </w:rPr>
              <w:t>Sharpe</w:t>
            </w:r>
          </w:p>
        </w:tc>
        <w:tc>
          <w:tcPr>
            <w:tcW w:type="dxa" w:w="835"/>
            <w:shd w:val="clear" w:fill="1F3864"/>
          </w:tcPr>
          <w:p>
            <w:pPr>
              <w:jc w:val="center"/>
            </w:pPr>
            <w:r/>
            <w:r>
              <w:rPr>
                <w:b/>
                <w:color w:val="FFFFFF"/>
                <w:sz w:val="17"/>
              </w:rPr>
              <w:t>Max DD</w:t>
            </w:r>
          </w:p>
        </w:tc>
        <w:tc>
          <w:tcPr>
            <w:tcW w:type="dxa" w:w="792"/>
            <w:shd w:val="clear" w:fill="1F3864"/>
          </w:tcPr>
          <w:p>
            <w:pPr>
              <w:jc w:val="center"/>
            </w:pPr>
            <w:r/>
            <w:r>
              <w:rPr>
                <w:b/>
                <w:color w:val="FFFFFF"/>
                <w:sz w:val="17"/>
              </w:rPr>
              <w:t>Alpha</w:t>
            </w:r>
          </w:p>
        </w:tc>
        <w:tc>
          <w:tcPr>
            <w:tcW w:type="dxa" w:w="720"/>
            <w:shd w:val="clear" w:fill="1F3864"/>
          </w:tcPr>
          <w:p>
            <w:pPr>
              <w:jc w:val="center"/>
            </w:pPr>
            <w:r/>
            <w:r>
              <w:rPr>
                <w:b/>
                <w:color w:val="FFFFFF"/>
                <w:sz w:val="17"/>
              </w:rPr>
              <w:t>Beta</w:t>
            </w:r>
          </w:p>
        </w:tc>
        <w:tc>
          <w:tcPr>
            <w:tcW w:type="dxa" w:w="792"/>
            <w:shd w:val="clear" w:fill="1F3864"/>
          </w:tcPr>
          <w:p>
            <w:pPr>
              <w:jc w:val="center"/>
            </w:pPr>
            <w:r/>
            <w:r>
              <w:rPr>
                <w:b/>
                <w:color w:val="FFFFFF"/>
                <w:sz w:val="17"/>
              </w:rPr>
              <w:t>Alpha t</w:t>
            </w:r>
          </w:p>
        </w:tc>
        <w:tc>
          <w:tcPr>
            <w:tcW w:type="dxa" w:w="864"/>
            <w:shd w:val="clear" w:fill="1F3864"/>
          </w:tcPr>
          <w:p>
            <w:pPr>
              <w:jc w:val="center"/>
            </w:pPr>
            <w:r/>
            <w:r>
              <w:rPr>
                <w:b/>
                <w:color w:val="FFFFFF"/>
                <w:sz w:val="17"/>
              </w:rPr>
              <w:t>Corr BTC</w:t>
            </w:r>
          </w:p>
        </w:tc>
      </w:tr>
      <w:tr>
        <w:tc>
          <w:tcPr>
            <w:tcW w:type="dxa" w:w="2880"/>
            <w:shd w:val="clear" w:fill="DCE6F1"/>
          </w:tcPr>
          <w:p>
            <w:pPr>
              <w:spacing w:after="0"/>
            </w:pPr>
            <w:r/>
            <w:r>
              <w:rPr>
                <w:b/>
                <w:sz w:val="17"/>
              </w:rPr>
              <w:t>Combined portfolio *</w:t>
            </w:r>
          </w:p>
        </w:tc>
        <w:tc>
          <w:tcPr>
            <w:tcW w:type="dxa" w:w="835"/>
            <w:shd w:val="clear" w:fill="DCE6F1"/>
          </w:tcPr>
          <w:p>
            <w:pPr>
              <w:spacing w:after="0"/>
              <w:jc w:val="center"/>
            </w:pPr>
            <w:r/>
            <w:r>
              <w:rPr>
                <w:b/>
                <w:sz w:val="17"/>
              </w:rPr>
              <w:t>9.4%</w:t>
            </w:r>
          </w:p>
        </w:tc>
        <w:tc>
          <w:tcPr>
            <w:tcW w:type="dxa" w:w="792"/>
            <w:shd w:val="clear" w:fill="DCE6F1"/>
          </w:tcPr>
          <w:p>
            <w:pPr>
              <w:spacing w:after="0"/>
              <w:jc w:val="center"/>
            </w:pPr>
            <w:r/>
            <w:r>
              <w:rPr>
                <w:b/>
                <w:sz w:val="17"/>
              </w:rPr>
              <w:t>10.1%</w:t>
            </w:r>
          </w:p>
        </w:tc>
        <w:tc>
          <w:tcPr>
            <w:tcW w:type="dxa" w:w="792"/>
            <w:shd w:val="clear" w:fill="DCE6F1"/>
          </w:tcPr>
          <w:p>
            <w:pPr>
              <w:spacing w:after="0"/>
              <w:jc w:val="center"/>
            </w:pPr>
            <w:r/>
            <w:r>
              <w:rPr>
                <w:b/>
                <w:sz w:val="17"/>
              </w:rPr>
              <w:t>0.93</w:t>
            </w:r>
          </w:p>
        </w:tc>
        <w:tc>
          <w:tcPr>
            <w:tcW w:type="dxa" w:w="835"/>
            <w:shd w:val="clear" w:fill="DCE6F1"/>
          </w:tcPr>
          <w:p>
            <w:pPr>
              <w:spacing w:after="0"/>
              <w:jc w:val="center"/>
            </w:pPr>
            <w:r/>
            <w:r>
              <w:rPr>
                <w:b/>
                <w:sz w:val="17"/>
              </w:rPr>
              <w:t>-13.3%</w:t>
            </w:r>
          </w:p>
        </w:tc>
        <w:tc>
          <w:tcPr>
            <w:tcW w:type="dxa" w:w="792"/>
            <w:shd w:val="clear" w:fill="DCE6F1"/>
          </w:tcPr>
          <w:p>
            <w:pPr>
              <w:spacing w:after="0"/>
              <w:jc w:val="center"/>
            </w:pPr>
            <w:r/>
            <w:r>
              <w:rPr>
                <w:b/>
                <w:sz w:val="17"/>
              </w:rPr>
              <w:t>9.6%</w:t>
            </w:r>
          </w:p>
        </w:tc>
        <w:tc>
          <w:tcPr>
            <w:tcW w:type="dxa" w:w="720"/>
            <w:shd w:val="clear" w:fill="DCE6F1"/>
          </w:tcPr>
          <w:p>
            <w:pPr>
              <w:spacing w:after="0"/>
              <w:jc w:val="center"/>
            </w:pPr>
            <w:r/>
            <w:r>
              <w:rPr>
                <w:b/>
                <w:sz w:val="17"/>
              </w:rPr>
              <w:t>-0.03</w:t>
            </w:r>
          </w:p>
        </w:tc>
        <w:tc>
          <w:tcPr>
            <w:tcW w:type="dxa" w:w="792"/>
            <w:shd w:val="clear" w:fill="DCE6F1"/>
          </w:tcPr>
          <w:p>
            <w:pPr>
              <w:spacing w:after="0"/>
              <w:jc w:val="center"/>
            </w:pPr>
            <w:r/>
            <w:r>
              <w:rPr>
                <w:b/>
                <w:sz w:val="17"/>
              </w:rPr>
              <w:t>1.64</w:t>
            </w:r>
          </w:p>
        </w:tc>
        <w:tc>
          <w:tcPr>
            <w:tcW w:type="dxa" w:w="864"/>
            <w:shd w:val="clear" w:fill="DCE6F1"/>
          </w:tcPr>
          <w:p>
            <w:pPr>
              <w:spacing w:after="0"/>
              <w:jc w:val="center"/>
            </w:pPr>
            <w:r/>
            <w:r>
              <w:rPr>
                <w:b/>
                <w:sz w:val="17"/>
              </w:rPr>
              <w:t>-0.15</w:t>
            </w:r>
          </w:p>
        </w:tc>
      </w:tr>
      <w:tr>
        <w:tc>
          <w:tcPr>
            <w:tcW w:type="dxa" w:w="2880"/>
          </w:tcPr>
          <w:p>
            <w:pPr>
              <w:spacing w:after="0"/>
            </w:pPr>
            <w:r/>
            <w:r>
              <w:rPr>
                <w:sz w:val="17"/>
              </w:rPr>
              <w:t>Combined (all trades at 20 bps)</w:t>
            </w:r>
          </w:p>
        </w:tc>
        <w:tc>
          <w:tcPr>
            <w:tcW w:type="dxa" w:w="835"/>
          </w:tcPr>
          <w:p>
            <w:pPr>
              <w:spacing w:after="0"/>
              <w:jc w:val="center"/>
            </w:pPr>
            <w:r/>
            <w:r>
              <w:rPr>
                <w:sz w:val="17"/>
              </w:rPr>
              <w:t>8.2%</w:t>
            </w:r>
          </w:p>
        </w:tc>
        <w:tc>
          <w:tcPr>
            <w:tcW w:type="dxa" w:w="792"/>
          </w:tcPr>
          <w:p>
            <w:pPr>
              <w:spacing w:after="0"/>
              <w:jc w:val="center"/>
            </w:pPr>
            <w:r/>
            <w:r>
              <w:rPr>
                <w:sz w:val="17"/>
              </w:rPr>
              <w:t>10.1%</w:t>
            </w:r>
          </w:p>
        </w:tc>
        <w:tc>
          <w:tcPr>
            <w:tcW w:type="dxa" w:w="792"/>
          </w:tcPr>
          <w:p>
            <w:pPr>
              <w:spacing w:after="0"/>
              <w:jc w:val="center"/>
            </w:pPr>
            <w:r/>
            <w:r>
              <w:rPr>
                <w:sz w:val="17"/>
              </w:rPr>
              <w:t>0.81</w:t>
            </w:r>
          </w:p>
        </w:tc>
        <w:tc>
          <w:tcPr>
            <w:tcW w:type="dxa" w:w="835"/>
          </w:tcPr>
          <w:p>
            <w:pPr>
              <w:spacing w:after="0"/>
              <w:jc w:val="center"/>
            </w:pPr>
            <w:r/>
            <w:r>
              <w:rPr>
                <w:sz w:val="17"/>
              </w:rPr>
              <w:t>-14.1%</w:t>
            </w:r>
          </w:p>
        </w:tc>
        <w:tc>
          <w:tcPr>
            <w:tcW w:type="dxa" w:w="792"/>
          </w:tcPr>
          <w:p>
            <w:pPr>
              <w:spacing w:after="0"/>
              <w:jc w:val="center"/>
            </w:pPr>
            <w:r/>
            <w:r>
              <w:rPr>
                <w:sz w:val="17"/>
              </w:rPr>
              <w:t>8.3%</w:t>
            </w:r>
          </w:p>
        </w:tc>
        <w:tc>
          <w:tcPr>
            <w:tcW w:type="dxa" w:w="720"/>
          </w:tcPr>
          <w:p>
            <w:pPr>
              <w:spacing w:after="0"/>
              <w:jc w:val="center"/>
            </w:pPr>
            <w:r/>
            <w:r>
              <w:rPr>
                <w:sz w:val="17"/>
              </w:rPr>
              <w:t>-0.03</w:t>
            </w:r>
          </w:p>
        </w:tc>
        <w:tc>
          <w:tcPr>
            <w:tcW w:type="dxa" w:w="792"/>
          </w:tcPr>
          <w:p>
            <w:pPr>
              <w:spacing w:after="0"/>
              <w:jc w:val="center"/>
            </w:pPr>
            <w:r/>
            <w:r>
              <w:rPr>
                <w:sz w:val="17"/>
              </w:rPr>
              <w:t>1.43</w:t>
            </w:r>
          </w:p>
        </w:tc>
        <w:tc>
          <w:tcPr>
            <w:tcW w:type="dxa" w:w="864"/>
          </w:tcPr>
          <w:p>
            <w:pPr>
              <w:spacing w:after="0"/>
              <w:jc w:val="center"/>
            </w:pPr>
            <w:r/>
            <w:r>
              <w:rPr>
                <w:sz w:val="17"/>
              </w:rPr>
              <w:t>-0.15</w:t>
            </w:r>
          </w:p>
        </w:tc>
      </w:tr>
      <w:tr>
        <w:tc>
          <w:tcPr>
            <w:tcW w:type="dxa" w:w="2880"/>
          </w:tcPr>
          <w:p>
            <w:pPr>
              <w:spacing w:after="0"/>
            </w:pPr>
            <w:r/>
            <w:r>
              <w:rPr>
                <w:sz w:val="17"/>
              </w:rPr>
              <w:t>Momentum book (20 bps)</w:t>
            </w:r>
          </w:p>
        </w:tc>
        <w:tc>
          <w:tcPr>
            <w:tcW w:type="dxa" w:w="835"/>
          </w:tcPr>
          <w:p>
            <w:pPr>
              <w:spacing w:after="0"/>
              <w:jc w:val="center"/>
            </w:pPr>
            <w:r/>
            <w:r>
              <w:rPr>
                <w:sz w:val="17"/>
              </w:rPr>
              <w:t>11.2%</w:t>
            </w:r>
          </w:p>
        </w:tc>
        <w:tc>
          <w:tcPr>
            <w:tcW w:type="dxa" w:w="792"/>
          </w:tcPr>
          <w:p>
            <w:pPr>
              <w:spacing w:after="0"/>
              <w:jc w:val="center"/>
            </w:pPr>
            <w:r/>
            <w:r>
              <w:rPr>
                <w:sz w:val="17"/>
              </w:rPr>
              <w:t>20.6%</w:t>
            </w:r>
          </w:p>
        </w:tc>
        <w:tc>
          <w:tcPr>
            <w:tcW w:type="dxa" w:w="792"/>
          </w:tcPr>
          <w:p>
            <w:pPr>
              <w:spacing w:after="0"/>
              <w:jc w:val="center"/>
            </w:pPr>
            <w:r/>
            <w:r>
              <w:rPr>
                <w:sz w:val="17"/>
              </w:rPr>
              <w:t>0.54</w:t>
            </w:r>
          </w:p>
        </w:tc>
        <w:tc>
          <w:tcPr>
            <w:tcW w:type="dxa" w:w="835"/>
          </w:tcPr>
          <w:p>
            <w:pPr>
              <w:spacing w:after="0"/>
              <w:jc w:val="center"/>
            </w:pPr>
            <w:r/>
            <w:r>
              <w:rPr>
                <w:sz w:val="17"/>
              </w:rPr>
              <w:t>-17.1%</w:t>
            </w:r>
          </w:p>
        </w:tc>
        <w:tc>
          <w:tcPr>
            <w:tcW w:type="dxa" w:w="792"/>
          </w:tcPr>
          <w:p>
            <w:pPr>
              <w:spacing w:after="0"/>
              <w:jc w:val="center"/>
            </w:pPr>
            <w:r/>
            <w:r>
              <w:rPr>
                <w:sz w:val="17"/>
              </w:rPr>
              <w:t>11.7%</w:t>
            </w:r>
          </w:p>
        </w:tc>
        <w:tc>
          <w:tcPr>
            <w:tcW w:type="dxa" w:w="720"/>
          </w:tcPr>
          <w:p>
            <w:pPr>
              <w:spacing w:after="0"/>
              <w:jc w:val="center"/>
            </w:pPr>
            <w:r/>
            <w:r>
              <w:rPr>
                <w:sz w:val="17"/>
              </w:rPr>
              <w:t>-0.12</w:t>
            </w:r>
          </w:p>
        </w:tc>
        <w:tc>
          <w:tcPr>
            <w:tcW w:type="dxa" w:w="792"/>
          </w:tcPr>
          <w:p>
            <w:pPr>
              <w:spacing w:after="0"/>
              <w:jc w:val="center"/>
            </w:pPr>
            <w:r/>
            <w:r>
              <w:rPr>
                <w:sz w:val="17"/>
              </w:rPr>
              <w:t>1.08</w:t>
            </w:r>
          </w:p>
        </w:tc>
        <w:tc>
          <w:tcPr>
            <w:tcW w:type="dxa" w:w="864"/>
          </w:tcPr>
          <w:p>
            <w:pPr>
              <w:spacing w:after="0"/>
              <w:jc w:val="center"/>
            </w:pPr>
            <w:r/>
            <w:r>
              <w:rPr>
                <w:sz w:val="17"/>
              </w:rPr>
              <w:t>-0.28</w:t>
            </w:r>
          </w:p>
        </w:tc>
      </w:tr>
      <w:tr>
        <w:tc>
          <w:tcPr>
            <w:tcW w:type="dxa" w:w="2880"/>
          </w:tcPr>
          <w:p>
            <w:pPr>
              <w:spacing w:after="0"/>
            </w:pPr>
            <w:r/>
            <w:r>
              <w:rPr>
                <w:sz w:val="17"/>
              </w:rPr>
              <w:t>Momentum book (7 bps)</w:t>
            </w:r>
          </w:p>
        </w:tc>
        <w:tc>
          <w:tcPr>
            <w:tcW w:type="dxa" w:w="835"/>
          </w:tcPr>
          <w:p>
            <w:pPr>
              <w:spacing w:after="0"/>
              <w:jc w:val="center"/>
            </w:pPr>
            <w:r/>
            <w:r>
              <w:rPr>
                <w:sz w:val="17"/>
              </w:rPr>
              <w:t>16.6%</w:t>
            </w:r>
          </w:p>
        </w:tc>
        <w:tc>
          <w:tcPr>
            <w:tcW w:type="dxa" w:w="792"/>
          </w:tcPr>
          <w:p>
            <w:pPr>
              <w:spacing w:after="0"/>
              <w:jc w:val="center"/>
            </w:pPr>
            <w:r/>
            <w:r>
              <w:rPr>
                <w:sz w:val="17"/>
              </w:rPr>
              <w:t>20.6%</w:t>
            </w:r>
          </w:p>
        </w:tc>
        <w:tc>
          <w:tcPr>
            <w:tcW w:type="dxa" w:w="792"/>
          </w:tcPr>
          <w:p>
            <w:pPr>
              <w:spacing w:after="0"/>
              <w:jc w:val="center"/>
            </w:pPr>
            <w:r/>
            <w:r>
              <w:rPr>
                <w:sz w:val="17"/>
              </w:rPr>
              <w:t>0.81</w:t>
            </w:r>
          </w:p>
        </w:tc>
        <w:tc>
          <w:tcPr>
            <w:tcW w:type="dxa" w:w="835"/>
          </w:tcPr>
          <w:p>
            <w:pPr>
              <w:spacing w:after="0"/>
              <w:jc w:val="center"/>
            </w:pPr>
            <w:r/>
            <w:r>
              <w:rPr>
                <w:sz w:val="17"/>
              </w:rPr>
              <w:t>-14.9%</w:t>
            </w:r>
          </w:p>
        </w:tc>
        <w:tc>
          <w:tcPr>
            <w:tcW w:type="dxa" w:w="792"/>
          </w:tcPr>
          <w:p>
            <w:pPr>
              <w:spacing w:after="0"/>
              <w:jc w:val="center"/>
            </w:pPr>
            <w:r/>
            <w:r>
              <w:rPr>
                <w:sz w:val="17"/>
              </w:rPr>
              <w:t>17.1%</w:t>
            </w:r>
          </w:p>
        </w:tc>
        <w:tc>
          <w:tcPr>
            <w:tcW w:type="dxa" w:w="720"/>
          </w:tcPr>
          <w:p>
            <w:pPr>
              <w:spacing w:after="0"/>
              <w:jc w:val="center"/>
            </w:pPr>
            <w:r/>
            <w:r>
              <w:rPr>
                <w:sz w:val="17"/>
              </w:rPr>
              <w:t>-0.12</w:t>
            </w:r>
          </w:p>
        </w:tc>
        <w:tc>
          <w:tcPr>
            <w:tcW w:type="dxa" w:w="792"/>
          </w:tcPr>
          <w:p>
            <w:pPr>
              <w:spacing w:after="0"/>
              <w:jc w:val="center"/>
            </w:pPr>
            <w:r/>
            <w:r>
              <w:rPr>
                <w:sz w:val="17"/>
              </w:rPr>
              <w:t>1.59</w:t>
            </w:r>
          </w:p>
        </w:tc>
        <w:tc>
          <w:tcPr>
            <w:tcW w:type="dxa" w:w="864"/>
          </w:tcPr>
          <w:p>
            <w:pPr>
              <w:spacing w:after="0"/>
              <w:jc w:val="center"/>
            </w:pPr>
            <w:r/>
            <w:r>
              <w:rPr>
                <w:sz w:val="17"/>
              </w:rPr>
              <w:t>-0.28</w:t>
            </w:r>
          </w:p>
        </w:tc>
      </w:tr>
      <w:tr>
        <w:tc>
          <w:tcPr>
            <w:tcW w:type="dxa" w:w="2880"/>
          </w:tcPr>
          <w:p>
            <w:pPr>
              <w:spacing w:after="0"/>
            </w:pPr>
            <w:r/>
            <w:r>
              <w:rPr>
                <w:sz w:val="17"/>
              </w:rPr>
              <w:t>Reversal book (7 bps)</w:t>
            </w:r>
          </w:p>
        </w:tc>
        <w:tc>
          <w:tcPr>
            <w:tcW w:type="dxa" w:w="835"/>
          </w:tcPr>
          <w:p>
            <w:pPr>
              <w:spacing w:after="0"/>
              <w:jc w:val="center"/>
            </w:pPr>
            <w:r/>
            <w:r>
              <w:rPr>
                <w:sz w:val="17"/>
              </w:rPr>
              <w:t>8.2%</w:t>
            </w:r>
          </w:p>
        </w:tc>
        <w:tc>
          <w:tcPr>
            <w:tcW w:type="dxa" w:w="792"/>
          </w:tcPr>
          <w:p>
            <w:pPr>
              <w:spacing w:after="0"/>
              <w:jc w:val="center"/>
            </w:pPr>
            <w:r/>
            <w:r>
              <w:rPr>
                <w:sz w:val="17"/>
              </w:rPr>
              <w:t>12.5%</w:t>
            </w:r>
          </w:p>
        </w:tc>
        <w:tc>
          <w:tcPr>
            <w:tcW w:type="dxa" w:w="792"/>
          </w:tcPr>
          <w:p>
            <w:pPr>
              <w:spacing w:after="0"/>
              <w:jc w:val="center"/>
            </w:pPr>
            <w:r/>
            <w:r>
              <w:rPr>
                <w:sz w:val="17"/>
              </w:rPr>
              <w:t>0.66</w:t>
            </w:r>
          </w:p>
        </w:tc>
        <w:tc>
          <w:tcPr>
            <w:tcW w:type="dxa" w:w="835"/>
          </w:tcPr>
          <w:p>
            <w:pPr>
              <w:spacing w:after="0"/>
              <w:jc w:val="center"/>
            </w:pPr>
            <w:r/>
            <w:r>
              <w:rPr>
                <w:sz w:val="17"/>
              </w:rPr>
              <w:t>-16.5%</w:t>
            </w:r>
          </w:p>
        </w:tc>
        <w:tc>
          <w:tcPr>
            <w:tcW w:type="dxa" w:w="792"/>
          </w:tcPr>
          <w:p>
            <w:pPr>
              <w:spacing w:after="0"/>
              <w:jc w:val="center"/>
            </w:pPr>
            <w:r/>
            <w:r>
              <w:rPr>
                <w:sz w:val="17"/>
              </w:rPr>
              <w:t>8.2%</w:t>
            </w:r>
          </w:p>
        </w:tc>
        <w:tc>
          <w:tcPr>
            <w:tcW w:type="dxa" w:w="720"/>
          </w:tcPr>
          <w:p>
            <w:pPr>
              <w:spacing w:after="0"/>
              <w:jc w:val="center"/>
            </w:pPr>
            <w:r/>
            <w:r>
              <w:rPr>
                <w:sz w:val="17"/>
              </w:rPr>
              <w:t>0.01</w:t>
            </w:r>
          </w:p>
        </w:tc>
        <w:tc>
          <w:tcPr>
            <w:tcW w:type="dxa" w:w="792"/>
          </w:tcPr>
          <w:p>
            <w:pPr>
              <w:spacing w:after="0"/>
              <w:jc w:val="center"/>
            </w:pPr>
            <w:r/>
            <w:r>
              <w:rPr>
                <w:sz w:val="17"/>
              </w:rPr>
              <w:t>1.18</w:t>
            </w:r>
          </w:p>
        </w:tc>
        <w:tc>
          <w:tcPr>
            <w:tcW w:type="dxa" w:w="864"/>
          </w:tcPr>
          <w:p>
            <w:pPr>
              <w:spacing w:after="0"/>
              <w:jc w:val="center"/>
            </w:pPr>
            <w:r/>
            <w:r>
              <w:rPr>
                <w:sz w:val="17"/>
              </w:rPr>
              <w:t>0.04</w:t>
            </w:r>
          </w:p>
        </w:tc>
      </w:tr>
      <w:tr>
        <w:tc>
          <w:tcPr>
            <w:tcW w:type="dxa" w:w="2880"/>
          </w:tcPr>
          <w:p>
            <w:pPr>
              <w:spacing w:after="0"/>
            </w:pPr>
            <w:r/>
            <w:r>
              <w:rPr>
                <w:sz w:val="17"/>
              </w:rPr>
              <w:t>Reversal book (20 bps)</w:t>
            </w:r>
          </w:p>
        </w:tc>
        <w:tc>
          <w:tcPr>
            <w:tcW w:type="dxa" w:w="835"/>
          </w:tcPr>
          <w:p>
            <w:pPr>
              <w:spacing w:after="0"/>
              <w:jc w:val="center"/>
            </w:pPr>
            <w:r/>
            <w:r>
              <w:rPr>
                <w:sz w:val="17"/>
              </w:rPr>
              <w:t>6.3%</w:t>
            </w:r>
          </w:p>
        </w:tc>
        <w:tc>
          <w:tcPr>
            <w:tcW w:type="dxa" w:w="792"/>
          </w:tcPr>
          <w:p>
            <w:pPr>
              <w:spacing w:after="0"/>
              <w:jc w:val="center"/>
            </w:pPr>
            <w:r/>
            <w:r>
              <w:rPr>
                <w:sz w:val="17"/>
              </w:rPr>
              <w:t>12.5%</w:t>
            </w:r>
          </w:p>
        </w:tc>
        <w:tc>
          <w:tcPr>
            <w:tcW w:type="dxa" w:w="792"/>
          </w:tcPr>
          <w:p>
            <w:pPr>
              <w:spacing w:after="0"/>
              <w:jc w:val="center"/>
            </w:pPr>
            <w:r/>
            <w:r>
              <w:rPr>
                <w:sz w:val="17"/>
              </w:rPr>
              <w:t>0.50</w:t>
            </w:r>
          </w:p>
        </w:tc>
        <w:tc>
          <w:tcPr>
            <w:tcW w:type="dxa" w:w="835"/>
          </w:tcPr>
          <w:p>
            <w:pPr>
              <w:spacing w:after="0"/>
              <w:jc w:val="center"/>
            </w:pPr>
            <w:r/>
            <w:r>
              <w:rPr>
                <w:sz w:val="17"/>
              </w:rPr>
              <w:t>-17.8%</w:t>
            </w:r>
          </w:p>
        </w:tc>
        <w:tc>
          <w:tcPr>
            <w:tcW w:type="dxa" w:w="792"/>
          </w:tcPr>
          <w:p>
            <w:pPr>
              <w:spacing w:after="0"/>
              <w:jc w:val="center"/>
            </w:pPr>
            <w:r/>
            <w:r>
              <w:rPr>
                <w:sz w:val="17"/>
              </w:rPr>
              <w:t>6.2%</w:t>
            </w:r>
          </w:p>
        </w:tc>
        <w:tc>
          <w:tcPr>
            <w:tcW w:type="dxa" w:w="720"/>
          </w:tcPr>
          <w:p>
            <w:pPr>
              <w:spacing w:after="0"/>
              <w:jc w:val="center"/>
            </w:pPr>
            <w:r/>
            <w:r>
              <w:rPr>
                <w:sz w:val="17"/>
              </w:rPr>
              <w:t>0.01</w:t>
            </w:r>
          </w:p>
        </w:tc>
        <w:tc>
          <w:tcPr>
            <w:tcW w:type="dxa" w:w="792"/>
          </w:tcPr>
          <w:p>
            <w:pPr>
              <w:spacing w:after="0"/>
              <w:jc w:val="center"/>
            </w:pPr>
            <w:r/>
            <w:r>
              <w:rPr>
                <w:sz w:val="17"/>
              </w:rPr>
              <w:t>0.90</w:t>
            </w:r>
          </w:p>
        </w:tc>
        <w:tc>
          <w:tcPr>
            <w:tcW w:type="dxa" w:w="864"/>
          </w:tcPr>
          <w:p>
            <w:pPr>
              <w:spacing w:after="0"/>
              <w:jc w:val="center"/>
            </w:pPr>
            <w:r/>
            <w:r>
              <w:rPr>
                <w:sz w:val="17"/>
              </w:rPr>
              <w:t>0.04</w:t>
            </w:r>
          </w:p>
        </w:tc>
      </w:tr>
      <w:tr>
        <w:tc>
          <w:tcPr>
            <w:tcW w:type="dxa" w:w="2880"/>
          </w:tcPr>
          <w:p>
            <w:pPr>
              <w:spacing w:after="0"/>
            </w:pPr>
            <w:r/>
            <w:r>
              <w:rPr>
                <w:sz w:val="17"/>
              </w:rPr>
              <w:t>Cointegrated pairs (20 bps)</w:t>
            </w:r>
          </w:p>
        </w:tc>
        <w:tc>
          <w:tcPr>
            <w:tcW w:type="dxa" w:w="835"/>
          </w:tcPr>
          <w:p>
            <w:pPr>
              <w:spacing w:after="0"/>
              <w:jc w:val="center"/>
            </w:pPr>
            <w:r/>
            <w:r>
              <w:rPr>
                <w:sz w:val="17"/>
              </w:rPr>
              <w:t>-5.3%</w:t>
            </w:r>
          </w:p>
        </w:tc>
        <w:tc>
          <w:tcPr>
            <w:tcW w:type="dxa" w:w="792"/>
          </w:tcPr>
          <w:p>
            <w:pPr>
              <w:spacing w:after="0"/>
              <w:jc w:val="center"/>
            </w:pPr>
            <w:r/>
            <w:r>
              <w:rPr>
                <w:sz w:val="17"/>
              </w:rPr>
              <w:t>5.9%</w:t>
            </w:r>
          </w:p>
        </w:tc>
        <w:tc>
          <w:tcPr>
            <w:tcW w:type="dxa" w:w="792"/>
          </w:tcPr>
          <w:p>
            <w:pPr>
              <w:spacing w:after="0"/>
              <w:jc w:val="center"/>
            </w:pPr>
            <w:r/>
            <w:r>
              <w:rPr>
                <w:sz w:val="17"/>
              </w:rPr>
              <w:t>-0.90</w:t>
            </w:r>
          </w:p>
        </w:tc>
        <w:tc>
          <w:tcPr>
            <w:tcW w:type="dxa" w:w="835"/>
          </w:tcPr>
          <w:p>
            <w:pPr>
              <w:spacing w:after="0"/>
              <w:jc w:val="center"/>
            </w:pPr>
            <w:r/>
            <w:r>
              <w:rPr>
                <w:sz w:val="17"/>
              </w:rPr>
              <w:t>-14.9%</w:t>
            </w:r>
          </w:p>
        </w:tc>
        <w:tc>
          <w:tcPr>
            <w:tcW w:type="dxa" w:w="792"/>
          </w:tcPr>
          <w:p>
            <w:pPr>
              <w:spacing w:after="0"/>
              <w:jc w:val="center"/>
            </w:pPr>
            <w:r/>
            <w:r>
              <w:rPr>
                <w:sz w:val="17"/>
              </w:rPr>
              <w:t>-5.4%</w:t>
            </w:r>
          </w:p>
        </w:tc>
        <w:tc>
          <w:tcPr>
            <w:tcW w:type="dxa" w:w="720"/>
          </w:tcPr>
          <w:p>
            <w:pPr>
              <w:spacing w:after="0"/>
              <w:jc w:val="center"/>
            </w:pPr>
            <w:r/>
            <w:r>
              <w:rPr>
                <w:sz w:val="17"/>
              </w:rPr>
              <w:t>0.01</w:t>
            </w:r>
          </w:p>
        </w:tc>
        <w:tc>
          <w:tcPr>
            <w:tcW w:type="dxa" w:w="792"/>
          </w:tcPr>
          <w:p>
            <w:pPr>
              <w:spacing w:after="0"/>
              <w:jc w:val="center"/>
            </w:pPr>
            <w:r/>
            <w:r>
              <w:rPr>
                <w:sz w:val="17"/>
              </w:rPr>
              <w:t>-1.68</w:t>
            </w:r>
          </w:p>
        </w:tc>
        <w:tc>
          <w:tcPr>
            <w:tcW w:type="dxa" w:w="864"/>
          </w:tcPr>
          <w:p>
            <w:pPr>
              <w:spacing w:after="0"/>
              <w:jc w:val="center"/>
            </w:pPr>
            <w:r/>
            <w:r>
              <w:rPr>
                <w:sz w:val="17"/>
              </w:rPr>
              <w:t>0.09</w:t>
            </w:r>
          </w:p>
        </w:tc>
      </w:tr>
      <w:tr>
        <w:tc>
          <w:tcPr>
            <w:tcW w:type="dxa" w:w="2880"/>
          </w:tcPr>
          <w:p>
            <w:pPr>
              <w:spacing w:after="0"/>
            </w:pPr>
            <w:r/>
            <w:r>
              <w:rPr>
                <w:sz w:val="17"/>
              </w:rPr>
              <w:t>Equal-weight crypto</w:t>
            </w:r>
          </w:p>
        </w:tc>
        <w:tc>
          <w:tcPr>
            <w:tcW w:type="dxa" w:w="835"/>
          </w:tcPr>
          <w:p>
            <w:pPr>
              <w:spacing w:after="0"/>
              <w:jc w:val="center"/>
            </w:pPr>
            <w:r/>
            <w:r>
              <w:rPr>
                <w:sz w:val="17"/>
              </w:rPr>
              <w:t>-7.2%</w:t>
            </w:r>
          </w:p>
        </w:tc>
        <w:tc>
          <w:tcPr>
            <w:tcW w:type="dxa" w:w="792"/>
          </w:tcPr>
          <w:p>
            <w:pPr>
              <w:spacing w:after="0"/>
              <w:jc w:val="center"/>
            </w:pPr>
            <w:r/>
            <w:r>
              <w:rPr>
                <w:sz w:val="17"/>
              </w:rPr>
              <w:t>55.8%</w:t>
            </w:r>
          </w:p>
        </w:tc>
        <w:tc>
          <w:tcPr>
            <w:tcW w:type="dxa" w:w="792"/>
          </w:tcPr>
          <w:p>
            <w:pPr>
              <w:spacing w:after="0"/>
              <w:jc w:val="center"/>
            </w:pPr>
            <w:r/>
            <w:r>
              <w:rPr>
                <w:sz w:val="17"/>
              </w:rPr>
              <w:t>-0.13</w:t>
            </w:r>
          </w:p>
        </w:tc>
        <w:tc>
          <w:tcPr>
            <w:tcW w:type="dxa" w:w="835"/>
          </w:tcPr>
          <w:p>
            <w:pPr>
              <w:spacing w:after="0"/>
              <w:jc w:val="center"/>
            </w:pPr>
            <w:r/>
            <w:r>
              <w:rPr>
                <w:sz w:val="17"/>
              </w:rPr>
              <w:t>-71.2%</w:t>
            </w:r>
          </w:p>
        </w:tc>
        <w:tc>
          <w:tcPr>
            <w:tcW w:type="dxa" w:w="792"/>
          </w:tcPr>
          <w:p>
            <w:pPr>
              <w:spacing w:after="0"/>
              <w:jc w:val="center"/>
            </w:pPr>
            <w:r/>
            <w:r>
              <w:rPr>
                <w:sz w:val="17"/>
              </w:rPr>
              <w:t>-11.7%</w:t>
            </w:r>
          </w:p>
        </w:tc>
        <w:tc>
          <w:tcPr>
            <w:tcW w:type="dxa" w:w="720"/>
          </w:tcPr>
          <w:p>
            <w:pPr>
              <w:spacing w:after="0"/>
              <w:jc w:val="center"/>
            </w:pPr>
            <w:r/>
            <w:r>
              <w:rPr>
                <w:sz w:val="17"/>
              </w:rPr>
              <w:t>1.05</w:t>
            </w:r>
          </w:p>
        </w:tc>
        <w:tc>
          <w:tcPr>
            <w:tcW w:type="dxa" w:w="792"/>
          </w:tcPr>
          <w:p>
            <w:pPr>
              <w:spacing w:after="0"/>
              <w:jc w:val="center"/>
            </w:pPr>
            <w:r/>
            <w:r>
              <w:rPr>
                <w:sz w:val="17"/>
              </w:rPr>
              <w:t>-0.68</w:t>
            </w:r>
          </w:p>
        </w:tc>
        <w:tc>
          <w:tcPr>
            <w:tcW w:type="dxa" w:w="864"/>
          </w:tcPr>
          <w:p>
            <w:pPr>
              <w:spacing w:after="0"/>
              <w:jc w:val="center"/>
            </w:pPr>
            <w:r/>
            <w:r>
              <w:rPr>
                <w:sz w:val="17"/>
              </w:rPr>
              <w:t>0.86</w:t>
            </w:r>
          </w:p>
        </w:tc>
      </w:tr>
      <w:tr>
        <w:tc>
          <w:tcPr>
            <w:tcW w:type="dxa" w:w="2880"/>
          </w:tcPr>
          <w:p>
            <w:pPr>
              <w:spacing w:after="0"/>
            </w:pPr>
            <w:r/>
            <w:r>
              <w:rPr>
                <w:sz w:val="17"/>
              </w:rPr>
              <w:t>Buy &amp; hold BTC</w:t>
            </w:r>
          </w:p>
        </w:tc>
        <w:tc>
          <w:tcPr>
            <w:tcW w:type="dxa" w:w="835"/>
          </w:tcPr>
          <w:p>
            <w:pPr>
              <w:spacing w:after="0"/>
              <w:jc w:val="center"/>
            </w:pPr>
            <w:r/>
            <w:r>
              <w:rPr>
                <w:sz w:val="17"/>
              </w:rPr>
              <w:t>4.3%</w:t>
            </w:r>
          </w:p>
        </w:tc>
        <w:tc>
          <w:tcPr>
            <w:tcW w:type="dxa" w:w="792"/>
          </w:tcPr>
          <w:p>
            <w:pPr>
              <w:spacing w:after="0"/>
              <w:jc w:val="center"/>
            </w:pPr>
            <w:r/>
            <w:r>
              <w:rPr>
                <w:sz w:val="17"/>
              </w:rPr>
              <w:t>45.8%</w:t>
            </w:r>
          </w:p>
        </w:tc>
        <w:tc>
          <w:tcPr>
            <w:tcW w:type="dxa" w:w="792"/>
          </w:tcPr>
          <w:p>
            <w:pPr>
              <w:spacing w:after="0"/>
              <w:jc w:val="center"/>
            </w:pPr>
            <w:r/>
            <w:r>
              <w:rPr>
                <w:sz w:val="17"/>
              </w:rPr>
              <w:t>0.09</w:t>
            </w:r>
          </w:p>
        </w:tc>
        <w:tc>
          <w:tcPr>
            <w:tcW w:type="dxa" w:w="835"/>
          </w:tcPr>
          <w:p>
            <w:pPr>
              <w:spacing w:after="0"/>
              <w:jc w:val="center"/>
            </w:pPr>
            <w:r/>
            <w:r>
              <w:rPr>
                <w:sz w:val="17"/>
              </w:rPr>
              <w:t>-67.0%</w:t>
            </w:r>
          </w:p>
        </w:tc>
        <w:tc>
          <w:tcPr>
            <w:tcW w:type="dxa" w:w="792"/>
          </w:tcPr>
          <w:p>
            <w:pPr>
              <w:spacing w:after="0"/>
              <w:jc w:val="center"/>
            </w:pPr>
            <w:r/>
            <w:r>
              <w:rPr>
                <w:sz w:val="17"/>
              </w:rPr>
              <w:t>0.0%</w:t>
            </w:r>
          </w:p>
        </w:tc>
        <w:tc>
          <w:tcPr>
            <w:tcW w:type="dxa" w:w="720"/>
          </w:tcPr>
          <w:p>
            <w:pPr>
              <w:spacing w:after="0"/>
              <w:jc w:val="center"/>
            </w:pPr>
            <w:r/>
            <w:r>
              <w:rPr>
                <w:sz w:val="17"/>
              </w:rPr>
              <w:t>1.00</w:t>
            </w:r>
          </w:p>
        </w:tc>
        <w:tc>
          <w:tcPr>
            <w:tcW w:type="dxa" w:w="792"/>
          </w:tcPr>
          <w:p>
            <w:pPr>
              <w:spacing w:after="0"/>
              <w:jc w:val="center"/>
            </w:pPr>
            <w:r/>
            <w:r>
              <w:rPr>
                <w:sz w:val="17"/>
              </w:rPr>
              <w:t>3.65</w:t>
            </w:r>
          </w:p>
        </w:tc>
        <w:tc>
          <w:tcPr>
            <w:tcW w:type="dxa" w:w="864"/>
          </w:tcPr>
          <w:p>
            <w:pPr>
              <w:spacing w:after="0"/>
              <w:jc w:val="center"/>
            </w:pPr>
            <w:r/>
            <w:r>
              <w:rPr>
                <w:sz w:val="17"/>
              </w:rPr>
              <w:t>1.00</w:t>
            </w:r>
          </w:p>
        </w:tc>
      </w:tr>
    </w:tbl>
    <w:p>
      <w:pPr>
        <w:spacing w:after="40"/>
      </w:pPr>
    </w:p>
    <w:p>
      <w:pPr>
        <w:keepNext/>
        <w:spacing w:after="60"/>
      </w:pPr>
      <w:r>
        <w:rPr>
          <w:b/>
          <w:sz w:val="20"/>
        </w:rPr>
        <w:t>Table 15. Full backtest, 2021-12-28 to 2026-10-08.</w:t>
      </w:r>
    </w:p>
    <w:tbl>
      <w:tblPr>
        <w:tblStyle w:val="TableGrid"/>
        <w:tblW w:type="auto" w:w="0"/>
        <w:jc w:val="center"/>
        <w:tblLayout w:type="fixed"/>
        <w:tblLook w:firstColumn="1" w:firstRow="1" w:lastColumn="0" w:lastRow="0" w:noHBand="0" w:noVBand="1" w:val="04A0"/>
      </w:tblPr>
      <w:tblGrid>
        <w:gridCol w:w="2880"/>
        <w:gridCol w:w="835"/>
        <w:gridCol w:w="792"/>
        <w:gridCol w:w="792"/>
        <w:gridCol w:w="835"/>
        <w:gridCol w:w="792"/>
        <w:gridCol w:w="720"/>
        <w:gridCol w:w="792"/>
        <w:gridCol w:w="864"/>
      </w:tblGrid>
      <w:tr>
        <w:tc>
          <w:tcPr>
            <w:tcW w:type="dxa" w:w="2880"/>
            <w:shd w:val="clear" w:fill="1F3864"/>
          </w:tcPr>
          <w:p>
            <w:pPr>
              <w:jc w:val="left"/>
            </w:pPr>
            <w:r/>
            <w:r>
              <w:rPr>
                <w:b/>
                <w:color w:val="FFFFFF"/>
                <w:sz w:val="17"/>
              </w:rPr>
              <w:t>Strategy</w:t>
            </w:r>
          </w:p>
        </w:tc>
        <w:tc>
          <w:tcPr>
            <w:tcW w:type="dxa" w:w="835"/>
            <w:shd w:val="clear" w:fill="1F3864"/>
          </w:tcPr>
          <w:p>
            <w:pPr>
              <w:jc w:val="center"/>
            </w:pPr>
            <w:r/>
            <w:r>
              <w:rPr>
                <w:b/>
                <w:color w:val="FFFFFF"/>
                <w:sz w:val="17"/>
              </w:rPr>
              <w:t>Ann. return</w:t>
            </w:r>
          </w:p>
        </w:tc>
        <w:tc>
          <w:tcPr>
            <w:tcW w:type="dxa" w:w="792"/>
            <w:shd w:val="clear" w:fill="1F3864"/>
          </w:tcPr>
          <w:p>
            <w:pPr>
              <w:jc w:val="center"/>
            </w:pPr>
            <w:r/>
            <w:r>
              <w:rPr>
                <w:b/>
                <w:color w:val="FFFFFF"/>
                <w:sz w:val="17"/>
              </w:rPr>
              <w:t>Ann. vol</w:t>
            </w:r>
          </w:p>
        </w:tc>
        <w:tc>
          <w:tcPr>
            <w:tcW w:type="dxa" w:w="792"/>
            <w:shd w:val="clear" w:fill="1F3864"/>
          </w:tcPr>
          <w:p>
            <w:pPr>
              <w:jc w:val="center"/>
            </w:pPr>
            <w:r/>
            <w:r>
              <w:rPr>
                <w:b/>
                <w:color w:val="FFFFFF"/>
                <w:sz w:val="17"/>
              </w:rPr>
              <w:t>Sharpe</w:t>
            </w:r>
          </w:p>
        </w:tc>
        <w:tc>
          <w:tcPr>
            <w:tcW w:type="dxa" w:w="835"/>
            <w:shd w:val="clear" w:fill="1F3864"/>
          </w:tcPr>
          <w:p>
            <w:pPr>
              <w:jc w:val="center"/>
            </w:pPr>
            <w:r/>
            <w:r>
              <w:rPr>
                <w:b/>
                <w:color w:val="FFFFFF"/>
                <w:sz w:val="17"/>
              </w:rPr>
              <w:t>Max DD</w:t>
            </w:r>
          </w:p>
        </w:tc>
        <w:tc>
          <w:tcPr>
            <w:tcW w:type="dxa" w:w="792"/>
            <w:shd w:val="clear" w:fill="1F3864"/>
          </w:tcPr>
          <w:p>
            <w:pPr>
              <w:jc w:val="center"/>
            </w:pPr>
            <w:r/>
            <w:r>
              <w:rPr>
                <w:b/>
                <w:color w:val="FFFFFF"/>
                <w:sz w:val="17"/>
              </w:rPr>
              <w:t>Alpha</w:t>
            </w:r>
          </w:p>
        </w:tc>
        <w:tc>
          <w:tcPr>
            <w:tcW w:type="dxa" w:w="720"/>
            <w:shd w:val="clear" w:fill="1F3864"/>
          </w:tcPr>
          <w:p>
            <w:pPr>
              <w:jc w:val="center"/>
            </w:pPr>
            <w:r/>
            <w:r>
              <w:rPr>
                <w:b/>
                <w:color w:val="FFFFFF"/>
                <w:sz w:val="17"/>
              </w:rPr>
              <w:t>Beta</w:t>
            </w:r>
          </w:p>
        </w:tc>
        <w:tc>
          <w:tcPr>
            <w:tcW w:type="dxa" w:w="792"/>
            <w:shd w:val="clear" w:fill="1F3864"/>
          </w:tcPr>
          <w:p>
            <w:pPr>
              <w:jc w:val="center"/>
            </w:pPr>
            <w:r/>
            <w:r>
              <w:rPr>
                <w:b/>
                <w:color w:val="FFFFFF"/>
                <w:sz w:val="17"/>
              </w:rPr>
              <w:t>Alpha t</w:t>
            </w:r>
          </w:p>
        </w:tc>
        <w:tc>
          <w:tcPr>
            <w:tcW w:type="dxa" w:w="864"/>
            <w:shd w:val="clear" w:fill="1F3864"/>
          </w:tcPr>
          <w:p>
            <w:pPr>
              <w:jc w:val="center"/>
            </w:pPr>
            <w:r/>
            <w:r>
              <w:rPr>
                <w:b/>
                <w:color w:val="FFFFFF"/>
                <w:sz w:val="17"/>
              </w:rPr>
              <w:t>Corr BTC</w:t>
            </w:r>
          </w:p>
        </w:tc>
      </w:tr>
      <w:tr>
        <w:tc>
          <w:tcPr>
            <w:tcW w:type="dxa" w:w="2880"/>
            <w:shd w:val="clear" w:fill="DCE6F1"/>
          </w:tcPr>
          <w:p>
            <w:pPr>
              <w:spacing w:after="0"/>
            </w:pPr>
            <w:r/>
            <w:r>
              <w:rPr>
                <w:b/>
                <w:sz w:val="17"/>
              </w:rPr>
              <w:t>Combined portfolio *</w:t>
            </w:r>
          </w:p>
        </w:tc>
        <w:tc>
          <w:tcPr>
            <w:tcW w:type="dxa" w:w="835"/>
            <w:shd w:val="clear" w:fill="DCE6F1"/>
          </w:tcPr>
          <w:p>
            <w:pPr>
              <w:spacing w:after="0"/>
              <w:jc w:val="center"/>
            </w:pPr>
            <w:r/>
            <w:r>
              <w:rPr>
                <w:b/>
                <w:sz w:val="17"/>
              </w:rPr>
              <w:t>5.2%</w:t>
            </w:r>
          </w:p>
        </w:tc>
        <w:tc>
          <w:tcPr>
            <w:tcW w:type="dxa" w:w="792"/>
            <w:shd w:val="clear" w:fill="DCE6F1"/>
          </w:tcPr>
          <w:p>
            <w:pPr>
              <w:spacing w:after="0"/>
              <w:jc w:val="center"/>
            </w:pPr>
            <w:r/>
            <w:r>
              <w:rPr>
                <w:b/>
                <w:sz w:val="17"/>
              </w:rPr>
              <w:t>10.2%</w:t>
            </w:r>
          </w:p>
        </w:tc>
        <w:tc>
          <w:tcPr>
            <w:tcW w:type="dxa" w:w="792"/>
            <w:shd w:val="clear" w:fill="DCE6F1"/>
          </w:tcPr>
          <w:p>
            <w:pPr>
              <w:spacing w:after="0"/>
              <w:jc w:val="center"/>
            </w:pPr>
            <w:r/>
            <w:r>
              <w:rPr>
                <w:b/>
                <w:sz w:val="17"/>
              </w:rPr>
              <w:t>0.50</w:t>
            </w:r>
          </w:p>
        </w:tc>
        <w:tc>
          <w:tcPr>
            <w:tcW w:type="dxa" w:w="835"/>
            <w:shd w:val="clear" w:fill="DCE6F1"/>
          </w:tcPr>
          <w:p>
            <w:pPr>
              <w:spacing w:after="0"/>
              <w:jc w:val="center"/>
            </w:pPr>
            <w:r/>
            <w:r>
              <w:rPr>
                <w:b/>
                <w:sz w:val="17"/>
              </w:rPr>
              <w:t>-26.7%</w:t>
            </w:r>
          </w:p>
        </w:tc>
        <w:tc>
          <w:tcPr>
            <w:tcW w:type="dxa" w:w="792"/>
            <w:shd w:val="clear" w:fill="DCE6F1"/>
          </w:tcPr>
          <w:p>
            <w:pPr>
              <w:spacing w:after="0"/>
              <w:jc w:val="center"/>
            </w:pPr>
            <w:r/>
            <w:r>
              <w:rPr>
                <w:b/>
                <w:sz w:val="17"/>
              </w:rPr>
              <w:t>5.7%</w:t>
            </w:r>
          </w:p>
        </w:tc>
        <w:tc>
          <w:tcPr>
            <w:tcW w:type="dxa" w:w="720"/>
            <w:shd w:val="clear" w:fill="DCE6F1"/>
          </w:tcPr>
          <w:p>
            <w:pPr>
              <w:spacing w:after="0"/>
              <w:jc w:val="center"/>
            </w:pPr>
            <w:r/>
            <w:r>
              <w:rPr>
                <w:b/>
                <w:sz w:val="17"/>
              </w:rPr>
              <w:t>-0.03</w:t>
            </w:r>
          </w:p>
        </w:tc>
        <w:tc>
          <w:tcPr>
            <w:tcW w:type="dxa" w:w="792"/>
            <w:shd w:val="clear" w:fill="DCE6F1"/>
          </w:tcPr>
          <w:p>
            <w:pPr>
              <w:spacing w:after="0"/>
              <w:jc w:val="center"/>
            </w:pPr>
            <w:r/>
            <w:r>
              <w:rPr>
                <w:b/>
                <w:sz w:val="17"/>
              </w:rPr>
              <w:t>1.42</w:t>
            </w:r>
          </w:p>
        </w:tc>
        <w:tc>
          <w:tcPr>
            <w:tcW w:type="dxa" w:w="864"/>
            <w:shd w:val="clear" w:fill="DCE6F1"/>
          </w:tcPr>
          <w:p>
            <w:pPr>
              <w:spacing w:after="0"/>
              <w:jc w:val="center"/>
            </w:pPr>
            <w:r/>
            <w:r>
              <w:rPr>
                <w:b/>
                <w:sz w:val="17"/>
              </w:rPr>
              <w:t>-0.13</w:t>
            </w:r>
          </w:p>
        </w:tc>
      </w:tr>
      <w:tr>
        <w:tc>
          <w:tcPr>
            <w:tcW w:type="dxa" w:w="2880"/>
          </w:tcPr>
          <w:p>
            <w:pPr>
              <w:spacing w:after="0"/>
            </w:pPr>
            <w:r/>
            <w:r>
              <w:rPr>
                <w:sz w:val="17"/>
              </w:rPr>
              <w:t>Combined (all trades at 20 bps)</w:t>
            </w:r>
          </w:p>
        </w:tc>
        <w:tc>
          <w:tcPr>
            <w:tcW w:type="dxa" w:w="835"/>
          </w:tcPr>
          <w:p>
            <w:pPr>
              <w:spacing w:after="0"/>
              <w:jc w:val="center"/>
            </w:pPr>
            <w:r/>
            <w:r>
              <w:rPr>
                <w:sz w:val="17"/>
              </w:rPr>
              <w:t>4.1%</w:t>
            </w:r>
          </w:p>
        </w:tc>
        <w:tc>
          <w:tcPr>
            <w:tcW w:type="dxa" w:w="792"/>
          </w:tcPr>
          <w:p>
            <w:pPr>
              <w:spacing w:after="0"/>
              <w:jc w:val="center"/>
            </w:pPr>
            <w:r/>
            <w:r>
              <w:rPr>
                <w:sz w:val="17"/>
              </w:rPr>
              <w:t>10.2%</w:t>
            </w:r>
          </w:p>
        </w:tc>
        <w:tc>
          <w:tcPr>
            <w:tcW w:type="dxa" w:w="792"/>
          </w:tcPr>
          <w:p>
            <w:pPr>
              <w:spacing w:after="0"/>
              <w:jc w:val="center"/>
            </w:pPr>
            <w:r/>
            <w:r>
              <w:rPr>
                <w:sz w:val="17"/>
              </w:rPr>
              <w:t>0.40</w:t>
            </w:r>
          </w:p>
        </w:tc>
        <w:tc>
          <w:tcPr>
            <w:tcW w:type="dxa" w:w="835"/>
          </w:tcPr>
          <w:p>
            <w:pPr>
              <w:spacing w:after="0"/>
              <w:jc w:val="center"/>
            </w:pPr>
            <w:r/>
            <w:r>
              <w:rPr>
                <w:sz w:val="17"/>
              </w:rPr>
              <w:t>-27.7%</w:t>
            </w:r>
          </w:p>
        </w:tc>
        <w:tc>
          <w:tcPr>
            <w:tcW w:type="dxa" w:w="792"/>
          </w:tcPr>
          <w:p>
            <w:pPr>
              <w:spacing w:after="0"/>
              <w:jc w:val="center"/>
            </w:pPr>
            <w:r/>
            <w:r>
              <w:rPr>
                <w:sz w:val="17"/>
              </w:rPr>
              <w:t>4.6%</w:t>
            </w:r>
          </w:p>
        </w:tc>
        <w:tc>
          <w:tcPr>
            <w:tcW w:type="dxa" w:w="720"/>
          </w:tcPr>
          <w:p>
            <w:pPr>
              <w:spacing w:after="0"/>
              <w:jc w:val="center"/>
            </w:pPr>
            <w:r/>
            <w:r>
              <w:rPr>
                <w:sz w:val="17"/>
              </w:rPr>
              <w:t>-0.03</w:t>
            </w:r>
          </w:p>
        </w:tc>
        <w:tc>
          <w:tcPr>
            <w:tcW w:type="dxa" w:w="792"/>
          </w:tcPr>
          <w:p>
            <w:pPr>
              <w:spacing w:after="0"/>
              <w:jc w:val="center"/>
            </w:pPr>
            <w:r/>
            <w:r>
              <w:rPr>
                <w:sz w:val="17"/>
              </w:rPr>
              <w:t>1.15</w:t>
            </w:r>
          </w:p>
        </w:tc>
        <w:tc>
          <w:tcPr>
            <w:tcW w:type="dxa" w:w="864"/>
          </w:tcPr>
          <w:p>
            <w:pPr>
              <w:spacing w:after="0"/>
              <w:jc w:val="center"/>
            </w:pPr>
            <w:r/>
            <w:r>
              <w:rPr>
                <w:sz w:val="17"/>
              </w:rPr>
              <w:t>-0.13</w:t>
            </w:r>
          </w:p>
        </w:tc>
      </w:tr>
      <w:tr>
        <w:tc>
          <w:tcPr>
            <w:tcW w:type="dxa" w:w="2880"/>
          </w:tcPr>
          <w:p>
            <w:pPr>
              <w:spacing w:after="0"/>
            </w:pPr>
            <w:r/>
            <w:r>
              <w:rPr>
                <w:sz w:val="17"/>
              </w:rPr>
              <w:t>Momentum book (20 bps)</w:t>
            </w:r>
          </w:p>
        </w:tc>
        <w:tc>
          <w:tcPr>
            <w:tcW w:type="dxa" w:w="835"/>
          </w:tcPr>
          <w:p>
            <w:pPr>
              <w:spacing w:after="0"/>
              <w:jc w:val="center"/>
            </w:pPr>
            <w:r/>
            <w:r>
              <w:rPr>
                <w:sz w:val="17"/>
              </w:rPr>
              <w:t>7.7%</w:t>
            </w:r>
          </w:p>
        </w:tc>
        <w:tc>
          <w:tcPr>
            <w:tcW w:type="dxa" w:w="792"/>
          </w:tcPr>
          <w:p>
            <w:pPr>
              <w:spacing w:after="0"/>
              <w:jc w:val="center"/>
            </w:pPr>
            <w:r/>
            <w:r>
              <w:rPr>
                <w:sz w:val="17"/>
              </w:rPr>
              <w:t>18.8%</w:t>
            </w:r>
          </w:p>
        </w:tc>
        <w:tc>
          <w:tcPr>
            <w:tcW w:type="dxa" w:w="792"/>
          </w:tcPr>
          <w:p>
            <w:pPr>
              <w:spacing w:after="0"/>
              <w:jc w:val="center"/>
            </w:pPr>
            <w:r/>
            <w:r>
              <w:rPr>
                <w:sz w:val="17"/>
              </w:rPr>
              <w:t>0.41</w:t>
            </w:r>
          </w:p>
        </w:tc>
        <w:tc>
          <w:tcPr>
            <w:tcW w:type="dxa" w:w="835"/>
          </w:tcPr>
          <w:p>
            <w:pPr>
              <w:spacing w:after="0"/>
              <w:jc w:val="center"/>
            </w:pPr>
            <w:r/>
            <w:r>
              <w:rPr>
                <w:sz w:val="17"/>
              </w:rPr>
              <w:t>-24.8%</w:t>
            </w:r>
          </w:p>
        </w:tc>
        <w:tc>
          <w:tcPr>
            <w:tcW w:type="dxa" w:w="792"/>
          </w:tcPr>
          <w:p>
            <w:pPr>
              <w:spacing w:after="0"/>
              <w:jc w:val="center"/>
            </w:pPr>
            <w:r/>
            <w:r>
              <w:rPr>
                <w:sz w:val="17"/>
              </w:rPr>
              <w:t>9.3%</w:t>
            </w:r>
          </w:p>
        </w:tc>
        <w:tc>
          <w:tcPr>
            <w:tcW w:type="dxa" w:w="720"/>
          </w:tcPr>
          <w:p>
            <w:pPr>
              <w:spacing w:after="0"/>
              <w:jc w:val="center"/>
            </w:pPr>
            <w:r/>
            <w:r>
              <w:rPr>
                <w:sz w:val="17"/>
              </w:rPr>
              <w:t>-0.10</w:t>
            </w:r>
          </w:p>
        </w:tc>
        <w:tc>
          <w:tcPr>
            <w:tcW w:type="dxa" w:w="792"/>
          </w:tcPr>
          <w:p>
            <w:pPr>
              <w:spacing w:after="0"/>
              <w:jc w:val="center"/>
            </w:pPr>
            <w:r/>
            <w:r>
              <w:rPr>
                <w:sz w:val="17"/>
              </w:rPr>
              <w:t>1.34</w:t>
            </w:r>
          </w:p>
        </w:tc>
        <w:tc>
          <w:tcPr>
            <w:tcW w:type="dxa" w:w="864"/>
          </w:tcPr>
          <w:p>
            <w:pPr>
              <w:spacing w:after="0"/>
              <w:jc w:val="center"/>
            </w:pPr>
            <w:r/>
            <w:r>
              <w:rPr>
                <w:sz w:val="17"/>
              </w:rPr>
              <w:t>-0.23</w:t>
            </w:r>
          </w:p>
        </w:tc>
      </w:tr>
      <w:tr>
        <w:tc>
          <w:tcPr>
            <w:tcW w:type="dxa" w:w="2880"/>
          </w:tcPr>
          <w:p>
            <w:pPr>
              <w:spacing w:after="0"/>
            </w:pPr>
            <w:r/>
            <w:r>
              <w:rPr>
                <w:sz w:val="17"/>
              </w:rPr>
              <w:t>Momentum book (7 bps)</w:t>
            </w:r>
          </w:p>
        </w:tc>
        <w:tc>
          <w:tcPr>
            <w:tcW w:type="dxa" w:w="835"/>
          </w:tcPr>
          <w:p>
            <w:pPr>
              <w:spacing w:after="0"/>
              <w:jc w:val="center"/>
            </w:pPr>
            <w:r/>
            <w:r>
              <w:rPr>
                <w:sz w:val="17"/>
              </w:rPr>
              <w:t>13.1%</w:t>
            </w:r>
          </w:p>
        </w:tc>
        <w:tc>
          <w:tcPr>
            <w:tcW w:type="dxa" w:w="792"/>
          </w:tcPr>
          <w:p>
            <w:pPr>
              <w:spacing w:after="0"/>
              <w:jc w:val="center"/>
            </w:pPr>
            <w:r/>
            <w:r>
              <w:rPr>
                <w:sz w:val="17"/>
              </w:rPr>
              <w:t>18.7%</w:t>
            </w:r>
          </w:p>
        </w:tc>
        <w:tc>
          <w:tcPr>
            <w:tcW w:type="dxa" w:w="792"/>
          </w:tcPr>
          <w:p>
            <w:pPr>
              <w:spacing w:after="0"/>
              <w:jc w:val="center"/>
            </w:pPr>
            <w:r/>
            <w:r>
              <w:rPr>
                <w:sz w:val="17"/>
              </w:rPr>
              <w:t>0.70</w:t>
            </w:r>
          </w:p>
        </w:tc>
        <w:tc>
          <w:tcPr>
            <w:tcW w:type="dxa" w:w="835"/>
          </w:tcPr>
          <w:p>
            <w:pPr>
              <w:spacing w:after="0"/>
              <w:jc w:val="center"/>
            </w:pPr>
            <w:r/>
            <w:r>
              <w:rPr>
                <w:sz w:val="17"/>
              </w:rPr>
              <w:t>-18.6%</w:t>
            </w:r>
          </w:p>
        </w:tc>
        <w:tc>
          <w:tcPr>
            <w:tcW w:type="dxa" w:w="792"/>
          </w:tcPr>
          <w:p>
            <w:pPr>
              <w:spacing w:after="0"/>
              <w:jc w:val="center"/>
            </w:pPr>
            <w:r/>
            <w:r>
              <w:rPr>
                <w:sz w:val="17"/>
              </w:rPr>
              <w:t>14.7%</w:t>
            </w:r>
          </w:p>
        </w:tc>
        <w:tc>
          <w:tcPr>
            <w:tcW w:type="dxa" w:w="720"/>
          </w:tcPr>
          <w:p>
            <w:pPr>
              <w:spacing w:after="0"/>
              <w:jc w:val="center"/>
            </w:pPr>
            <w:r/>
            <w:r>
              <w:rPr>
                <w:sz w:val="17"/>
              </w:rPr>
              <w:t>-0.10</w:t>
            </w:r>
          </w:p>
        </w:tc>
        <w:tc>
          <w:tcPr>
            <w:tcW w:type="dxa" w:w="792"/>
          </w:tcPr>
          <w:p>
            <w:pPr>
              <w:spacing w:after="0"/>
              <w:jc w:val="center"/>
            </w:pPr>
            <w:r/>
            <w:r>
              <w:rPr>
                <w:sz w:val="17"/>
              </w:rPr>
              <w:t>2.12</w:t>
            </w:r>
          </w:p>
        </w:tc>
        <w:tc>
          <w:tcPr>
            <w:tcW w:type="dxa" w:w="864"/>
          </w:tcPr>
          <w:p>
            <w:pPr>
              <w:spacing w:after="0"/>
              <w:jc w:val="center"/>
            </w:pPr>
            <w:r/>
            <w:r>
              <w:rPr>
                <w:sz w:val="17"/>
              </w:rPr>
              <w:t>-0.23</w:t>
            </w:r>
          </w:p>
        </w:tc>
      </w:tr>
      <w:tr>
        <w:tc>
          <w:tcPr>
            <w:tcW w:type="dxa" w:w="2880"/>
          </w:tcPr>
          <w:p>
            <w:pPr>
              <w:spacing w:after="0"/>
            </w:pPr>
            <w:r/>
            <w:r>
              <w:rPr>
                <w:sz w:val="17"/>
              </w:rPr>
              <w:t>Reversal book (7 bps)</w:t>
            </w:r>
          </w:p>
        </w:tc>
        <w:tc>
          <w:tcPr>
            <w:tcW w:type="dxa" w:w="835"/>
          </w:tcPr>
          <w:p>
            <w:pPr>
              <w:spacing w:after="0"/>
              <w:jc w:val="center"/>
            </w:pPr>
            <w:r/>
            <w:r>
              <w:rPr>
                <w:sz w:val="17"/>
              </w:rPr>
              <w:t>2.9%</w:t>
            </w:r>
          </w:p>
        </w:tc>
        <w:tc>
          <w:tcPr>
            <w:tcW w:type="dxa" w:w="792"/>
          </w:tcPr>
          <w:p>
            <w:pPr>
              <w:spacing w:after="0"/>
              <w:jc w:val="center"/>
            </w:pPr>
            <w:r/>
            <w:r>
              <w:rPr>
                <w:sz w:val="17"/>
              </w:rPr>
              <w:t>13.6%</w:t>
            </w:r>
          </w:p>
        </w:tc>
        <w:tc>
          <w:tcPr>
            <w:tcW w:type="dxa" w:w="792"/>
          </w:tcPr>
          <w:p>
            <w:pPr>
              <w:spacing w:after="0"/>
              <w:jc w:val="center"/>
            </w:pPr>
            <w:r/>
            <w:r>
              <w:rPr>
                <w:sz w:val="17"/>
              </w:rPr>
              <w:t>0.21</w:t>
            </w:r>
          </w:p>
        </w:tc>
        <w:tc>
          <w:tcPr>
            <w:tcW w:type="dxa" w:w="835"/>
          </w:tcPr>
          <w:p>
            <w:pPr>
              <w:spacing w:after="0"/>
              <w:jc w:val="center"/>
            </w:pPr>
            <w:r/>
            <w:r>
              <w:rPr>
                <w:sz w:val="17"/>
              </w:rPr>
              <w:t>-36.1%</w:t>
            </w:r>
          </w:p>
        </w:tc>
        <w:tc>
          <w:tcPr>
            <w:tcW w:type="dxa" w:w="792"/>
          </w:tcPr>
          <w:p>
            <w:pPr>
              <w:spacing w:after="0"/>
              <w:jc w:val="center"/>
            </w:pPr>
            <w:r/>
            <w:r>
              <w:rPr>
                <w:sz w:val="17"/>
              </w:rPr>
              <w:t>2.7%</w:t>
            </w:r>
          </w:p>
        </w:tc>
        <w:tc>
          <w:tcPr>
            <w:tcW w:type="dxa" w:w="720"/>
          </w:tcPr>
          <w:p>
            <w:pPr>
              <w:spacing w:after="0"/>
              <w:jc w:val="center"/>
            </w:pPr>
            <w:r/>
            <w:r>
              <w:rPr>
                <w:sz w:val="17"/>
              </w:rPr>
              <w:t>0.01</w:t>
            </w:r>
          </w:p>
        </w:tc>
        <w:tc>
          <w:tcPr>
            <w:tcW w:type="dxa" w:w="792"/>
          </w:tcPr>
          <w:p>
            <w:pPr>
              <w:spacing w:after="0"/>
              <w:jc w:val="center"/>
            </w:pPr>
            <w:r/>
            <w:r>
              <w:rPr>
                <w:sz w:val="17"/>
              </w:rPr>
              <w:t>0.52</w:t>
            </w:r>
          </w:p>
        </w:tc>
        <w:tc>
          <w:tcPr>
            <w:tcW w:type="dxa" w:w="864"/>
          </w:tcPr>
          <w:p>
            <w:pPr>
              <w:spacing w:after="0"/>
              <w:jc w:val="center"/>
            </w:pPr>
            <w:r/>
            <w:r>
              <w:rPr>
                <w:sz w:val="17"/>
              </w:rPr>
              <w:t>0.03</w:t>
            </w:r>
          </w:p>
        </w:tc>
      </w:tr>
      <w:tr>
        <w:tc>
          <w:tcPr>
            <w:tcW w:type="dxa" w:w="2880"/>
          </w:tcPr>
          <w:p>
            <w:pPr>
              <w:spacing w:after="0"/>
            </w:pPr>
            <w:r/>
            <w:r>
              <w:rPr>
                <w:sz w:val="17"/>
              </w:rPr>
              <w:t>Reversal book (20 bps)</w:t>
            </w:r>
          </w:p>
        </w:tc>
        <w:tc>
          <w:tcPr>
            <w:tcW w:type="dxa" w:w="835"/>
          </w:tcPr>
          <w:p>
            <w:pPr>
              <w:spacing w:after="0"/>
              <w:jc w:val="center"/>
            </w:pPr>
            <w:r/>
            <w:r>
              <w:rPr>
                <w:sz w:val="17"/>
              </w:rPr>
              <w:t>1.0%</w:t>
            </w:r>
          </w:p>
        </w:tc>
        <w:tc>
          <w:tcPr>
            <w:tcW w:type="dxa" w:w="792"/>
          </w:tcPr>
          <w:p>
            <w:pPr>
              <w:spacing w:after="0"/>
              <w:jc w:val="center"/>
            </w:pPr>
            <w:r/>
            <w:r>
              <w:rPr>
                <w:sz w:val="17"/>
              </w:rPr>
              <w:t>13.6%</w:t>
            </w:r>
          </w:p>
        </w:tc>
        <w:tc>
          <w:tcPr>
            <w:tcW w:type="dxa" w:w="792"/>
          </w:tcPr>
          <w:p>
            <w:pPr>
              <w:spacing w:after="0"/>
              <w:jc w:val="center"/>
            </w:pPr>
            <w:r/>
            <w:r>
              <w:rPr>
                <w:sz w:val="17"/>
              </w:rPr>
              <w:t>0.08</w:t>
            </w:r>
          </w:p>
        </w:tc>
        <w:tc>
          <w:tcPr>
            <w:tcW w:type="dxa" w:w="835"/>
          </w:tcPr>
          <w:p>
            <w:pPr>
              <w:spacing w:after="0"/>
              <w:jc w:val="center"/>
            </w:pPr>
            <w:r/>
            <w:r>
              <w:rPr>
                <w:sz w:val="17"/>
              </w:rPr>
              <w:t>-40.2%</w:t>
            </w:r>
          </w:p>
        </w:tc>
        <w:tc>
          <w:tcPr>
            <w:tcW w:type="dxa" w:w="792"/>
          </w:tcPr>
          <w:p>
            <w:pPr>
              <w:spacing w:after="0"/>
              <w:jc w:val="center"/>
            </w:pPr>
            <w:r/>
            <w:r>
              <w:rPr>
                <w:sz w:val="17"/>
              </w:rPr>
              <w:t>0.9%</w:t>
            </w:r>
          </w:p>
        </w:tc>
        <w:tc>
          <w:tcPr>
            <w:tcW w:type="dxa" w:w="720"/>
          </w:tcPr>
          <w:p>
            <w:pPr>
              <w:spacing w:after="0"/>
              <w:jc w:val="center"/>
            </w:pPr>
            <w:r/>
            <w:r>
              <w:rPr>
                <w:sz w:val="17"/>
              </w:rPr>
              <w:t>0.01</w:t>
            </w:r>
          </w:p>
        </w:tc>
        <w:tc>
          <w:tcPr>
            <w:tcW w:type="dxa" w:w="792"/>
          </w:tcPr>
          <w:p>
            <w:pPr>
              <w:spacing w:after="0"/>
              <w:jc w:val="center"/>
            </w:pPr>
            <w:r/>
            <w:r>
              <w:rPr>
                <w:sz w:val="17"/>
              </w:rPr>
              <w:t>0.16</w:t>
            </w:r>
          </w:p>
        </w:tc>
        <w:tc>
          <w:tcPr>
            <w:tcW w:type="dxa" w:w="864"/>
          </w:tcPr>
          <w:p>
            <w:pPr>
              <w:spacing w:after="0"/>
              <w:jc w:val="center"/>
            </w:pPr>
            <w:r/>
            <w:r>
              <w:rPr>
                <w:sz w:val="17"/>
              </w:rPr>
              <w:t>0.03</w:t>
            </w:r>
          </w:p>
        </w:tc>
      </w:tr>
      <w:tr>
        <w:tc>
          <w:tcPr>
            <w:tcW w:type="dxa" w:w="2880"/>
          </w:tcPr>
          <w:p>
            <w:pPr>
              <w:spacing w:after="0"/>
            </w:pPr>
            <w:r/>
            <w:r>
              <w:rPr>
                <w:sz w:val="17"/>
              </w:rPr>
              <w:t>Cointegrated pairs (20 bps)</w:t>
            </w:r>
          </w:p>
        </w:tc>
        <w:tc>
          <w:tcPr>
            <w:tcW w:type="dxa" w:w="835"/>
          </w:tcPr>
          <w:p>
            <w:pPr>
              <w:spacing w:after="0"/>
              <w:jc w:val="center"/>
            </w:pPr>
            <w:r/>
            <w:r>
              <w:rPr>
                <w:sz w:val="17"/>
              </w:rPr>
              <w:t>-0.7%</w:t>
            </w:r>
          </w:p>
        </w:tc>
        <w:tc>
          <w:tcPr>
            <w:tcW w:type="dxa" w:w="792"/>
          </w:tcPr>
          <w:p>
            <w:pPr>
              <w:spacing w:after="0"/>
              <w:jc w:val="center"/>
            </w:pPr>
            <w:r/>
            <w:r>
              <w:rPr>
                <w:sz w:val="17"/>
              </w:rPr>
              <w:t>5.0%</w:t>
            </w:r>
          </w:p>
        </w:tc>
        <w:tc>
          <w:tcPr>
            <w:tcW w:type="dxa" w:w="792"/>
          </w:tcPr>
          <w:p>
            <w:pPr>
              <w:spacing w:after="0"/>
              <w:jc w:val="center"/>
            </w:pPr>
            <w:r/>
            <w:r>
              <w:rPr>
                <w:sz w:val="17"/>
              </w:rPr>
              <w:t>-0.13</w:t>
            </w:r>
          </w:p>
        </w:tc>
        <w:tc>
          <w:tcPr>
            <w:tcW w:type="dxa" w:w="835"/>
          </w:tcPr>
          <w:p>
            <w:pPr>
              <w:spacing w:after="0"/>
              <w:jc w:val="center"/>
            </w:pPr>
            <w:r/>
            <w:r>
              <w:rPr>
                <w:sz w:val="17"/>
              </w:rPr>
              <w:t>-19.8%</w:t>
            </w:r>
          </w:p>
        </w:tc>
        <w:tc>
          <w:tcPr>
            <w:tcW w:type="dxa" w:w="792"/>
          </w:tcPr>
          <w:p>
            <w:pPr>
              <w:spacing w:after="0"/>
              <w:jc w:val="center"/>
            </w:pPr>
            <w:r/>
            <w:r>
              <w:rPr>
                <w:sz w:val="17"/>
              </w:rPr>
              <w:t>-0.8%</w:t>
            </w:r>
          </w:p>
        </w:tc>
        <w:tc>
          <w:tcPr>
            <w:tcW w:type="dxa" w:w="720"/>
          </w:tcPr>
          <w:p>
            <w:pPr>
              <w:spacing w:after="0"/>
              <w:jc w:val="center"/>
            </w:pPr>
            <w:r/>
            <w:r>
              <w:rPr>
                <w:sz w:val="17"/>
              </w:rPr>
              <w:t>0.01</w:t>
            </w:r>
          </w:p>
        </w:tc>
        <w:tc>
          <w:tcPr>
            <w:tcW w:type="dxa" w:w="792"/>
          </w:tcPr>
          <w:p>
            <w:pPr>
              <w:spacing w:after="0"/>
              <w:jc w:val="center"/>
            </w:pPr>
            <w:r/>
            <w:r>
              <w:rPr>
                <w:sz w:val="17"/>
              </w:rPr>
              <w:t>-0.43</w:t>
            </w:r>
          </w:p>
        </w:tc>
        <w:tc>
          <w:tcPr>
            <w:tcW w:type="dxa" w:w="864"/>
          </w:tcPr>
          <w:p>
            <w:pPr>
              <w:spacing w:after="0"/>
              <w:jc w:val="center"/>
            </w:pPr>
            <w:r/>
            <w:r>
              <w:rPr>
                <w:sz w:val="17"/>
              </w:rPr>
              <w:t>0.08</w:t>
            </w:r>
          </w:p>
        </w:tc>
      </w:tr>
      <w:tr>
        <w:tc>
          <w:tcPr>
            <w:tcW w:type="dxa" w:w="2880"/>
          </w:tcPr>
          <w:p>
            <w:pPr>
              <w:spacing w:after="0"/>
            </w:pPr>
            <w:r/>
            <w:r>
              <w:rPr>
                <w:sz w:val="17"/>
              </w:rPr>
              <w:t>Equal-weight crypto</w:t>
            </w:r>
          </w:p>
        </w:tc>
        <w:tc>
          <w:tcPr>
            <w:tcW w:type="dxa" w:w="835"/>
          </w:tcPr>
          <w:p>
            <w:pPr>
              <w:spacing w:after="0"/>
              <w:jc w:val="center"/>
            </w:pPr>
            <w:r/>
            <w:r>
              <w:rPr>
                <w:sz w:val="17"/>
              </w:rPr>
              <w:t>2.8%</w:t>
            </w:r>
          </w:p>
        </w:tc>
        <w:tc>
          <w:tcPr>
            <w:tcW w:type="dxa" w:w="792"/>
          </w:tcPr>
          <w:p>
            <w:pPr>
              <w:spacing w:after="0"/>
              <w:jc w:val="center"/>
            </w:pPr>
            <w:r/>
            <w:r>
              <w:rPr>
                <w:sz w:val="17"/>
              </w:rPr>
              <w:t>53.9%</w:t>
            </w:r>
          </w:p>
        </w:tc>
        <w:tc>
          <w:tcPr>
            <w:tcW w:type="dxa" w:w="792"/>
          </w:tcPr>
          <w:p>
            <w:pPr>
              <w:spacing w:after="0"/>
              <w:jc w:val="center"/>
            </w:pPr>
            <w:r/>
            <w:r>
              <w:rPr>
                <w:sz w:val="17"/>
              </w:rPr>
              <w:t>0.05</w:t>
            </w:r>
          </w:p>
        </w:tc>
        <w:tc>
          <w:tcPr>
            <w:tcW w:type="dxa" w:w="835"/>
          </w:tcPr>
          <w:p>
            <w:pPr>
              <w:spacing w:after="0"/>
              <w:jc w:val="center"/>
            </w:pPr>
            <w:r/>
            <w:r>
              <w:rPr>
                <w:sz w:val="17"/>
              </w:rPr>
              <w:t>-74.4%</w:t>
            </w:r>
          </w:p>
        </w:tc>
        <w:tc>
          <w:tcPr>
            <w:tcW w:type="dxa" w:w="792"/>
          </w:tcPr>
          <w:p>
            <w:pPr>
              <w:spacing w:after="0"/>
              <w:jc w:val="center"/>
            </w:pPr>
            <w:r/>
            <w:r>
              <w:rPr>
                <w:sz w:val="17"/>
              </w:rPr>
              <w:t>-13.8%</w:t>
            </w:r>
          </w:p>
        </w:tc>
        <w:tc>
          <w:tcPr>
            <w:tcW w:type="dxa" w:w="720"/>
          </w:tcPr>
          <w:p>
            <w:pPr>
              <w:spacing w:after="0"/>
              <w:jc w:val="center"/>
            </w:pPr>
            <w:r/>
            <w:r>
              <w:rPr>
                <w:sz w:val="17"/>
              </w:rPr>
              <w:t>1.05</w:t>
            </w:r>
          </w:p>
        </w:tc>
        <w:tc>
          <w:tcPr>
            <w:tcW w:type="dxa" w:w="792"/>
          </w:tcPr>
          <w:p>
            <w:pPr>
              <w:spacing w:after="0"/>
              <w:jc w:val="center"/>
            </w:pPr>
            <w:r/>
            <w:r>
              <w:rPr>
                <w:sz w:val="17"/>
              </w:rPr>
              <w:t>-1.15</w:t>
            </w:r>
          </w:p>
        </w:tc>
        <w:tc>
          <w:tcPr>
            <w:tcW w:type="dxa" w:w="864"/>
          </w:tcPr>
          <w:p>
            <w:pPr>
              <w:spacing w:after="0"/>
              <w:jc w:val="center"/>
            </w:pPr>
            <w:r/>
            <w:r>
              <w:rPr>
                <w:sz w:val="17"/>
              </w:rPr>
              <w:t>0.82</w:t>
            </w:r>
          </w:p>
        </w:tc>
      </w:tr>
      <w:tr>
        <w:tc>
          <w:tcPr>
            <w:tcW w:type="dxa" w:w="2880"/>
          </w:tcPr>
          <w:p>
            <w:pPr>
              <w:spacing w:after="0"/>
            </w:pPr>
            <w:r/>
            <w:r>
              <w:rPr>
                <w:sz w:val="17"/>
              </w:rPr>
              <w:t>Buy &amp; hold BTC</w:t>
            </w:r>
          </w:p>
        </w:tc>
        <w:tc>
          <w:tcPr>
            <w:tcW w:type="dxa" w:w="835"/>
          </w:tcPr>
          <w:p>
            <w:pPr>
              <w:spacing w:after="0"/>
              <w:jc w:val="center"/>
            </w:pPr>
            <w:r/>
            <w:r>
              <w:rPr>
                <w:sz w:val="17"/>
              </w:rPr>
              <w:t>15.8%</w:t>
            </w:r>
          </w:p>
        </w:tc>
        <w:tc>
          <w:tcPr>
            <w:tcW w:type="dxa" w:w="792"/>
          </w:tcPr>
          <w:p>
            <w:pPr>
              <w:spacing w:after="0"/>
              <w:jc w:val="center"/>
            </w:pPr>
            <w:r/>
            <w:r>
              <w:rPr>
                <w:sz w:val="17"/>
              </w:rPr>
              <w:t>42.2%</w:t>
            </w:r>
          </w:p>
        </w:tc>
        <w:tc>
          <w:tcPr>
            <w:tcW w:type="dxa" w:w="792"/>
          </w:tcPr>
          <w:p>
            <w:pPr>
              <w:spacing w:after="0"/>
              <w:jc w:val="center"/>
            </w:pPr>
            <w:r/>
            <w:r>
              <w:rPr>
                <w:sz w:val="17"/>
              </w:rPr>
              <w:t>0.37</w:t>
            </w:r>
          </w:p>
        </w:tc>
        <w:tc>
          <w:tcPr>
            <w:tcW w:type="dxa" w:w="835"/>
          </w:tcPr>
          <w:p>
            <w:pPr>
              <w:spacing w:after="0"/>
              <w:jc w:val="center"/>
            </w:pPr>
            <w:r/>
            <w:r>
              <w:rPr>
                <w:sz w:val="17"/>
              </w:rPr>
              <w:t>-67.0%</w:t>
            </w:r>
          </w:p>
        </w:tc>
        <w:tc>
          <w:tcPr>
            <w:tcW w:type="dxa" w:w="792"/>
          </w:tcPr>
          <w:p>
            <w:pPr>
              <w:spacing w:after="0"/>
              <w:jc w:val="center"/>
            </w:pPr>
            <w:r/>
            <w:r>
              <w:rPr>
                <w:sz w:val="17"/>
              </w:rPr>
              <w:t>0.0%</w:t>
            </w:r>
          </w:p>
        </w:tc>
        <w:tc>
          <w:tcPr>
            <w:tcW w:type="dxa" w:w="720"/>
          </w:tcPr>
          <w:p>
            <w:pPr>
              <w:spacing w:after="0"/>
              <w:jc w:val="center"/>
            </w:pPr>
            <w:r/>
            <w:r>
              <w:rPr>
                <w:sz w:val="17"/>
              </w:rPr>
              <w:t>1.00</w:t>
            </w:r>
          </w:p>
        </w:tc>
        <w:tc>
          <w:tcPr>
            <w:tcW w:type="dxa" w:w="792"/>
          </w:tcPr>
          <w:p>
            <w:pPr>
              <w:spacing w:after="0"/>
              <w:jc w:val="center"/>
            </w:pPr>
            <w:r/>
            <w:r>
              <w:rPr>
                <w:sz w:val="17"/>
              </w:rPr>
              <w:t>-1.36</w:t>
            </w:r>
          </w:p>
        </w:tc>
        <w:tc>
          <w:tcPr>
            <w:tcW w:type="dxa" w:w="864"/>
          </w:tcPr>
          <w:p>
            <w:pPr>
              <w:spacing w:after="0"/>
              <w:jc w:val="center"/>
            </w:pPr>
            <w:r/>
            <w:r>
              <w:rPr>
                <w:sz w:val="17"/>
              </w:rPr>
              <w:t>1.00</w:t>
            </w:r>
          </w:p>
        </w:tc>
      </w:tr>
    </w:tbl>
    <w:p>
      <w:pPr>
        <w:spacing w:after="40"/>
      </w:pPr>
    </w:p>
    <w:p>
      <w:pPr>
        <w:keepNext/>
        <w:jc w:val="center"/>
      </w:pPr>
      <w:r>
        <w:drawing>
          <wp:inline xmlns:a="http://schemas.openxmlformats.org/drawingml/2006/main" xmlns:pic="http://schemas.openxmlformats.org/drawingml/2006/picture">
            <wp:extent cx="5760720" cy="2618509"/>
            <wp:docPr id="9" name="Picture 9"/>
            <wp:cNvGraphicFramePr>
              <a:graphicFrameLocks noChangeAspect="1"/>
            </wp:cNvGraphicFramePr>
            <a:graphic>
              <a:graphicData uri="http://schemas.openxmlformats.org/drawingml/2006/picture">
                <pic:pic>
                  <pic:nvPicPr>
                    <pic:cNvPr id="0" name="J_equity_curves.png"/>
                    <pic:cNvPicPr/>
                  </pic:nvPicPr>
                  <pic:blipFill>
                    <a:blip r:embed="rId17"/>
                    <a:stretch>
                      <a:fillRect/>
                    </a:stretch>
                  </pic:blipFill>
                  <pic:spPr>
                    <a:xfrm>
                      <a:off x="0" y="0"/>
                      <a:ext cx="5760720" cy="2618509"/>
                    </a:xfrm>
                    <a:prstGeom prst="rect"/>
                  </pic:spPr>
                </pic:pic>
              </a:graphicData>
            </a:graphic>
          </wp:inline>
        </w:drawing>
      </w:r>
    </w:p>
    <w:p>
      <w:pPr>
        <w:spacing w:after="200"/>
        <w:jc w:val="center"/>
      </w:pPr>
      <w:r>
        <w:rPr>
          <w:i/>
          <w:sz w:val="19"/>
        </w:rPr>
        <w:t>Figure 9. Growth of $1, net of costs (log scale). Shaded: hold-out.</w:t>
      </w:r>
    </w:p>
    <w:p>
      <w:pPr>
        <w:spacing w:after="120"/>
      </w:pPr>
      <w:r>
        <w:rPr>
          <w:b w:val="0"/>
          <w:i w:val="0"/>
        </w:rPr>
        <w:t>In the hold-out the combined portfolio returned 2.1% a year at 10.3% volatility (Sharpe 0.20), with a maximum drawdown of -26.7% against -53.1% for Bitcoin. It is genuinely market-neutral - beta -0.03, correlation -0.12 - but its alpha (2.8%, t = 0.52) is not statistically distinguishable from zero. The momentum book held up (hold-out Sharpe 0.30 at 20 bps, 0.61 at 7 bps); the reversal book did not (-0.07).</w:t>
      </w:r>
    </w:p>
    <w:p>
      <w:pPr>
        <w:keepNext/>
        <w:jc w:val="center"/>
      </w:pPr>
      <w:r>
        <w:drawing>
          <wp:inline xmlns:a="http://schemas.openxmlformats.org/drawingml/2006/main" xmlns:pic="http://schemas.openxmlformats.org/drawingml/2006/picture">
            <wp:extent cx="5760720" cy="2094807"/>
            <wp:docPr id="10" name="Picture 10"/>
            <wp:cNvGraphicFramePr>
              <a:graphicFrameLocks noChangeAspect="1"/>
            </wp:cNvGraphicFramePr>
            <a:graphic>
              <a:graphicData uri="http://schemas.openxmlformats.org/drawingml/2006/picture">
                <pic:pic>
                  <pic:nvPicPr>
                    <pic:cNvPr id="0" name="J_drawdowns.png"/>
                    <pic:cNvPicPr/>
                  </pic:nvPicPr>
                  <pic:blipFill>
                    <a:blip r:embed="rId18"/>
                    <a:stretch>
                      <a:fillRect/>
                    </a:stretch>
                  </pic:blipFill>
                  <pic:spPr>
                    <a:xfrm>
                      <a:off x="0" y="0"/>
                      <a:ext cx="5760720" cy="2094807"/>
                    </a:xfrm>
                    <a:prstGeom prst="rect"/>
                  </pic:spPr>
                </pic:pic>
              </a:graphicData>
            </a:graphic>
          </wp:inline>
        </w:drawing>
      </w:r>
    </w:p>
    <w:p>
      <w:pPr>
        <w:spacing w:after="200"/>
        <w:jc w:val="center"/>
      </w:pPr>
      <w:r>
        <w:rPr>
          <w:i/>
          <w:sz w:val="19"/>
        </w:rPr>
        <w:t>Figure 10. Drawdowns of the combined portfolio and Bitcoin.</w:t>
      </w:r>
    </w:p>
    <w:p>
      <w:pPr>
        <w:keepNext/>
        <w:jc w:val="center"/>
      </w:pPr>
      <w:r>
        <w:drawing>
          <wp:inline xmlns:a="http://schemas.openxmlformats.org/drawingml/2006/main" xmlns:pic="http://schemas.openxmlformats.org/drawingml/2006/picture">
            <wp:extent cx="5760720" cy="2094807"/>
            <wp:docPr id="11" name="Picture 11"/>
            <wp:cNvGraphicFramePr>
              <a:graphicFrameLocks noChangeAspect="1"/>
            </wp:cNvGraphicFramePr>
            <a:graphic>
              <a:graphicData uri="http://schemas.openxmlformats.org/drawingml/2006/picture">
                <pic:pic>
                  <pic:nvPicPr>
                    <pic:cNvPr id="0" name="J_rolling_sharpe.png"/>
                    <pic:cNvPicPr/>
                  </pic:nvPicPr>
                  <pic:blipFill>
                    <a:blip r:embed="rId19"/>
                    <a:stretch>
                      <a:fillRect/>
                    </a:stretch>
                  </pic:blipFill>
                  <pic:spPr>
                    <a:xfrm>
                      <a:off x="0" y="0"/>
                      <a:ext cx="5760720" cy="2094807"/>
                    </a:xfrm>
                    <a:prstGeom prst="rect"/>
                  </pic:spPr>
                </pic:pic>
              </a:graphicData>
            </a:graphic>
          </wp:inline>
        </w:drawing>
      </w:r>
    </w:p>
    <w:p>
      <w:pPr>
        <w:spacing w:after="200"/>
        <w:jc w:val="center"/>
      </w:pPr>
      <w:r>
        <w:rPr>
          <w:i/>
          <w:sz w:val="19"/>
        </w:rPr>
        <w:t>Figure 11. Rolling 180-day Sharpe ratio (net, x sqrt(252)). Dashed line: hold-out start.</w:t>
      </w:r>
    </w:p>
    <w:p>
      <w:pPr>
        <w:pStyle w:val="Heading1"/>
      </w:pPr>
      <w:r>
        <w:t>11. Discussion</w:t>
      </w:r>
    </w:p>
    <w:p>
      <w:pPr>
        <w:pStyle w:val="Heading2"/>
      </w:pPr>
      <w:r>
        <w:t>11.1 Version 1 versus version 2</w:t>
      </w:r>
    </w:p>
    <w:p>
      <w:pPr>
        <w:keepNext/>
        <w:spacing w:after="60"/>
      </w:pPr>
      <w:r>
        <w:rPr>
          <w:b/>
          <w:sz w:val="20"/>
        </w:rPr>
        <w:t>Table 16. What the version 2 corrections did to the headline numbers.</w:t>
      </w:r>
    </w:p>
    <w:tbl>
      <w:tblPr>
        <w:tblStyle w:val="TableGrid"/>
        <w:tblW w:type="auto" w:w="0"/>
        <w:jc w:val="center"/>
        <w:tblLayout w:type="fixed"/>
        <w:tblLook w:firstColumn="1" w:firstRow="1" w:lastColumn="0" w:lastRow="0" w:noHBand="0" w:noVBand="1" w:val="04A0"/>
      </w:tblPr>
      <w:tblGrid>
        <w:gridCol w:w="2592"/>
        <w:gridCol w:w="2160"/>
        <w:gridCol w:w="2304"/>
        <w:gridCol w:w="2304"/>
      </w:tblGrid>
      <w:tr>
        <w:tc>
          <w:tcPr>
            <w:tcW w:type="dxa" w:w="2592"/>
            <w:shd w:val="clear" w:fill="1F3864"/>
          </w:tcPr>
          <w:p>
            <w:pPr>
              <w:jc w:val="left"/>
            </w:pPr>
            <w:r/>
            <w:r>
              <w:rPr>
                <w:b/>
                <w:color w:val="FFFFFF"/>
                <w:sz w:val="18"/>
              </w:rPr>
            </w:r>
          </w:p>
        </w:tc>
        <w:tc>
          <w:tcPr>
            <w:tcW w:type="dxa" w:w="2160"/>
            <w:shd w:val="clear" w:fill="1F3864"/>
          </w:tcPr>
          <w:p>
            <w:pPr>
              <w:jc w:val="center"/>
            </w:pPr>
            <w:r/>
            <w:r>
              <w:rPr>
                <w:b/>
                <w:color w:val="FFFFFF"/>
                <w:sz w:val="18"/>
              </w:rPr>
              <w:t>Version 1</w:t>
            </w:r>
          </w:p>
        </w:tc>
        <w:tc>
          <w:tcPr>
            <w:tcW w:type="dxa" w:w="2304"/>
            <w:shd w:val="clear" w:fill="1F3864"/>
          </w:tcPr>
          <w:p>
            <w:pPr>
              <w:jc w:val="center"/>
            </w:pPr>
            <w:r/>
            <w:r>
              <w:rPr>
                <w:b/>
                <w:color w:val="FFFFFF"/>
                <w:sz w:val="18"/>
              </w:rPr>
              <w:t>Version 1 at sqrt(252)</w:t>
            </w:r>
          </w:p>
        </w:tc>
        <w:tc>
          <w:tcPr>
            <w:tcW w:type="dxa" w:w="2304"/>
            <w:shd w:val="clear" w:fill="1F3864"/>
          </w:tcPr>
          <w:p>
            <w:pPr>
              <w:jc w:val="center"/>
            </w:pPr>
            <w:r/>
            <w:r>
              <w:rPr>
                <w:b/>
                <w:color w:val="FFFFFF"/>
                <w:sz w:val="18"/>
              </w:rPr>
              <w:t>Version 2</w:t>
            </w:r>
          </w:p>
        </w:tc>
      </w:tr>
      <w:tr>
        <w:tc>
          <w:tcPr>
            <w:tcW w:type="dxa" w:w="2592"/>
          </w:tcPr>
          <w:p>
            <w:pPr>
              <w:spacing w:after="0"/>
            </w:pPr>
            <w:r/>
            <w:r>
              <w:rPr>
                <w:sz w:val="18"/>
              </w:rPr>
              <w:t>Universe</w:t>
            </w:r>
          </w:p>
        </w:tc>
        <w:tc>
          <w:tcPr>
            <w:tcW w:type="dxa" w:w="2160"/>
          </w:tcPr>
          <w:p>
            <w:pPr>
              <w:spacing w:after="0"/>
              <w:jc w:val="center"/>
            </w:pPr>
            <w:r/>
            <w:r>
              <w:rPr>
                <w:sz w:val="18"/>
              </w:rPr>
              <w:t>16 coins alive in 2026</w:t>
            </w:r>
          </w:p>
        </w:tc>
        <w:tc>
          <w:tcPr>
            <w:tcW w:type="dxa" w:w="2304"/>
          </w:tcPr>
          <w:p>
            <w:pPr>
              <w:spacing w:after="0"/>
              <w:jc w:val="center"/>
            </w:pPr>
            <w:r/>
            <w:r>
              <w:rPr>
                <w:sz w:val="18"/>
              </w:rPr>
              <w:t>16 coins alive in 2026</w:t>
            </w:r>
          </w:p>
        </w:tc>
        <w:tc>
          <w:tcPr>
            <w:tcW w:type="dxa" w:w="2304"/>
          </w:tcPr>
          <w:p>
            <w:pPr>
              <w:spacing w:after="0"/>
              <w:jc w:val="center"/>
            </w:pPr>
            <w:r/>
            <w:r>
              <w:rPr>
                <w:sz w:val="18"/>
              </w:rPr>
              <w:t>39 coins by market cap, Jan-2021</w:t>
            </w:r>
          </w:p>
        </w:tc>
      </w:tr>
      <w:tr>
        <w:tc>
          <w:tcPr>
            <w:tcW w:type="dxa" w:w="2592"/>
          </w:tcPr>
          <w:p>
            <w:pPr>
              <w:spacing w:after="0"/>
            </w:pPr>
            <w:r/>
            <w:r>
              <w:rPr>
                <w:sz w:val="18"/>
              </w:rPr>
              <w:t>Decisions made on</w:t>
            </w:r>
          </w:p>
        </w:tc>
        <w:tc>
          <w:tcPr>
            <w:tcW w:type="dxa" w:w="2160"/>
          </w:tcPr>
          <w:p>
            <w:pPr>
              <w:spacing w:after="0"/>
              <w:jc w:val="center"/>
            </w:pPr>
            <w:r/>
            <w:r>
              <w:rPr>
                <w:sz w:val="18"/>
              </w:rPr>
              <w:t>Full sample (exploration)</w:t>
            </w:r>
          </w:p>
        </w:tc>
        <w:tc>
          <w:tcPr>
            <w:tcW w:type="dxa" w:w="2304"/>
          </w:tcPr>
          <w:p>
            <w:pPr>
              <w:spacing w:after="0"/>
              <w:jc w:val="center"/>
            </w:pPr>
            <w:r/>
            <w:r>
              <w:rPr>
                <w:sz w:val="18"/>
              </w:rPr>
              <w:t>Full sample (exploration)</w:t>
            </w:r>
          </w:p>
        </w:tc>
        <w:tc>
          <w:tcPr>
            <w:tcW w:type="dxa" w:w="2304"/>
          </w:tcPr>
          <w:p>
            <w:pPr>
              <w:spacing w:after="0"/>
              <w:jc w:val="center"/>
            </w:pPr>
            <w:r/>
            <w:r>
              <w:rPr>
                <w:sz w:val="18"/>
              </w:rPr>
              <w:t>2021-2023 only, mechanical</w:t>
            </w:r>
          </w:p>
        </w:tc>
      </w:tr>
      <w:tr>
        <w:tc>
          <w:tcPr>
            <w:tcW w:type="dxa" w:w="2592"/>
          </w:tcPr>
          <w:p>
            <w:pPr>
              <w:spacing w:after="0"/>
            </w:pPr>
            <w:r/>
            <w:r>
              <w:rPr>
                <w:sz w:val="18"/>
              </w:rPr>
              <w:t>Combined Sharpe, full</w:t>
            </w:r>
          </w:p>
        </w:tc>
        <w:tc>
          <w:tcPr>
            <w:tcW w:type="dxa" w:w="2160"/>
          </w:tcPr>
          <w:p>
            <w:pPr>
              <w:spacing w:after="0"/>
              <w:jc w:val="center"/>
            </w:pPr>
            <w:r/>
            <w:r>
              <w:rPr>
                <w:sz w:val="18"/>
              </w:rPr>
              <w:t>1.02</w:t>
            </w:r>
          </w:p>
        </w:tc>
        <w:tc>
          <w:tcPr>
            <w:tcW w:type="dxa" w:w="2304"/>
          </w:tcPr>
          <w:p>
            <w:pPr>
              <w:spacing w:after="0"/>
              <w:jc w:val="center"/>
            </w:pPr>
            <w:r/>
            <w:r>
              <w:rPr>
                <w:sz w:val="18"/>
              </w:rPr>
              <w:t>0.85</w:t>
            </w:r>
          </w:p>
        </w:tc>
        <w:tc>
          <w:tcPr>
            <w:tcW w:type="dxa" w:w="2304"/>
          </w:tcPr>
          <w:p>
            <w:pPr>
              <w:spacing w:after="0"/>
              <w:jc w:val="center"/>
            </w:pPr>
            <w:r/>
            <w:r>
              <w:rPr>
                <w:sz w:val="18"/>
              </w:rPr>
              <w:t>0.50</w:t>
            </w:r>
          </w:p>
        </w:tc>
      </w:tr>
      <w:tr>
        <w:tc>
          <w:tcPr>
            <w:tcW w:type="dxa" w:w="2592"/>
          </w:tcPr>
          <w:p>
            <w:pPr>
              <w:spacing w:after="0"/>
            </w:pPr>
            <w:r/>
            <w:r>
              <w:rPr>
                <w:sz w:val="18"/>
              </w:rPr>
              <w:t>Combined Sharpe, hold-out</w:t>
            </w:r>
          </w:p>
        </w:tc>
        <w:tc>
          <w:tcPr>
            <w:tcW w:type="dxa" w:w="2160"/>
          </w:tcPr>
          <w:p>
            <w:pPr>
              <w:spacing w:after="0"/>
              <w:jc w:val="center"/>
            </w:pPr>
            <w:r/>
            <w:r>
              <w:rPr>
                <w:sz w:val="18"/>
              </w:rPr>
              <w:t>0.55</w:t>
            </w:r>
          </w:p>
        </w:tc>
        <w:tc>
          <w:tcPr>
            <w:tcW w:type="dxa" w:w="2304"/>
          </w:tcPr>
          <w:p>
            <w:pPr>
              <w:spacing w:after="0"/>
              <w:jc w:val="center"/>
            </w:pPr>
            <w:r/>
            <w:r>
              <w:rPr>
                <w:sz w:val="18"/>
              </w:rPr>
              <w:t>0.46</w:t>
            </w:r>
          </w:p>
        </w:tc>
        <w:tc>
          <w:tcPr>
            <w:tcW w:type="dxa" w:w="2304"/>
          </w:tcPr>
          <w:p>
            <w:pPr>
              <w:spacing w:after="0"/>
              <w:jc w:val="center"/>
            </w:pPr>
            <w:r/>
            <w:r>
              <w:rPr>
                <w:sz w:val="18"/>
              </w:rPr>
              <w:t>0.20</w:t>
            </w:r>
          </w:p>
        </w:tc>
      </w:tr>
      <w:tr>
        <w:tc>
          <w:tcPr>
            <w:tcW w:type="dxa" w:w="2592"/>
          </w:tcPr>
          <w:p>
            <w:pPr>
              <w:spacing w:after="0"/>
            </w:pPr>
            <w:r/>
            <w:r>
              <w:rPr>
                <w:sz w:val="18"/>
              </w:rPr>
              <w:t>Alpha t, hold-out</w:t>
            </w:r>
          </w:p>
        </w:tc>
        <w:tc>
          <w:tcPr>
            <w:tcW w:type="dxa" w:w="2160"/>
          </w:tcPr>
          <w:p>
            <w:pPr>
              <w:spacing w:after="0"/>
              <w:jc w:val="center"/>
            </w:pPr>
            <w:r/>
            <w:r>
              <w:rPr>
                <w:sz w:val="18"/>
              </w:rPr>
              <w:t>0.90</w:t>
            </w:r>
          </w:p>
        </w:tc>
        <w:tc>
          <w:tcPr>
            <w:tcW w:type="dxa" w:w="2304"/>
          </w:tcPr>
          <w:p>
            <w:pPr>
              <w:spacing w:after="0"/>
              <w:jc w:val="center"/>
            </w:pPr>
            <w:r/>
            <w:r>
              <w:rPr>
                <w:sz w:val="18"/>
              </w:rPr>
              <w:t>0.90</w:t>
            </w:r>
          </w:p>
        </w:tc>
        <w:tc>
          <w:tcPr>
            <w:tcW w:type="dxa" w:w="2304"/>
          </w:tcPr>
          <w:p>
            <w:pPr>
              <w:spacing w:after="0"/>
              <w:jc w:val="center"/>
            </w:pPr>
            <w:r/>
            <w:r>
              <w:rPr>
                <w:sz w:val="18"/>
              </w:rPr>
              <w:t>0.52</w:t>
            </w:r>
          </w:p>
        </w:tc>
      </w:tr>
      <w:tr>
        <w:tc>
          <w:tcPr>
            <w:tcW w:type="dxa" w:w="2592"/>
          </w:tcPr>
          <w:p>
            <w:pPr>
              <w:spacing w:after="0"/>
            </w:pPr>
            <w:r/>
            <w:r>
              <w:rPr>
                <w:sz w:val="18"/>
              </w:rPr>
              <w:t>Correlation to BTC, full</w:t>
            </w:r>
          </w:p>
        </w:tc>
        <w:tc>
          <w:tcPr>
            <w:tcW w:type="dxa" w:w="2160"/>
          </w:tcPr>
          <w:p>
            <w:pPr>
              <w:spacing w:after="0"/>
              <w:jc w:val="center"/>
            </w:pPr>
            <w:r/>
            <w:r>
              <w:rPr>
                <w:sz w:val="18"/>
              </w:rPr>
              <w:t>-0.05</w:t>
            </w:r>
          </w:p>
        </w:tc>
        <w:tc>
          <w:tcPr>
            <w:tcW w:type="dxa" w:w="2304"/>
          </w:tcPr>
          <w:p>
            <w:pPr>
              <w:spacing w:after="0"/>
              <w:jc w:val="center"/>
            </w:pPr>
            <w:r/>
            <w:r>
              <w:rPr>
                <w:sz w:val="18"/>
              </w:rPr>
              <w:t>-0.05</w:t>
            </w:r>
          </w:p>
        </w:tc>
        <w:tc>
          <w:tcPr>
            <w:tcW w:type="dxa" w:w="2304"/>
          </w:tcPr>
          <w:p>
            <w:pPr>
              <w:spacing w:after="0"/>
              <w:jc w:val="center"/>
            </w:pPr>
            <w:r/>
            <w:r>
              <w:rPr>
                <w:sz w:val="18"/>
              </w:rPr>
              <w:t>-0.13</w:t>
            </w:r>
          </w:p>
        </w:tc>
      </w:tr>
    </w:tbl>
    <w:p>
      <w:pPr>
        <w:spacing w:after="40"/>
      </w:pPr>
    </w:p>
    <w:p>
      <w:pPr>
        <w:spacing w:after="120"/>
      </w:pPr>
      <w:r>
        <w:rPr>
          <w:b w:val="0"/>
          <w:i w:val="0"/>
        </w:rPr>
        <w:t>The sqrt(252) convention alone lowers every Sharpe by 17%. The larger change comes from the universe and the protocol: version 1's long-horizon reversal book was chosen partly because it worked in 2024-2026, and its 16 survivors excluded the coins whose collapses make cross-sectional strategies harder. Version 2's lower number is the more credible one.</w:t>
      </w:r>
    </w:p>
    <w:p>
      <w:pPr>
        <w:pStyle w:val="Heading2"/>
      </w:pPr>
      <w:r>
        <w:t>11.2 What the research shows</w:t>
      </w:r>
    </w:p>
    <w:p>
      <w:pPr>
        <w:pStyle w:val="ListBullet"/>
      </w:pPr>
      <w:r>
        <w:rPr>
          <w:b/>
        </w:rPr>
        <w:t xml:space="preserve">Horizon. </w:t>
      </w:r>
      <w:r>
        <w:t>Cross-sectional crypto returns reverse at short and long horizons; time-series returns trend at 1-4 weeks. Only the slower signals survive realistic costs.</w:t>
      </w:r>
    </w:p>
    <w:p>
      <w:pPr>
        <w:pStyle w:val="ListBullet"/>
      </w:pPr>
      <w:r>
        <w:rPr>
          <w:b/>
        </w:rPr>
        <w:t xml:space="preserve">The robust finding. </w:t>
      </w:r>
      <w:r>
        <w:t>Time-series momentum with a DVOL filter was selected purely on 2021-2023 data and kept working in 2024-2026. It is the one finding that passed a genuine out-of-sample test.</w:t>
      </w:r>
    </w:p>
    <w:p>
      <w:pPr>
        <w:pStyle w:val="ListBullet"/>
      </w:pPr>
      <w:r>
        <w:rPr>
          <w:b/>
        </w:rPr>
        <w:t xml:space="preserve">Instability. </w:t>
      </w:r>
      <w:r>
        <w:t>Theme momentum and slow residual reversal looked strong in 2021-2023 and faded. Pairs did the opposite. Relationships in crypto are unstable.</w:t>
      </w:r>
    </w:p>
    <w:p>
      <w:pPr>
        <w:pStyle w:val="ListBullet"/>
      </w:pPr>
      <w:r>
        <w:rPr>
          <w:b/>
        </w:rPr>
        <w:t xml:space="preserve">Bottom line. </w:t>
      </w:r>
      <w:r>
        <w:t>The final portfolio is market-neutral and diversifying (correlation to BTC near zero), but its hold-out alpha is not statistically significant. It is a research result, not a deployable strategy.</w:t>
      </w:r>
    </w:p>
    <w:p>
      <w:pPr>
        <w:pStyle w:val="Heading2"/>
      </w:pPr>
      <w:r>
        <w:t>11.3 Limitations</w:t>
      </w:r>
    </w:p>
    <w:p>
      <w:pPr>
        <w:pStyle w:val="ListBullet"/>
      </w:pPr>
      <w:r>
        <w:rPr>
          <w:b/>
        </w:rPr>
        <w:t xml:space="preserve">Shorting. </w:t>
      </w:r>
      <w:r>
        <w:t>Short positions assume coins can be borrowed or shorted through perpetual futures; funding is not modelled.</w:t>
      </w:r>
    </w:p>
    <w:p>
      <w:pPr>
        <w:pStyle w:val="ListBullet"/>
      </w:pPr>
      <w:r>
        <w:rPr>
          <w:b/>
        </w:rPr>
        <w:t xml:space="preserve">Liquidity. </w:t>
      </w:r>
      <w:r>
        <w:t>Several coins are thinly traded at their data venue; costs are linear and limit-order fills are assumed, which is optimistic for small coins and large capital.</w:t>
      </w:r>
    </w:p>
    <w:p>
      <w:pPr>
        <w:pStyle w:val="ListBullet"/>
      </w:pPr>
      <w:r>
        <w:rPr>
          <w:b/>
        </w:rPr>
        <w:t xml:space="preserve">Data. </w:t>
      </w:r>
      <w:r>
        <w:t>Prices come from four venues (Coinbase, KuCoin, Gate.io, Bitfinex); venue differences add noise, and Revain is missing.</w:t>
      </w:r>
    </w:p>
    <w:p>
      <w:pPr>
        <w:pStyle w:val="ListBullet"/>
      </w:pPr>
      <w:r>
        <w:rPr>
          <w:b/>
        </w:rPr>
        <w:t xml:space="preserve">Multiple testing. </w:t>
      </w:r>
      <w:r>
        <w:t>167 candidates were compared; the research-period Sharpe of the winners is biased upward, which is why the hold-out leads.</w:t>
      </w:r>
    </w:p>
    <w:p>
      <w:pPr>
        <w:pStyle w:val="ListBullet"/>
      </w:pPr>
      <w:r>
        <w:rPr>
          <w:b/>
        </w:rPr>
        <w:t xml:space="preserve">Intraday coverage. </w:t>
      </w:r>
      <w:r>
        <w:t>Hourly data are complete for 35 of 39 coins; CEL, HT and XEM have hourly prices only from September 2025 and FTT's hourly series is sparse, so the intraday cross-section is slightly smaller in 2022-2023.</w:t>
      </w:r>
    </w:p>
    <w:p>
      <w:pPr>
        <w:pStyle w:val="Heading2"/>
      </w:pPr>
      <w:r>
        <w:t>11.4 Next steps</w:t>
      </w:r>
    </w:p>
    <w:p>
      <w:pPr>
        <w:pStyle w:val="ListBullet"/>
      </w:pPr>
      <w:r>
        <w:t>Paper-trade the time-series momentum book with the DVOL filter on live data.</w:t>
      </w:r>
    </w:p>
    <w:p>
      <w:pPr>
        <w:pStyle w:val="ListBullet"/>
      </w:pPr>
      <w:r>
        <w:t>Add perpetual-futures funding costs and a liquidity screen (minimum dollar volume) to the universe.</w:t>
      </w:r>
    </w:p>
    <w:p>
      <w:pPr>
        <w:pStyle w:val="ListBullet"/>
      </w:pPr>
      <w:r>
        <w:t>Re-run the protocol each year as the hold-out grows, without changing its rules.</w:t>
      </w:r>
    </w:p>
    <w:p>
      <w:pPr>
        <w:pStyle w:val="Heading1"/>
      </w:pPr>
      <w:r>
        <w:t>12. Conclusion</w:t>
      </w:r>
    </w:p>
    <w:p>
      <w:pPr>
        <w:spacing w:after="120"/>
      </w:pPr>
      <w:r>
        <w:rPr>
          <w:b w:val="0"/>
          <w:i w:val="0"/>
        </w:rPr>
        <w:t>Applying the version 2 corrections - the sqrt(252) convention, a survivorship-free universe of 39 coins and a research protocol that never touches the hold-out - turns version 1's strong result into a modest one. Crypto shows reversal across the cross-section and momentum in individual coins' own trends, and the brief's conditioning variables (activity, seasonality, themes and especially implied volatility) all leave visible marks. But after costs, the combined portfolio's hold-out Sharpe is 0.20 with an alpha t-statistic of 0.52. The one component that survived a genuine out-of-sample test is time-series momentum switched off when implied volatility is high. The main lesson is methodological: how a strategy is selected matters as much as what it is.</w:t>
      </w:r>
    </w:p>
    <w:p>
      <w:pPr>
        <w:pStyle w:val="Heading1"/>
      </w:pPr>
      <w:r>
        <w:t>Appendix A. Reproducibility</w:t>
      </w:r>
    </w:p>
    <w:p>
      <w:pPr>
        <w:pStyle w:val="ListBullet"/>
      </w:pPr>
      <w:r>
        <w:t>python3 src/fetch_data.py - universe, daily, hourly and DVOL data</w:t>
      </w:r>
    </w:p>
    <w:p>
      <w:pPr>
        <w:pStyle w:val="ListBullet"/>
      </w:pPr>
      <w:r>
        <w:t>python3 src/statarb.py - cointegrated pairs engine</w:t>
      </w:r>
    </w:p>
    <w:p>
      <w:pPr>
        <w:pStyle w:val="ListBullet"/>
      </w:pPr>
      <w:r>
        <w:t>python3 src/research.py - research blocks, mechanical selection, weighting, performance</w:t>
      </w:r>
    </w:p>
    <w:p>
      <w:pPr>
        <w:pStyle w:val="ListBullet"/>
      </w:pPr>
      <w:r>
        <w:t>python3 src/minimal_backtest.py - 60-line rebuild of one strategy, checked against the engine</w:t>
      </w:r>
    </w:p>
    <w:p>
      <w:pPr>
        <w:pStyle w:val="ListBullet"/>
      </w:pPr>
      <w:r>
        <w:t>python3 src/make_report.py, build_explainer.py, build_pptx.py, build_excel.py, build_notebook.py</w:t>
      </w:r>
    </w:p>
    <w:p>
      <w:pPr>
        <w:pStyle w:val="Heading1"/>
      </w:pPr>
      <w:r>
        <w:t>References</w:t>
      </w:r>
    </w:p>
    <w:p>
      <w:pPr>
        <w:spacing w:after="80"/>
        <w:ind w:left="576" w:hanging="576"/>
      </w:pPr>
      <w:r>
        <w:rPr>
          <w:b w:val="0"/>
          <w:i w:val="0"/>
        </w:rPr>
        <w:t>Bailey, D. H., &amp; Lopez de Prado, M. (2014). The deflated Sharpe ratio: Correcting for selection bias, backtest overfitting and non-normality. Journal of Portfolio Management, 40(5), 94-107.</w:t>
      </w:r>
    </w:p>
    <w:p>
      <w:pPr>
        <w:spacing w:after="80"/>
        <w:ind w:left="576" w:hanging="576"/>
      </w:pPr>
      <w:r>
        <w:rPr>
          <w:b w:val="0"/>
          <w:i w:val="0"/>
        </w:rPr>
        <w:t>Barroso, P., &amp; Santa-Clara, P. (2015). Momentum has its moments. Journal of Financial Economics, 116(1), 111-120.</w:t>
      </w:r>
    </w:p>
    <w:p>
      <w:pPr>
        <w:spacing w:after="80"/>
        <w:ind w:left="576" w:hanging="576"/>
      </w:pPr>
      <w:r>
        <w:rPr>
          <w:b w:val="0"/>
          <w:i w:val="0"/>
        </w:rPr>
        <w:t>Campbell, J. Y., Grossman, S. J., &amp; Wang, J. (1993). Trading volume and serial correlation in stock returns. Quarterly Journal of Economics, 108(4), 905-939.</w:t>
      </w:r>
    </w:p>
    <w:p>
      <w:pPr>
        <w:spacing w:after="80"/>
        <w:ind w:left="576" w:hanging="576"/>
      </w:pPr>
      <w:r>
        <w:rPr>
          <w:b w:val="0"/>
          <w:i w:val="0"/>
        </w:rPr>
        <w:t>Daniel, K., &amp; Moskowitz, T. J. (2016). Momentum crashes. Journal of Financial Economics, 122(2), 221-247.</w:t>
      </w:r>
    </w:p>
    <w:p>
      <w:pPr>
        <w:spacing w:after="80"/>
        <w:ind w:left="576" w:hanging="576"/>
      </w:pPr>
      <w:r>
        <w:rPr>
          <w:b w:val="0"/>
          <w:i w:val="0"/>
        </w:rPr>
        <w:t>De Bondt, W. F. M., &amp; Thaler, R. (1985). Does the stock market overreact? Journal of Finance, 40(3), 793-805.</w:t>
      </w:r>
    </w:p>
    <w:p>
      <w:pPr>
        <w:spacing w:after="80"/>
        <w:ind w:left="576" w:hanging="576"/>
      </w:pPr>
      <w:r>
        <w:rPr>
          <w:b w:val="0"/>
          <w:i w:val="0"/>
        </w:rPr>
        <w:t>DeMiguel, V., Garlappi, L., &amp; Uppal, R. (2009). Optimal versus naive diversification: How inefficient is the 1/N portfolio strategy? Review of Financial Studies, 22(5), 1915-1953.</w:t>
      </w:r>
    </w:p>
    <w:p>
      <w:pPr>
        <w:spacing w:after="80"/>
        <w:ind w:left="576" w:hanging="576"/>
      </w:pPr>
      <w:r>
        <w:rPr>
          <w:b w:val="0"/>
          <w:i w:val="0"/>
        </w:rPr>
        <w:t>Fil, M., &amp; Kristoufek, L. (2020). Pairs trading in cryptocurrency markets. IEEE Access, 8, 172644-172651.</w:t>
      </w:r>
    </w:p>
    <w:p>
      <w:pPr>
        <w:spacing w:after="80"/>
        <w:ind w:left="576" w:hanging="576"/>
      </w:pPr>
      <w:r>
        <w:rPr>
          <w:b w:val="0"/>
          <w:i w:val="0"/>
        </w:rPr>
        <w:t>Garleanu, N., &amp; Pedersen, L. H. (2013). Dynamic trading with predictable returns and transaction costs. Journal of Finance, 68(6), 2309-2340.</w:t>
      </w:r>
    </w:p>
    <w:p>
      <w:pPr>
        <w:spacing w:after="80"/>
        <w:ind w:left="576" w:hanging="576"/>
      </w:pPr>
      <w:r>
        <w:rPr>
          <w:b w:val="0"/>
          <w:i w:val="0"/>
        </w:rPr>
        <w:t>Han, H., Kang, J., &amp; Ryu, D. (2024). Time-series and cross-sectional momentum in the cryptocurrency market: A comprehensive analysis under realistic assumptions (SSRN Working Paper No. 4675565).</w:t>
      </w:r>
    </w:p>
    <w:p>
      <w:pPr>
        <w:spacing w:after="80"/>
        <w:ind w:left="576" w:hanging="576"/>
      </w:pPr>
      <w:r>
        <w:rPr>
          <w:b w:val="0"/>
          <w:i w:val="0"/>
        </w:rPr>
        <w:t>Harvey, C. R., Liu, Y., &amp; Zhu, H. (2016). ... and the cross-section of expected returns. Review of Financial Studies, 29(1), 5-68.</w:t>
      </w:r>
    </w:p>
    <w:p>
      <w:pPr>
        <w:spacing w:after="80"/>
        <w:ind w:left="576" w:hanging="576"/>
      </w:pPr>
      <w:r>
        <w:rPr>
          <w:b w:val="0"/>
          <w:i w:val="0"/>
        </w:rPr>
        <w:t>Jegadeesh, N., &amp; Titman, S. (1993). Returns to buying winners and selling losers: Implications for stock market efficiency. Journal of Finance, 48(1), 65-91.</w:t>
      </w:r>
    </w:p>
    <w:p>
      <w:pPr>
        <w:spacing w:after="80"/>
        <w:ind w:left="576" w:hanging="576"/>
      </w:pPr>
      <w:r>
        <w:rPr>
          <w:b w:val="0"/>
          <w:i w:val="0"/>
        </w:rPr>
        <w:t>Lehmann, B. N. (1990). Fads, martingales, and market efficiency. Quarterly Journal of Economics, 105(1), 1-28.</w:t>
      </w:r>
    </w:p>
    <w:p>
      <w:pPr>
        <w:spacing w:after="80"/>
        <w:ind w:left="576" w:hanging="576"/>
      </w:pPr>
      <w:r>
        <w:rPr>
          <w:b w:val="0"/>
          <w:i w:val="0"/>
        </w:rPr>
        <w:t>Liu, Y., &amp; Tsyvinski, A. (2021). Risks and returns of cryptocurrency. Review of Financial Studies, 34(6), 2689-2727.</w:t>
      </w:r>
    </w:p>
    <w:p>
      <w:pPr>
        <w:spacing w:after="80"/>
        <w:ind w:left="576" w:hanging="576"/>
      </w:pPr>
      <w:r>
        <w:rPr>
          <w:b w:val="0"/>
          <w:i w:val="0"/>
        </w:rPr>
        <w:t>Liu, Y., Tsyvinski, A., &amp; Wu, X. (2022). Common risk factors in cryptocurrency. Journal of Finance, 77(2), 1133-1177.</w:t>
      </w:r>
    </w:p>
    <w:p>
      <w:pPr>
        <w:spacing w:after="80"/>
        <w:ind w:left="576" w:hanging="576"/>
      </w:pPr>
      <w:r>
        <w:rPr>
          <w:b w:val="0"/>
          <w:i w:val="0"/>
        </w:rPr>
        <w:t>Moskowitz, T. J., &amp; Grinblatt, M. (1999). Do industries explain momentum? Journal of Finance, 54(4), 1249-1290.</w:t>
      </w:r>
    </w:p>
    <w:p>
      <w:pPr>
        <w:spacing w:after="80"/>
        <w:ind w:left="576" w:hanging="576"/>
      </w:pPr>
      <w:r>
        <w:rPr>
          <w:b w:val="0"/>
          <w:i w:val="0"/>
        </w:rPr>
        <w:t>Moskowitz, T. J., Ooi, Y. H., &amp; Pedersen, L. H. (2012). Time series momentum. Journal of Financial Economics, 104(2), 228-250.</w:t>
      </w:r>
    </w:p>
    <w:p>
      <w:pPr>
        <w:spacing w:after="80"/>
        <w:ind w:left="576" w:hanging="576"/>
      </w:pPr>
      <w:r>
        <w:rPr>
          <w:b w:val="0"/>
          <w:i w:val="0"/>
        </w:rPr>
        <w:t>Nagel, S. (2012). Evaporating liquidity. Review of Financial Studies, 25(7), 2005-2039.</w:t>
      </w:r>
    </w:p>
    <w:p>
      <w:pPr>
        <w:spacing w:after="80"/>
        <w:ind w:left="576" w:hanging="576"/>
      </w:pPr>
      <w:r>
        <w:rPr>
          <w:b w:val="0"/>
          <w:i w:val="0"/>
        </w:rPr>
        <w:t>Wall Street Quants. (2025). Statistical arbitrage in cryptocurrencies: Course project brief [Class handout].</w:t>
      </w:r>
    </w:p>
    <w:sectPr w:rsidR="00FC693F" w:rsidRPr="0006063C" w:rsidSect="00034616">
      <w:foot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48" w:hanging="288"/>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