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sz w:val="44"/>
        </w:rPr>
        <w:t>Statistical Arbitrage in Cryptocurrencies</w:t>
      </w:r>
    </w:p>
    <w:p>
      <w:pPr>
        <w:spacing w:after="480"/>
        <w:jc w:val="center"/>
      </w:pPr>
      <w:r>
        <w:rPr>
          <w:b w:val="0"/>
          <w:i/>
          <w:sz w:val="28"/>
        </w:rPr>
        <w:t>Momentum and Reversal Research on Live Market Data</w:t>
      </w:r>
    </w:p>
    <w:p>
      <w:pPr>
        <w:spacing w:after="80"/>
        <w:jc w:val="center"/>
      </w:pPr>
      <w:r>
        <w:rPr>
          <w:b w:val="0"/>
          <w:i w:val="0"/>
          <w:sz w:val="24"/>
        </w:rPr>
        <w:t>Wall Street Quants - Bootcamp Project</w:t>
      </w:r>
    </w:p>
    <w:p>
      <w:pPr>
        <w:spacing w:after="80"/>
        <w:jc w:val="center"/>
      </w:pPr>
      <w:r>
        <w:rPr>
          <w:b w:val="0"/>
          <w:i w:val="0"/>
          <w:sz w:val="22"/>
        </w:rPr>
        <w:t>Data: Coinbase Exchange (daily and hourly OHLCV) and Deribit DVOL, 2021-01-01 to 2026-10-08</w:t>
      </w:r>
    </w:p>
    <w:p>
      <w:pPr>
        <w:spacing w:after="80"/>
        <w:jc w:val="center"/>
      </w:pPr>
      <w:r>
        <w:rPr>
          <w:b w:val="0"/>
          <w:i w:val="0"/>
          <w:sz w:val="22"/>
        </w:rPr>
        <w:t>Report rebuilt on live data, October 2026</w:t>
      </w:r>
    </w:p>
    <w:p>
      <w:r>
        <w:br w:type="page"/>
      </w:r>
    </w:p>
    <w:p>
      <w:pPr>
        <w:pStyle w:val="Heading1"/>
      </w:pPr>
      <w:r>
        <w:t>Contents</w:t>
      </w:r>
    </w:p>
    <w:p>
      <w:pPr>
        <w:tabs>
          <w:tab w:pos="9360" w:val="right" w:leader="dot"/>
        </w:tabs>
        <w:spacing w:after="60" w:before="60"/>
        <w:ind w:left="0"/>
      </w:pPr>
      <w:r>
        <w:rPr>
          <w:b/>
          <w:sz w:val="21"/>
        </w:rPr>
        <w:t>Executive Summary</w:t>
        <w:tab/>
        <w:t>3</w:t>
      </w:r>
    </w:p>
    <w:p>
      <w:pPr>
        <w:tabs>
          <w:tab w:pos="9360" w:val="right" w:leader="dot"/>
        </w:tabs>
        <w:spacing w:after="60" w:before="60"/>
        <w:ind w:left="0"/>
      </w:pPr>
      <w:r>
        <w:rPr>
          <w:b/>
          <w:sz w:val="21"/>
        </w:rPr>
        <w:t>1. Introduction</w:t>
        <w:tab/>
        <w:t>3</w:t>
      </w:r>
    </w:p>
    <w:p>
      <w:pPr>
        <w:tabs>
          <w:tab w:pos="9360" w:val="right" w:leader="dot"/>
        </w:tabs>
        <w:spacing w:after="60" w:before="60"/>
        <w:ind w:left="0"/>
      </w:pPr>
      <w:r>
        <w:rPr>
          <w:b/>
          <w:sz w:val="21"/>
        </w:rPr>
        <w:t>2. Literature Review</w:t>
        <w:tab/>
        <w:t>4</w:t>
      </w:r>
    </w:p>
    <w:p>
      <w:pPr>
        <w:tabs>
          <w:tab w:pos="9360" w:val="right" w:leader="dot"/>
        </w:tabs>
        <w:spacing w:after="20" w:before="0"/>
        <w:ind w:left="432"/>
      </w:pPr>
      <w:r>
        <w:rPr>
          <w:b w:val="0"/>
          <w:sz w:val="20"/>
        </w:rPr>
        <w:t>2.1 Momentum</w:t>
        <w:tab/>
        <w:t>4</w:t>
      </w:r>
    </w:p>
    <w:p>
      <w:pPr>
        <w:tabs>
          <w:tab w:pos="9360" w:val="right" w:leader="dot"/>
        </w:tabs>
        <w:spacing w:after="20" w:before="0"/>
        <w:ind w:left="432"/>
      </w:pPr>
      <w:r>
        <w:rPr>
          <w:b w:val="0"/>
          <w:sz w:val="20"/>
        </w:rPr>
        <w:t>2.2 Reversal</w:t>
        <w:tab/>
        <w:t>4</w:t>
      </w:r>
    </w:p>
    <w:p>
      <w:pPr>
        <w:tabs>
          <w:tab w:pos="9360" w:val="right" w:leader="dot"/>
        </w:tabs>
        <w:spacing w:after="20" w:before="0"/>
        <w:ind w:left="432"/>
      </w:pPr>
      <w:r>
        <w:rPr>
          <w:b w:val="0"/>
          <w:sz w:val="20"/>
        </w:rPr>
        <w:t>2.3 Relative value and pairs</w:t>
        <w:tab/>
        <w:t>4</w:t>
      </w:r>
    </w:p>
    <w:p>
      <w:pPr>
        <w:tabs>
          <w:tab w:pos="9360" w:val="right" w:leader="dot"/>
        </w:tabs>
        <w:spacing w:after="20" w:before="0"/>
        <w:ind w:left="432"/>
      </w:pPr>
      <w:r>
        <w:rPr>
          <w:b w:val="0"/>
          <w:sz w:val="20"/>
        </w:rPr>
        <w:t>2.4 Intraday patterns, execution and weighting</w:t>
        <w:tab/>
        <w:t>4</w:t>
      </w:r>
    </w:p>
    <w:p>
      <w:pPr>
        <w:tabs>
          <w:tab w:pos="9360" w:val="right" w:leader="dot"/>
        </w:tabs>
        <w:spacing w:after="60" w:before="60"/>
        <w:ind w:left="0"/>
      </w:pPr>
      <w:r>
        <w:rPr>
          <w:b/>
          <w:sz w:val="21"/>
        </w:rPr>
        <w:t>3. Data</w:t>
        <w:tab/>
        <w:t>5</w:t>
      </w:r>
    </w:p>
    <w:p>
      <w:pPr>
        <w:tabs>
          <w:tab w:pos="9360" w:val="right" w:leader="dot"/>
        </w:tabs>
        <w:spacing w:after="20" w:before="0"/>
        <w:ind w:left="432"/>
      </w:pPr>
      <w:r>
        <w:rPr>
          <w:b w:val="0"/>
          <w:sz w:val="20"/>
        </w:rPr>
        <w:t>3.1 Sources</w:t>
        <w:tab/>
        <w:t>5</w:t>
      </w:r>
    </w:p>
    <w:p>
      <w:pPr>
        <w:tabs>
          <w:tab w:pos="9360" w:val="right" w:leader="dot"/>
        </w:tabs>
        <w:spacing w:after="20" w:before="0"/>
        <w:ind w:left="432"/>
      </w:pPr>
      <w:r>
        <w:rPr>
          <w:b w:val="0"/>
          <w:sz w:val="20"/>
        </w:rPr>
        <w:t>3.2 Universe and themes</w:t>
        <w:tab/>
        <w:t>5</w:t>
      </w:r>
    </w:p>
    <w:p>
      <w:pPr>
        <w:tabs>
          <w:tab w:pos="9360" w:val="right" w:leader="dot"/>
        </w:tabs>
        <w:spacing w:after="20" w:before="0"/>
        <w:ind w:left="432"/>
      </w:pPr>
      <w:r>
        <w:rPr>
          <w:b w:val="0"/>
          <w:sz w:val="20"/>
        </w:rPr>
        <w:t>3.3 Cleaning</w:t>
        <w:tab/>
        <w:t>5</w:t>
      </w:r>
    </w:p>
    <w:p>
      <w:pPr>
        <w:tabs>
          <w:tab w:pos="9360" w:val="right" w:leader="dot"/>
        </w:tabs>
        <w:spacing w:after="60" w:before="60"/>
        <w:ind w:left="0"/>
      </w:pPr>
      <w:r>
        <w:rPr>
          <w:b/>
          <w:sz w:val="21"/>
        </w:rPr>
        <w:t>4. Backtest Methodology</w:t>
        <w:tab/>
        <w:t>5</w:t>
      </w:r>
    </w:p>
    <w:p>
      <w:pPr>
        <w:tabs>
          <w:tab w:pos="9360" w:val="right" w:leader="dot"/>
        </w:tabs>
        <w:spacing w:after="20" w:before="0"/>
        <w:ind w:left="432"/>
      </w:pPr>
      <w:r>
        <w:rPr>
          <w:b w:val="0"/>
          <w:sz w:val="20"/>
        </w:rPr>
        <w:t>4.1 Unconstrained backtest</w:t>
        <w:tab/>
        <w:t>5</w:t>
      </w:r>
    </w:p>
    <w:p>
      <w:pPr>
        <w:tabs>
          <w:tab w:pos="9360" w:val="right" w:leader="dot"/>
        </w:tabs>
        <w:spacing w:after="20" w:before="0"/>
        <w:ind w:left="432"/>
      </w:pPr>
      <w:r>
        <w:rPr>
          <w:b w:val="0"/>
          <w:sz w:val="20"/>
        </w:rPr>
        <w:t>4.2 Execution costs</w:t>
        <w:tab/>
        <w:t>6</w:t>
      </w:r>
    </w:p>
    <w:p>
      <w:pPr>
        <w:tabs>
          <w:tab w:pos="9360" w:val="right" w:leader="dot"/>
        </w:tabs>
        <w:spacing w:after="20" w:before="0"/>
        <w:ind w:left="432"/>
      </w:pPr>
      <w:r>
        <w:rPr>
          <w:b w:val="0"/>
          <w:sz w:val="20"/>
        </w:rPr>
        <w:t>4.3 Metrics</w:t>
        <w:tab/>
        <w:t>6</w:t>
      </w:r>
    </w:p>
    <w:p>
      <w:pPr>
        <w:tabs>
          <w:tab w:pos="9360" w:val="right" w:leader="dot"/>
        </w:tabs>
        <w:spacing w:after="20" w:before="0"/>
        <w:ind w:left="432"/>
      </w:pPr>
      <w:r>
        <w:rPr>
          <w:b w:val="0"/>
          <w:sz w:val="20"/>
        </w:rPr>
        <w:t>4.4 Research discipline</w:t>
        <w:tab/>
        <w:t>6</w:t>
      </w:r>
    </w:p>
    <w:p>
      <w:pPr>
        <w:tabs>
          <w:tab w:pos="9360" w:val="right" w:leader="dot"/>
        </w:tabs>
        <w:spacing w:after="60" w:before="60"/>
        <w:ind w:left="0"/>
      </w:pPr>
      <w:r>
        <w:rPr>
          <w:b/>
          <w:sz w:val="21"/>
        </w:rPr>
        <w:t>5. Momentum Research</w:t>
        <w:tab/>
        <w:t>6</w:t>
      </w:r>
    </w:p>
    <w:p>
      <w:pPr>
        <w:tabs>
          <w:tab w:pos="9360" w:val="right" w:leader="dot"/>
        </w:tabs>
        <w:spacing w:after="20" w:before="0"/>
        <w:ind w:left="432"/>
      </w:pPr>
      <w:r>
        <w:rPr>
          <w:b w:val="0"/>
          <w:sz w:val="20"/>
        </w:rPr>
        <w:t>5.1 Time horizon</w:t>
        <w:tab/>
        <w:t>6</w:t>
      </w:r>
    </w:p>
    <w:p>
      <w:pPr>
        <w:tabs>
          <w:tab w:pos="9360" w:val="right" w:leader="dot"/>
        </w:tabs>
        <w:spacing w:after="20" w:before="0"/>
        <w:ind w:left="432"/>
      </w:pPr>
      <w:r>
        <w:rPr>
          <w:b w:val="0"/>
          <w:sz w:val="20"/>
        </w:rPr>
        <w:t>5.2 New information and activity</w:t>
        <w:tab/>
        <w:t>7</w:t>
      </w:r>
    </w:p>
    <w:p>
      <w:pPr>
        <w:tabs>
          <w:tab w:pos="9360" w:val="right" w:leader="dot"/>
        </w:tabs>
        <w:spacing w:after="20" w:before="0"/>
        <w:ind w:left="432"/>
      </w:pPr>
      <w:r>
        <w:rPr>
          <w:b w:val="0"/>
          <w:sz w:val="20"/>
        </w:rPr>
        <w:t>5.3 Seasonality: weekdays vs weekends, day vs night</w:t>
        <w:tab/>
        <w:t>8</w:t>
      </w:r>
    </w:p>
    <w:p>
      <w:pPr>
        <w:tabs>
          <w:tab w:pos="9360" w:val="right" w:leader="dot"/>
        </w:tabs>
        <w:spacing w:after="20" w:before="0"/>
        <w:ind w:left="432"/>
      </w:pPr>
      <w:r>
        <w:rPr>
          <w:b w:val="0"/>
          <w:sz w:val="20"/>
        </w:rPr>
        <w:t>5.4 Investment themes</w:t>
        <w:tab/>
        <w:t>9</w:t>
      </w:r>
    </w:p>
    <w:p>
      <w:pPr>
        <w:tabs>
          <w:tab w:pos="9360" w:val="right" w:leader="dot"/>
        </w:tabs>
        <w:spacing w:after="20" w:before="0"/>
        <w:ind w:left="432"/>
      </w:pPr>
      <w:r>
        <w:rPr>
          <w:b w:val="0"/>
          <w:sz w:val="20"/>
        </w:rPr>
        <w:t>5.5 Technical plays: front-running institutional hours</w:t>
        <w:tab/>
        <w:t>9</w:t>
      </w:r>
    </w:p>
    <w:p>
      <w:pPr>
        <w:tabs>
          <w:tab w:pos="9360" w:val="right" w:leader="dot"/>
        </w:tabs>
        <w:spacing w:after="60" w:before="60"/>
        <w:ind w:left="0"/>
      </w:pPr>
      <w:r>
        <w:rPr>
          <w:b/>
          <w:sz w:val="21"/>
        </w:rPr>
        <w:t>6. Reversal Research</w:t>
        <w:tab/>
        <w:t>10</w:t>
      </w:r>
    </w:p>
    <w:p>
      <w:pPr>
        <w:tabs>
          <w:tab w:pos="9360" w:val="right" w:leader="dot"/>
        </w:tabs>
        <w:spacing w:after="20" w:before="0"/>
        <w:ind w:left="432"/>
      </w:pPr>
      <w:r>
        <w:rPr>
          <w:b w:val="0"/>
          <w:sz w:val="20"/>
        </w:rPr>
        <w:t>6.1 Time horizon: intraday and long-horizon reversal</w:t>
        <w:tab/>
        <w:t>10</w:t>
      </w:r>
    </w:p>
    <w:p>
      <w:pPr>
        <w:tabs>
          <w:tab w:pos="9360" w:val="right" w:leader="dot"/>
        </w:tabs>
        <w:spacing w:after="20" w:before="0"/>
        <w:ind w:left="432"/>
      </w:pPr>
      <w:r>
        <w:rPr>
          <w:b w:val="0"/>
          <w:sz w:val="20"/>
        </w:rPr>
        <w:t>6.2 Uninformed trading</w:t>
        <w:tab/>
        <w:t>10</w:t>
      </w:r>
    </w:p>
    <w:p>
      <w:pPr>
        <w:tabs>
          <w:tab w:pos="9360" w:val="right" w:leader="dot"/>
        </w:tabs>
        <w:spacing w:after="20" w:before="0"/>
        <w:ind w:left="432"/>
      </w:pPr>
      <w:r>
        <w:rPr>
          <w:b w:val="0"/>
          <w:sz w:val="20"/>
        </w:rPr>
        <w:t>6.3 Correlation: residual baskets and cointegrated pairs</w:t>
        <w:tab/>
        <w:t>11</w:t>
      </w:r>
    </w:p>
    <w:p>
      <w:pPr>
        <w:tabs>
          <w:tab w:pos="9360" w:val="right" w:leader="dot"/>
        </w:tabs>
        <w:spacing w:after="20" w:before="0"/>
        <w:ind w:left="432"/>
      </w:pPr>
      <w:r>
        <w:rPr>
          <w:b w:val="0"/>
          <w:sz w:val="20"/>
        </w:rPr>
        <w:t>6.4 Macro: volatility and dislocation</w:t>
        <w:tab/>
        <w:t>11</w:t>
      </w:r>
    </w:p>
    <w:p>
      <w:pPr>
        <w:tabs>
          <w:tab w:pos="9360" w:val="right" w:leader="dot"/>
        </w:tabs>
        <w:spacing w:after="60" w:before="60"/>
        <w:ind w:left="0"/>
      </w:pPr>
      <w:r>
        <w:rPr>
          <w:b/>
          <w:sz w:val="21"/>
        </w:rPr>
        <w:t>7. Execution</w:t>
        <w:tab/>
        <w:t>12</w:t>
      </w:r>
    </w:p>
    <w:p>
      <w:pPr>
        <w:tabs>
          <w:tab w:pos="9360" w:val="right" w:leader="dot"/>
        </w:tabs>
        <w:spacing w:after="60" w:before="60"/>
        <w:ind w:left="0"/>
      </w:pPr>
      <w:r>
        <w:rPr>
          <w:b/>
          <w:sz w:val="21"/>
        </w:rPr>
        <w:t>8. Strategy Selection</w:t>
        <w:tab/>
        <w:t>13</w:t>
      </w:r>
    </w:p>
    <w:p>
      <w:pPr>
        <w:tabs>
          <w:tab w:pos="9360" w:val="right" w:leader="dot"/>
        </w:tabs>
        <w:spacing w:after="60" w:before="60"/>
        <w:ind w:left="0"/>
      </w:pPr>
      <w:r>
        <w:rPr>
          <w:b/>
          <w:sz w:val="21"/>
        </w:rPr>
        <w:t>9. Weighting</w:t>
        <w:tab/>
        <w:t>14</w:t>
      </w:r>
    </w:p>
    <w:p>
      <w:pPr>
        <w:tabs>
          <w:tab w:pos="9360" w:val="right" w:leader="dot"/>
        </w:tabs>
        <w:spacing w:after="20" w:before="0"/>
        <w:ind w:left="432"/>
      </w:pPr>
      <w:r>
        <w:rPr>
          <w:b w:val="0"/>
          <w:sz w:val="20"/>
        </w:rPr>
        <w:t>9.1 Robustness of the selection</w:t>
        <w:tab/>
        <w:t>14</w:t>
      </w:r>
    </w:p>
    <w:p>
      <w:pPr>
        <w:tabs>
          <w:tab w:pos="9360" w:val="right" w:leader="dot"/>
        </w:tabs>
        <w:spacing w:after="60" w:before="60"/>
        <w:ind w:left="0"/>
      </w:pPr>
      <w:r>
        <w:rPr>
          <w:b/>
          <w:sz w:val="21"/>
        </w:rPr>
        <w:t>10. Performance Evaluation</w:t>
        <w:tab/>
        <w:t>15</w:t>
      </w:r>
    </w:p>
    <w:p>
      <w:pPr>
        <w:tabs>
          <w:tab w:pos="9360" w:val="right" w:leader="dot"/>
        </w:tabs>
        <w:spacing w:after="60" w:before="60"/>
        <w:ind w:left="0"/>
      </w:pPr>
      <w:r>
        <w:rPr>
          <w:b/>
          <w:sz w:val="21"/>
        </w:rPr>
        <w:t>11. Discussion</w:t>
        <w:tab/>
        <w:t>17</w:t>
      </w:r>
    </w:p>
    <w:p>
      <w:pPr>
        <w:tabs>
          <w:tab w:pos="9360" w:val="right" w:leader="dot"/>
        </w:tabs>
        <w:spacing w:after="20" w:before="0"/>
        <w:ind w:left="432"/>
      </w:pPr>
      <w:r>
        <w:rPr>
          <w:b w:val="0"/>
          <w:sz w:val="20"/>
        </w:rPr>
        <w:t>11.1 What the research shows</w:t>
        <w:tab/>
        <w:t>17</w:t>
      </w:r>
    </w:p>
    <w:p>
      <w:pPr>
        <w:tabs>
          <w:tab w:pos="9360" w:val="right" w:leader="dot"/>
        </w:tabs>
        <w:spacing w:after="20" w:before="0"/>
        <w:ind w:left="432"/>
      </w:pPr>
      <w:r>
        <w:rPr>
          <w:b w:val="0"/>
          <w:sz w:val="20"/>
        </w:rPr>
        <w:t>11.2 Comparison with the July version</w:t>
        <w:tab/>
        <w:t>17</w:t>
      </w:r>
    </w:p>
    <w:p>
      <w:pPr>
        <w:tabs>
          <w:tab w:pos="9360" w:val="right" w:leader="dot"/>
        </w:tabs>
        <w:spacing w:after="20" w:before="0"/>
        <w:ind w:left="432"/>
      </w:pPr>
      <w:r>
        <w:rPr>
          <w:b w:val="0"/>
          <w:sz w:val="20"/>
        </w:rPr>
        <w:t>11.3 Limitations</w:t>
        <w:tab/>
        <w:t>17</w:t>
      </w:r>
    </w:p>
    <w:p>
      <w:pPr>
        <w:tabs>
          <w:tab w:pos="9360" w:val="right" w:leader="dot"/>
        </w:tabs>
        <w:spacing w:after="20" w:before="0"/>
        <w:ind w:left="432"/>
      </w:pPr>
      <w:r>
        <w:rPr>
          <w:b w:val="0"/>
          <w:sz w:val="20"/>
        </w:rPr>
        <w:t>11.4 Next steps</w:t>
        <w:tab/>
        <w:t>18</w:t>
      </w:r>
    </w:p>
    <w:p>
      <w:pPr>
        <w:tabs>
          <w:tab w:pos="9360" w:val="right" w:leader="dot"/>
        </w:tabs>
        <w:spacing w:after="60" w:before="60"/>
        <w:ind w:left="0"/>
      </w:pPr>
      <w:r>
        <w:rPr>
          <w:b/>
          <w:sz w:val="21"/>
        </w:rPr>
        <w:t>12. Conclusion</w:t>
        <w:tab/>
        <w:t>18</w:t>
      </w:r>
    </w:p>
    <w:p>
      <w:pPr>
        <w:tabs>
          <w:tab w:pos="9360" w:val="right" w:leader="dot"/>
        </w:tabs>
        <w:spacing w:after="60" w:before="60"/>
        <w:ind w:left="0"/>
      </w:pPr>
      <w:r>
        <w:rPr>
          <w:b/>
          <w:sz w:val="21"/>
        </w:rPr>
        <w:t>Appendix A. Reproducibility</w:t>
        <w:tab/>
        <w:t>18</w:t>
      </w:r>
    </w:p>
    <w:p>
      <w:pPr>
        <w:tabs>
          <w:tab w:pos="9360" w:val="right" w:leader="dot"/>
        </w:tabs>
        <w:spacing w:after="60" w:before="60"/>
        <w:ind w:left="0"/>
      </w:pPr>
      <w:r>
        <w:rPr>
          <w:b/>
          <w:sz w:val="21"/>
        </w:rPr>
        <w:t>References</w:t>
        <w:tab/>
        <w:t>18</w:t>
      </w:r>
    </w:p>
    <w:p>
      <w:r>
        <w:br w:type="page"/>
      </w:r>
    </w:p>
    <w:p>
      <w:pPr>
        <w:pStyle w:val="Heading1"/>
      </w:pPr>
      <w:r>
        <w:t>Executive Summary</w:t>
      </w:r>
    </w:p>
    <w:p>
      <w:pPr>
        <w:spacing w:after="120"/>
      </w:pPr>
      <w:r>
        <w:rPr>
          <w:b w:val="0"/>
          <w:i w:val="0"/>
        </w:rPr>
        <w:t>This report answers the Wall Street Quants class project brief: research profitable momentum and/or reversal strategies in cryptocurrencies, test them with unconstrained backtests under the brief's execution costs (20 bps for market orders, 7 bps for limit orders), combine the strategies with a weighting scheme, and report returns, volatility, Sharpe ratios, maximum drawdowns and alpha / beta. The study uses live market data through 2026-10-08: daily and hourly prices for 16 liquid coins from the Coinbase Exchange API and the Deribit DVOL implied-volatility index. Every item in the brief's research outline is tested: time horizon, new information / activity, seasonality, investment themes, technical plays, uninformed trading, correlation, and macro dislocation. All parameters were chosen on a research period (2021-07 to 2023-12) and the strategies were then run untouched over a hold-out period (2024-01-01 to 2026-10-08).</w:t>
      </w:r>
    </w:p>
    <w:p>
      <w:pPr>
        <w:spacing w:after="60"/>
      </w:pPr>
      <w:r>
        <w:rPr>
          <w:b/>
          <w:i w:val="0"/>
        </w:rPr>
        <w:t>Key findings</w:t>
      </w:r>
    </w:p>
    <w:p>
      <w:pPr>
        <w:pStyle w:val="ListBullet"/>
      </w:pPr>
      <w:r>
        <w:rPr>
          <w:b/>
        </w:rPr>
        <w:t xml:space="preserve">Horizon decides the sign. </w:t>
      </w:r>
      <w:r>
        <w:t>Daily horizons from 1 to 30 days show momentum, not reversal. Cross-sectional momentum peaks at a 14-day look-back (gross Sharpe 1.09). Reversal appears only at the extremes: intraday (1-24 hour) horizons and long (60-90 day) horizons. This matches crypto-specific evidence and is the opposite of the equity intuition in the brief.</w:t>
      </w:r>
    </w:p>
    <w:p>
      <w:pPr>
        <w:pStyle w:val="ListBullet"/>
      </w:pPr>
      <w:r>
        <w:rPr>
          <w:b/>
        </w:rPr>
        <w:t xml:space="preserve">Intraday reversal is strong but untradeable. </w:t>
      </w:r>
      <w:r>
        <w:t>A 1-hour cross-sectional reversal earns a gross Sharpe of 4.91, but it trades 1.34x its capital per hour, so even 7 bps limit orders turn it into a large loss. Short-horizon reversal is real but not investable at the brief's costs.</w:t>
      </w:r>
    </w:p>
    <w:p>
      <w:pPr>
        <w:pStyle w:val="ListBullet"/>
      </w:pPr>
      <w:r>
        <w:rPr>
          <w:b/>
        </w:rPr>
        <w:t xml:space="preserve">Activity, seasonality, themes and macro all matter. </w:t>
      </w:r>
      <w:r>
        <w:t>Volume shocks strengthen short-horizon momentum, momentum is far stronger on weekends than on weekdays, theme (sector) momentum is the strongest gross signal in the research period, and time-series momentum breaks down when implied volatility is high.</w:t>
      </w:r>
    </w:p>
    <w:p>
      <w:pPr>
        <w:pStyle w:val="ListBullet"/>
      </w:pPr>
      <w:r>
        <w:rPr>
          <w:b/>
        </w:rPr>
        <w:t xml:space="preserve">The combined strategy is market-neutral and positive after costs. </w:t>
      </w:r>
      <w:r>
        <w:t>The final strategy pairs a momentum ensemble (time-series, theme and cross-sectional momentum) with a long-horizon reversal book, weighted by mean-variance (shrunk). Over 2021-12-28 to 2026-10-08 it earns 20.2% a year at 19.7% volatility: Sharpe 1.02, max drawdown -28.1%, alpha 20.6% a year (t = 2.19) and beta to Bitcoin of -0.02.</w:t>
      </w:r>
    </w:p>
    <w:p>
      <w:pPr>
        <w:pStyle w:val="ListBullet"/>
      </w:pPr>
      <w:r>
        <w:rPr>
          <w:b/>
        </w:rPr>
        <w:t xml:space="preserve">Out-of-sample decay is real. </w:t>
      </w:r>
      <w:r>
        <w:t>In the hold-out period the combined Sharpe is 0.55 (vs 1.71 in the research period). Reversal held up (1.00) while momentum decayed (0.22). Picking the single best momentum strategy from the research period would have failed (-0.61 hold-out Sharpe), which is why the final design diversifies across momentum families.</w:t>
      </w:r>
    </w:p>
    <w:p>
      <w:pPr>
        <w:keepNext/>
        <w:spacing w:after="60"/>
      </w:pPr>
      <w:r>
        <w:rPr>
          <w:b/>
          <w:sz w:val="20"/>
        </w:rPr>
        <w:t>Table 1. Headline performance, 2021-12-28 to 2026-10-08 (net of costs).</w:t>
      </w:r>
    </w:p>
    <w:tbl>
      <w:tblPr>
        <w:tblStyle w:val="TableGrid"/>
        <w:tblW w:type="auto" w:w="0"/>
        <w:jc w:val="center"/>
        <w:tblLayout w:type="fixed"/>
        <w:tblLook w:firstColumn="1" w:firstRow="1" w:lastColumn="0" w:lastRow="0" w:noHBand="0" w:noVBand="1" w:val="04A0"/>
      </w:tblPr>
      <w:tblGrid>
        <w:gridCol w:w="3168"/>
        <w:gridCol w:w="892"/>
        <w:gridCol w:w="835"/>
        <w:gridCol w:w="892"/>
        <w:gridCol w:w="864"/>
        <w:gridCol w:w="892"/>
        <w:gridCol w:w="892"/>
        <w:gridCol w:w="864"/>
      </w:tblGrid>
      <w:tr>
        <w:tc>
          <w:tcPr>
            <w:tcW w:type="dxa" w:w="3168"/>
            <w:shd w:val="clear" w:fill="1F3864"/>
          </w:tcPr>
          <w:p>
            <w:pPr>
              <w:jc w:val="left"/>
            </w:pPr>
            <w:r/>
            <w:r>
              <w:rPr>
                <w:b/>
                <w:color w:val="FFFFFF"/>
                <w:sz w:val="18"/>
              </w:rPr>
              <w:t>Strategy</w:t>
            </w:r>
          </w:p>
        </w:tc>
        <w:tc>
          <w:tcPr>
            <w:tcW w:type="dxa" w:w="893"/>
            <w:shd w:val="clear" w:fill="1F3864"/>
          </w:tcPr>
          <w:p>
            <w:pPr>
              <w:jc w:val="center"/>
            </w:pPr>
            <w:r/>
            <w:r>
              <w:rPr>
                <w:b/>
                <w:color w:val="FFFFFF"/>
                <w:sz w:val="18"/>
              </w:rPr>
              <w:t>Ann. return</w:t>
            </w:r>
          </w:p>
        </w:tc>
        <w:tc>
          <w:tcPr>
            <w:tcW w:type="dxa" w:w="835"/>
            <w:shd w:val="clear" w:fill="1F3864"/>
          </w:tcPr>
          <w:p>
            <w:pPr>
              <w:jc w:val="center"/>
            </w:pPr>
            <w:r/>
            <w:r>
              <w:rPr>
                <w:b/>
                <w:color w:val="FFFFFF"/>
                <w:sz w:val="18"/>
              </w:rPr>
              <w:t>Ann. vol</w:t>
            </w:r>
          </w:p>
        </w:tc>
        <w:tc>
          <w:tcPr>
            <w:tcW w:type="dxa" w:w="893"/>
            <w:shd w:val="clear" w:fill="1F3864"/>
          </w:tcPr>
          <w:p>
            <w:pPr>
              <w:jc w:val="center"/>
            </w:pPr>
            <w:r/>
            <w:r>
              <w:rPr>
                <w:b/>
                <w:color w:val="FFFFFF"/>
                <w:sz w:val="18"/>
              </w:rPr>
              <w:t>Sharpe</w:t>
            </w:r>
          </w:p>
        </w:tc>
        <w:tc>
          <w:tcPr>
            <w:tcW w:type="dxa" w:w="864"/>
            <w:shd w:val="clear" w:fill="1F3864"/>
          </w:tcPr>
          <w:p>
            <w:pPr>
              <w:jc w:val="center"/>
            </w:pPr>
            <w:r/>
            <w:r>
              <w:rPr>
                <w:b/>
                <w:color w:val="FFFFFF"/>
                <w:sz w:val="18"/>
              </w:rPr>
              <w:t>Max DD</w:t>
            </w:r>
          </w:p>
        </w:tc>
        <w:tc>
          <w:tcPr>
            <w:tcW w:type="dxa" w:w="893"/>
            <w:shd w:val="clear" w:fill="1F3864"/>
          </w:tcPr>
          <w:p>
            <w:pPr>
              <w:jc w:val="center"/>
            </w:pPr>
            <w:r/>
            <w:r>
              <w:rPr>
                <w:b/>
                <w:color w:val="FFFFFF"/>
                <w:sz w:val="18"/>
              </w:rPr>
              <w:t>Alpha (ann.)</w:t>
            </w:r>
          </w:p>
        </w:tc>
        <w:tc>
          <w:tcPr>
            <w:tcW w:type="dxa" w:w="893"/>
            <w:shd w:val="clear" w:fill="1F3864"/>
          </w:tcPr>
          <w:p>
            <w:pPr>
              <w:jc w:val="center"/>
            </w:pPr>
            <w:r/>
            <w:r>
              <w:rPr>
                <w:b/>
                <w:color w:val="FFFFFF"/>
                <w:sz w:val="18"/>
              </w:rPr>
              <w:t>Beta (BTC)</w:t>
            </w:r>
          </w:p>
        </w:tc>
        <w:tc>
          <w:tcPr>
            <w:tcW w:type="dxa" w:w="864"/>
            <w:shd w:val="clear" w:fill="1F3864"/>
          </w:tcPr>
          <w:p>
            <w:pPr>
              <w:jc w:val="center"/>
            </w:pPr>
            <w:r/>
            <w:r>
              <w:rPr>
                <w:b/>
                <w:color w:val="FFFFFF"/>
                <w:sz w:val="18"/>
              </w:rPr>
              <w:t>Alpha t</w:t>
            </w:r>
          </w:p>
        </w:tc>
      </w:tr>
      <w:tr>
        <w:tc>
          <w:tcPr>
            <w:tcW w:type="dxa" w:w="3168"/>
            <w:shd w:val="clear" w:fill="DCE6F1"/>
          </w:tcPr>
          <w:p>
            <w:pPr>
              <w:spacing w:after="0"/>
            </w:pPr>
            <w:r/>
            <w:r>
              <w:rPr>
                <w:b/>
                <w:sz w:val="18"/>
              </w:rPr>
              <w:t>Combined portfolio *</w:t>
            </w:r>
          </w:p>
        </w:tc>
        <w:tc>
          <w:tcPr>
            <w:tcW w:type="dxa" w:w="893"/>
            <w:shd w:val="clear" w:fill="DCE6F1"/>
          </w:tcPr>
          <w:p>
            <w:pPr>
              <w:spacing w:after="0"/>
              <w:jc w:val="center"/>
            </w:pPr>
            <w:r/>
            <w:r>
              <w:rPr>
                <w:b/>
                <w:sz w:val="18"/>
              </w:rPr>
              <w:t>20.2%</w:t>
            </w:r>
          </w:p>
        </w:tc>
        <w:tc>
          <w:tcPr>
            <w:tcW w:type="dxa" w:w="835"/>
            <w:shd w:val="clear" w:fill="DCE6F1"/>
          </w:tcPr>
          <w:p>
            <w:pPr>
              <w:spacing w:after="0"/>
              <w:jc w:val="center"/>
            </w:pPr>
            <w:r/>
            <w:r>
              <w:rPr>
                <w:b/>
                <w:sz w:val="18"/>
              </w:rPr>
              <w:t>19.7%</w:t>
            </w:r>
          </w:p>
        </w:tc>
        <w:tc>
          <w:tcPr>
            <w:tcW w:type="dxa" w:w="893"/>
            <w:shd w:val="clear" w:fill="DCE6F1"/>
          </w:tcPr>
          <w:p>
            <w:pPr>
              <w:spacing w:after="0"/>
              <w:jc w:val="center"/>
            </w:pPr>
            <w:r/>
            <w:r>
              <w:rPr>
                <w:b/>
                <w:sz w:val="18"/>
              </w:rPr>
              <w:t>1.02</w:t>
            </w:r>
          </w:p>
        </w:tc>
        <w:tc>
          <w:tcPr>
            <w:tcW w:type="dxa" w:w="864"/>
            <w:shd w:val="clear" w:fill="DCE6F1"/>
          </w:tcPr>
          <w:p>
            <w:pPr>
              <w:spacing w:after="0"/>
              <w:jc w:val="center"/>
            </w:pPr>
            <w:r/>
            <w:r>
              <w:rPr>
                <w:b/>
                <w:sz w:val="18"/>
              </w:rPr>
              <w:t>-28.1%</w:t>
            </w:r>
          </w:p>
        </w:tc>
        <w:tc>
          <w:tcPr>
            <w:tcW w:type="dxa" w:w="893"/>
            <w:shd w:val="clear" w:fill="DCE6F1"/>
          </w:tcPr>
          <w:p>
            <w:pPr>
              <w:spacing w:after="0"/>
              <w:jc w:val="center"/>
            </w:pPr>
            <w:r/>
            <w:r>
              <w:rPr>
                <w:b/>
                <w:sz w:val="18"/>
              </w:rPr>
              <w:t>20.6%</w:t>
            </w:r>
          </w:p>
        </w:tc>
        <w:tc>
          <w:tcPr>
            <w:tcW w:type="dxa" w:w="893"/>
            <w:shd w:val="clear" w:fill="DCE6F1"/>
          </w:tcPr>
          <w:p>
            <w:pPr>
              <w:spacing w:after="0"/>
              <w:jc w:val="center"/>
            </w:pPr>
            <w:r/>
            <w:r>
              <w:rPr>
                <w:b/>
                <w:sz w:val="18"/>
              </w:rPr>
              <w:t>-0.02</w:t>
            </w:r>
          </w:p>
        </w:tc>
        <w:tc>
          <w:tcPr>
            <w:tcW w:type="dxa" w:w="864"/>
            <w:shd w:val="clear" w:fill="DCE6F1"/>
          </w:tcPr>
          <w:p>
            <w:pPr>
              <w:spacing w:after="0"/>
              <w:jc w:val="center"/>
            </w:pPr>
            <w:r/>
            <w:r>
              <w:rPr>
                <w:b/>
                <w:sz w:val="18"/>
              </w:rPr>
              <w:t>2.19</w:t>
            </w:r>
          </w:p>
        </w:tc>
      </w:tr>
      <w:tr>
        <w:tc>
          <w:tcPr>
            <w:tcW w:type="dxa" w:w="3168"/>
          </w:tcPr>
          <w:p>
            <w:pPr>
              <w:spacing w:after="0"/>
            </w:pPr>
            <w:r/>
            <w:r>
              <w:rPr>
                <w:sz w:val="18"/>
              </w:rPr>
              <w:t>Combined (all trades at 20 bps)</w:t>
            </w:r>
          </w:p>
        </w:tc>
        <w:tc>
          <w:tcPr>
            <w:tcW w:type="dxa" w:w="893"/>
          </w:tcPr>
          <w:p>
            <w:pPr>
              <w:spacing w:after="0"/>
              <w:jc w:val="center"/>
            </w:pPr>
            <w:r/>
            <w:r>
              <w:rPr>
                <w:sz w:val="18"/>
              </w:rPr>
              <w:t>17.3%</w:t>
            </w:r>
          </w:p>
        </w:tc>
        <w:tc>
          <w:tcPr>
            <w:tcW w:type="dxa" w:w="835"/>
          </w:tcPr>
          <w:p>
            <w:pPr>
              <w:spacing w:after="0"/>
              <w:jc w:val="center"/>
            </w:pPr>
            <w:r/>
            <w:r>
              <w:rPr>
                <w:sz w:val="18"/>
              </w:rPr>
              <w:t>19.8%</w:t>
            </w:r>
          </w:p>
        </w:tc>
        <w:tc>
          <w:tcPr>
            <w:tcW w:type="dxa" w:w="893"/>
          </w:tcPr>
          <w:p>
            <w:pPr>
              <w:spacing w:after="0"/>
              <w:jc w:val="center"/>
            </w:pPr>
            <w:r/>
            <w:r>
              <w:rPr>
                <w:sz w:val="18"/>
              </w:rPr>
              <w:t>0.88</w:t>
            </w:r>
          </w:p>
        </w:tc>
        <w:tc>
          <w:tcPr>
            <w:tcW w:type="dxa" w:w="864"/>
          </w:tcPr>
          <w:p>
            <w:pPr>
              <w:spacing w:after="0"/>
              <w:jc w:val="center"/>
            </w:pPr>
            <w:r/>
            <w:r>
              <w:rPr>
                <w:sz w:val="18"/>
              </w:rPr>
              <w:t>-28.6%</w:t>
            </w:r>
          </w:p>
        </w:tc>
        <w:tc>
          <w:tcPr>
            <w:tcW w:type="dxa" w:w="893"/>
          </w:tcPr>
          <w:p>
            <w:pPr>
              <w:spacing w:after="0"/>
              <w:jc w:val="center"/>
            </w:pPr>
            <w:r/>
            <w:r>
              <w:rPr>
                <w:sz w:val="18"/>
              </w:rPr>
              <w:t>17.8%</w:t>
            </w:r>
          </w:p>
        </w:tc>
        <w:tc>
          <w:tcPr>
            <w:tcW w:type="dxa" w:w="893"/>
          </w:tcPr>
          <w:p>
            <w:pPr>
              <w:spacing w:after="0"/>
              <w:jc w:val="center"/>
            </w:pPr>
            <w:r/>
            <w:r>
              <w:rPr>
                <w:sz w:val="18"/>
              </w:rPr>
              <w:t>-0.02</w:t>
            </w:r>
          </w:p>
        </w:tc>
        <w:tc>
          <w:tcPr>
            <w:tcW w:type="dxa" w:w="864"/>
          </w:tcPr>
          <w:p>
            <w:pPr>
              <w:spacing w:after="0"/>
              <w:jc w:val="center"/>
            </w:pPr>
            <w:r/>
            <w:r>
              <w:rPr>
                <w:sz w:val="18"/>
              </w:rPr>
              <w:t>1.88</w:t>
            </w:r>
          </w:p>
        </w:tc>
      </w:tr>
      <w:tr>
        <w:tc>
          <w:tcPr>
            <w:tcW w:type="dxa" w:w="3168"/>
          </w:tcPr>
          <w:p>
            <w:pPr>
              <w:spacing w:after="0"/>
            </w:pPr>
            <w:r/>
            <w:r>
              <w:rPr>
                <w:sz w:val="18"/>
              </w:rPr>
              <w:t>Momentum ensemble (20 bps market)</w:t>
            </w:r>
          </w:p>
        </w:tc>
        <w:tc>
          <w:tcPr>
            <w:tcW w:type="dxa" w:w="893"/>
          </w:tcPr>
          <w:p>
            <w:pPr>
              <w:spacing w:after="0"/>
              <w:jc w:val="center"/>
            </w:pPr>
            <w:r/>
            <w:r>
              <w:rPr>
                <w:sz w:val="18"/>
              </w:rPr>
              <w:t>22.3%</w:t>
            </w:r>
          </w:p>
        </w:tc>
        <w:tc>
          <w:tcPr>
            <w:tcW w:type="dxa" w:w="835"/>
          </w:tcPr>
          <w:p>
            <w:pPr>
              <w:spacing w:after="0"/>
              <w:jc w:val="center"/>
            </w:pPr>
            <w:r/>
            <w:r>
              <w:rPr>
                <w:sz w:val="18"/>
              </w:rPr>
              <w:t>33.3%</w:t>
            </w:r>
          </w:p>
        </w:tc>
        <w:tc>
          <w:tcPr>
            <w:tcW w:type="dxa" w:w="893"/>
          </w:tcPr>
          <w:p>
            <w:pPr>
              <w:spacing w:after="0"/>
              <w:jc w:val="center"/>
            </w:pPr>
            <w:r/>
            <w:r>
              <w:rPr>
                <w:sz w:val="18"/>
              </w:rPr>
              <w:t>0.67</w:t>
            </w:r>
          </w:p>
        </w:tc>
        <w:tc>
          <w:tcPr>
            <w:tcW w:type="dxa" w:w="864"/>
          </w:tcPr>
          <w:p>
            <w:pPr>
              <w:spacing w:after="0"/>
              <w:jc w:val="center"/>
            </w:pPr>
            <w:r/>
            <w:r>
              <w:rPr>
                <w:sz w:val="18"/>
              </w:rPr>
              <w:t>-31.1%</w:t>
            </w:r>
          </w:p>
        </w:tc>
        <w:tc>
          <w:tcPr>
            <w:tcW w:type="dxa" w:w="893"/>
          </w:tcPr>
          <w:p>
            <w:pPr>
              <w:spacing w:after="0"/>
              <w:jc w:val="center"/>
            </w:pPr>
            <w:r/>
            <w:r>
              <w:rPr>
                <w:sz w:val="18"/>
              </w:rPr>
              <w:t>25.2%</w:t>
            </w:r>
          </w:p>
        </w:tc>
        <w:tc>
          <w:tcPr>
            <w:tcW w:type="dxa" w:w="893"/>
          </w:tcPr>
          <w:p>
            <w:pPr>
              <w:spacing w:after="0"/>
              <w:jc w:val="center"/>
            </w:pPr>
            <w:r/>
            <w:r>
              <w:rPr>
                <w:sz w:val="18"/>
              </w:rPr>
              <w:t>-0.13</w:t>
            </w:r>
          </w:p>
        </w:tc>
        <w:tc>
          <w:tcPr>
            <w:tcW w:type="dxa" w:w="864"/>
          </w:tcPr>
          <w:p>
            <w:pPr>
              <w:spacing w:after="0"/>
              <w:jc w:val="center"/>
            </w:pPr>
            <w:r/>
            <w:r>
              <w:rPr>
                <w:sz w:val="18"/>
              </w:rPr>
              <w:t>1.68</w:t>
            </w:r>
          </w:p>
        </w:tc>
      </w:tr>
      <w:tr>
        <w:tc>
          <w:tcPr>
            <w:tcW w:type="dxa" w:w="3168"/>
          </w:tcPr>
          <w:p>
            <w:pPr>
              <w:spacing w:after="0"/>
            </w:pPr>
            <w:r/>
            <w:r>
              <w:rPr>
                <w:sz w:val="18"/>
              </w:rPr>
              <w:t>Reversal (7 bps limit)</w:t>
            </w:r>
          </w:p>
        </w:tc>
        <w:tc>
          <w:tcPr>
            <w:tcW w:type="dxa" w:w="893"/>
          </w:tcPr>
          <w:p>
            <w:pPr>
              <w:spacing w:after="0"/>
              <w:jc w:val="center"/>
            </w:pPr>
            <w:r/>
            <w:r>
              <w:rPr>
                <w:sz w:val="18"/>
              </w:rPr>
              <w:t>18.7%</w:t>
            </w:r>
          </w:p>
        </w:tc>
        <w:tc>
          <w:tcPr>
            <w:tcW w:type="dxa" w:w="835"/>
          </w:tcPr>
          <w:p>
            <w:pPr>
              <w:spacing w:after="0"/>
              <w:jc w:val="center"/>
            </w:pPr>
            <w:r/>
            <w:r>
              <w:rPr>
                <w:sz w:val="18"/>
              </w:rPr>
              <w:t>19.6%</w:t>
            </w:r>
          </w:p>
        </w:tc>
        <w:tc>
          <w:tcPr>
            <w:tcW w:type="dxa" w:w="893"/>
          </w:tcPr>
          <w:p>
            <w:pPr>
              <w:spacing w:after="0"/>
              <w:jc w:val="center"/>
            </w:pPr>
            <w:r/>
            <w:r>
              <w:rPr>
                <w:sz w:val="18"/>
              </w:rPr>
              <w:t>0.95</w:t>
            </w:r>
          </w:p>
        </w:tc>
        <w:tc>
          <w:tcPr>
            <w:tcW w:type="dxa" w:w="864"/>
          </w:tcPr>
          <w:p>
            <w:pPr>
              <w:spacing w:after="0"/>
              <w:jc w:val="center"/>
            </w:pPr>
            <w:r/>
            <w:r>
              <w:rPr>
                <w:sz w:val="18"/>
              </w:rPr>
              <w:t>-33.7%</w:t>
            </w:r>
          </w:p>
        </w:tc>
        <w:tc>
          <w:tcPr>
            <w:tcW w:type="dxa" w:w="893"/>
          </w:tcPr>
          <w:p>
            <w:pPr>
              <w:spacing w:after="0"/>
              <w:jc w:val="center"/>
            </w:pPr>
            <w:r/>
            <w:r>
              <w:rPr>
                <w:sz w:val="18"/>
              </w:rPr>
              <w:t>18.7%</w:t>
            </w:r>
          </w:p>
        </w:tc>
        <w:tc>
          <w:tcPr>
            <w:tcW w:type="dxa" w:w="893"/>
          </w:tcPr>
          <w:p>
            <w:pPr>
              <w:spacing w:after="0"/>
              <w:jc w:val="center"/>
            </w:pPr>
            <w:r/>
            <w:r>
              <w:rPr>
                <w:sz w:val="18"/>
              </w:rPr>
              <w:t>0.00</w:t>
            </w:r>
          </w:p>
        </w:tc>
        <w:tc>
          <w:tcPr>
            <w:tcW w:type="dxa" w:w="864"/>
          </w:tcPr>
          <w:p>
            <w:pPr>
              <w:spacing w:after="0"/>
              <w:jc w:val="center"/>
            </w:pPr>
            <w:r/>
            <w:r>
              <w:rPr>
                <w:sz w:val="18"/>
              </w:rPr>
              <w:t>2.01</w:t>
            </w:r>
          </w:p>
        </w:tc>
      </w:tr>
      <w:tr>
        <w:tc>
          <w:tcPr>
            <w:tcW w:type="dxa" w:w="3168"/>
          </w:tcPr>
          <w:p>
            <w:pPr>
              <w:spacing w:after="0"/>
            </w:pPr>
            <w:r/>
            <w:r>
              <w:rPr>
                <w:sz w:val="18"/>
              </w:rPr>
              <w:t>Buy &amp; hold BTC</w:t>
            </w:r>
          </w:p>
        </w:tc>
        <w:tc>
          <w:tcPr>
            <w:tcW w:type="dxa" w:w="893"/>
          </w:tcPr>
          <w:p>
            <w:pPr>
              <w:spacing w:after="0"/>
              <w:jc w:val="center"/>
            </w:pPr>
            <w:r/>
            <w:r>
              <w:rPr>
                <w:sz w:val="18"/>
              </w:rPr>
              <w:t>22.9%</w:t>
            </w:r>
          </w:p>
        </w:tc>
        <w:tc>
          <w:tcPr>
            <w:tcW w:type="dxa" w:w="835"/>
          </w:tcPr>
          <w:p>
            <w:pPr>
              <w:spacing w:after="0"/>
              <w:jc w:val="center"/>
            </w:pPr>
            <w:r/>
            <w:r>
              <w:rPr>
                <w:sz w:val="18"/>
              </w:rPr>
              <w:t>50.8%</w:t>
            </w:r>
          </w:p>
        </w:tc>
        <w:tc>
          <w:tcPr>
            <w:tcW w:type="dxa" w:w="893"/>
          </w:tcPr>
          <w:p>
            <w:pPr>
              <w:spacing w:after="0"/>
              <w:jc w:val="center"/>
            </w:pPr>
            <w:r/>
            <w:r>
              <w:rPr>
                <w:sz w:val="18"/>
              </w:rPr>
              <w:t>0.45</w:t>
            </w:r>
          </w:p>
        </w:tc>
        <w:tc>
          <w:tcPr>
            <w:tcW w:type="dxa" w:w="864"/>
          </w:tcPr>
          <w:p>
            <w:pPr>
              <w:spacing w:after="0"/>
              <w:jc w:val="center"/>
            </w:pPr>
            <w:r/>
            <w:r>
              <w:rPr>
                <w:sz w:val="18"/>
              </w:rPr>
              <w:t>-67.0%</w:t>
            </w:r>
          </w:p>
        </w:tc>
        <w:tc>
          <w:tcPr>
            <w:tcW w:type="dxa" w:w="893"/>
          </w:tcPr>
          <w:p>
            <w:pPr>
              <w:spacing w:after="0"/>
              <w:jc w:val="center"/>
            </w:pPr>
            <w:r/>
            <w:r>
              <w:rPr>
                <w:sz w:val="18"/>
              </w:rPr>
              <w:t>0.0%</w:t>
            </w:r>
          </w:p>
        </w:tc>
        <w:tc>
          <w:tcPr>
            <w:tcW w:type="dxa" w:w="893"/>
          </w:tcPr>
          <w:p>
            <w:pPr>
              <w:spacing w:after="0"/>
              <w:jc w:val="center"/>
            </w:pPr>
            <w:r/>
            <w:r>
              <w:rPr>
                <w:sz w:val="18"/>
              </w:rPr>
              <w:t>1.00</w:t>
            </w:r>
          </w:p>
        </w:tc>
        <w:tc>
          <w:tcPr>
            <w:tcW w:type="dxa" w:w="864"/>
          </w:tcPr>
          <w:p>
            <w:pPr>
              <w:spacing w:after="0"/>
              <w:jc w:val="center"/>
            </w:pPr>
            <w:r/>
            <w:r>
              <w:rPr>
                <w:sz w:val="18"/>
              </w:rPr>
              <w:t>-1.36</w:t>
            </w:r>
          </w:p>
        </w:tc>
      </w:tr>
    </w:tbl>
    <w:p>
      <w:pPr>
        <w:spacing w:after="160"/>
      </w:pPr>
      <w:r>
        <w:rPr>
          <w:i/>
          <w:sz w:val="18"/>
        </w:rPr>
        <w:t>* Momentum traded with market orders (20 bps), reversal with limit orders (7 bps). Alpha and beta are from a daily regression on Bitcoin returns with Newey-West standard errors. Returns are arithmetic annualised means (365-day year).</w:t>
      </w:r>
    </w:p>
    <w:p>
      <w:pPr>
        <w:pStyle w:val="Heading1"/>
      </w:pPr>
      <w:r>
        <w:t>1. Introduction</w:t>
      </w:r>
    </w:p>
    <w:p>
      <w:pPr>
        <w:spacing w:after="120"/>
      </w:pPr>
      <w:r>
        <w:rPr>
          <w:b w:val="0"/>
          <w:i w:val="0"/>
        </w:rPr>
        <w:t>Statistical arbitrage looks for price-volume patterns that predict returns. The two patterns the brief highlights are momentum (recent winners keep winning) and reversal (recent moves undo themselves). Crypto markets are young, open all day every day, dominated by retail flow and lightly arbitraged, so they are a natural place to look for both.</w:t>
      </w:r>
    </w:p>
    <w:p>
      <w:pPr>
        <w:spacing w:after="120"/>
      </w:pPr>
      <w:r>
        <w:rPr>
          <w:b w:val="0"/>
          <w:i w:val="0"/>
        </w:rPr>
        <w:t>The brief gives a research outline for each pattern. For momentum: longer time horizons, periods of new information and activity, seasonality (weekdays vs weekends, day vs night), investment themes, and technical plays such as front-running institutional trading hours. For reversal: shorter time horizons, uninformed (liquidity-driven) trading, correlated pairs or baskets, and macro periods of high volatility and dislocation. It then asks for unconstrained backtests, realistic execution costs, a weighting scheme to combine strategies, and a standard set of performance metrics.</w:t>
      </w:r>
    </w:p>
    <w:p>
      <w:pPr>
        <w:spacing w:after="120"/>
      </w:pPr>
      <w:r>
        <w:rPr>
          <w:b w:val="0"/>
          <w:i w:val="0"/>
        </w:rPr>
        <w:t>This report follows that outline section by section. Section 2 reviews the literature, Section 3 describes the data, and Section 4 sets out the backtest method. Sections 5 and 6 cover the momentum and reversal research. Section 7 covers execution, Section 8 strategy selection, Section 9 weighting, and Section 10 performance. Sections 11 and 12 discuss the results and conclude.</w:t>
      </w:r>
    </w:p>
    <w:p>
      <w:pPr>
        <w:spacing w:after="120"/>
      </w:pPr>
      <w:r>
        <w:rPr>
          <w:b w:val="0"/>
          <w:i/>
        </w:rPr>
        <w:t>The research question is: which momentum and reversal patterns exist in crypto, which survive realistic trading costs, and how should they be combined into a single portfolio?</w:t>
      </w:r>
    </w:p>
    <w:p>
      <w:pPr>
        <w:pStyle w:val="Heading1"/>
      </w:pPr>
      <w:r>
        <w:t>2. Literature Review</w:t>
      </w:r>
    </w:p>
    <w:p>
      <w:pPr>
        <w:pStyle w:val="Heading2"/>
      </w:pPr>
      <w:r>
        <w:t>2.1 Momentum</w:t>
      </w:r>
    </w:p>
    <w:p>
      <w:pPr>
        <w:spacing w:after="120"/>
      </w:pPr>
      <w:r>
        <w:rPr>
          <w:b w:val="0"/>
          <w:i w:val="0"/>
        </w:rPr>
        <w:t>Cross-sectional momentum (Jegadeesh &amp; Titman, 1993) and time-series momentum (Moskowitz, Ooi &amp; Pedersen, 2012) are among the most robust anomalies across asset classes, and Moskowitz and Grinblatt (1999) show that much of stock momentum is industry (theme) momentum. Momentum is prone to crashes in high-volatility rebounds (Daniel &amp; Moskowitz, 2016), and scaling positions by recent volatility improves its risk-adjusted return (Barroso &amp; Santa-Clara, 2015). In crypto, Liu and Tsyvinski (2021) and Liu, Tsyvinski and Wu (2022) document a strong momentum factor, while Han, Kang and Ryu (2024) find that time-series momentum is more robust than cross-sectional momentum once realistic costs are applied.</w:t>
      </w:r>
    </w:p>
    <w:p>
      <w:pPr>
        <w:pStyle w:val="Heading2"/>
      </w:pPr>
      <w:r>
        <w:t>2.2 Reversal</w:t>
      </w:r>
    </w:p>
    <w:p>
      <w:pPr>
        <w:spacing w:after="120"/>
      </w:pPr>
      <w:r>
        <w:rPr>
          <w:b w:val="0"/>
          <w:i w:val="0"/>
        </w:rPr>
        <w:t>Short-term reversal in stocks (Lehmann, 1990) is linked to liquidity provision: Campbell, Grossman and Wang (1993) show that price moves on high volume tend to reverse less, because they carry information, while moves on low volume reflect liquidity demand and reverse more. Nagel (2012) shows that reversal profits rise sharply when market volatility is high, because liquidity providers demand more compensation. Long-horizon reversal (De Bondt &amp; Thaler, 1985) reflects overreaction. In crypto, Dobrynskaya finds momentum at short horizons and reversal at longer horizons, the opposite of the equity pattern.</w:t>
      </w:r>
    </w:p>
    <w:p>
      <w:pPr>
        <w:pStyle w:val="Heading2"/>
      </w:pPr>
      <w:r>
        <w:t>2.3 Relative value and pairs</w:t>
      </w:r>
    </w:p>
    <w:p>
      <w:pPr>
        <w:spacing w:after="120"/>
      </w:pPr>
      <w:r>
        <w:rPr>
          <w:b w:val="0"/>
          <w:i w:val="0"/>
        </w:rPr>
        <w:t>Pairs trading (Gatev, Goetzmann &amp; Rouwenhorst, 2006) and cointegration (Engle &amp; Granger, 1987; Vidyamurthy, 2004) trade the spread between related assets; Elliott, van der Hoek and Malcolm (2005) and Chan (2013) estimate the hedge ratio with a Kalman filter. Do and Faff (2010, 2012) and Krauss (2017) document declining, cost-sensitive pairs profits, and Fil and Kristoufek (2020) find crypto cointegration particularly unstable.</w:t>
      </w:r>
    </w:p>
    <w:p>
      <w:pPr>
        <w:pStyle w:val="Heading2"/>
      </w:pPr>
      <w:r>
        <w:t>2.4 Intraday patterns, execution and weighting</w:t>
      </w:r>
    </w:p>
    <w:p>
      <w:pPr>
        <w:spacing w:after="120"/>
      </w:pPr>
      <w:r>
        <w:rPr>
          <w:b w:val="0"/>
          <w:i w:val="0"/>
        </w:rPr>
        <w:t>Heston, Korajczyk and Sadka (2010) document intraday return periodicity tied to recurring trading schedules. Garleanu and Pedersen (2013) show that, with costs, the optimal policy trades only part of the way toward the target portfolio, which motivates holding periods and no-trade bands. DeMiguel, Garlappi and Uppal (2009) show that naive equal weighting is hard to beat out of sample. Harvey, Liu and Zhu (2016) and Bailey and Lopez de Prado (2014) warn that testing many strategies inflates backtest Sharpe ratios, which motivates the research / hold-out split used here.</w:t>
      </w:r>
    </w:p>
    <w:p>
      <w:pPr>
        <w:pStyle w:val="Heading1"/>
      </w:pPr>
      <w:r>
        <w:t>3. Data</w:t>
      </w:r>
    </w:p>
    <w:p>
      <w:pPr>
        <w:pStyle w:val="Heading2"/>
      </w:pPr>
      <w:r>
        <w:t>3.1 Sources</w:t>
      </w:r>
    </w:p>
    <w:p>
      <w:pPr>
        <w:pStyle w:val="ListBullet"/>
      </w:pPr>
      <w:r>
        <w:rPr>
          <w:b/>
        </w:rPr>
        <w:t xml:space="preserve">Daily prices: </w:t>
      </w:r>
      <w:r>
        <w:t>daily OHLCV from the Coinbase Exchange public API, January 2021 onward (Binance is geo-restricted from the research environment, HTTP 451, so Coinbase is used).</w:t>
      </w:r>
    </w:p>
    <w:p>
      <w:pPr>
        <w:pStyle w:val="ListBullet"/>
      </w:pPr>
      <w:r>
        <w:rPr>
          <w:b/>
        </w:rPr>
        <w:t xml:space="preserve">Hourly prices: </w:t>
      </w:r>
      <w:r>
        <w:t>hourly OHLCV from Coinbase for the same coins, January 2022 onward, used for the intraday horizon, session and front-running tests.</w:t>
      </w:r>
    </w:p>
    <w:p>
      <w:pPr>
        <w:pStyle w:val="ListBullet"/>
      </w:pPr>
      <w:r>
        <w:rPr>
          <w:b/>
        </w:rPr>
        <w:t xml:space="preserve">Implied volatility: </w:t>
      </w:r>
      <w:r>
        <w:t>the Deribit DVOL index (30-day implied volatility of Bitcoin options), the crypto equivalent of the VIX, used as the implied-volatility macro indicator.</w:t>
      </w:r>
    </w:p>
    <w:p>
      <w:pPr>
        <w:spacing w:after="120"/>
      </w:pPr>
      <w:r>
        <w:rPr>
          <w:b w:val="0"/>
          <w:i w:val="0"/>
        </w:rPr>
        <w:t>The data were downloaded on 2026-10-09 and run through 2026-10-08 (the last complete daily bar). Re-running src/fetch_data.py refreshes everything to the latest date.</w:t>
      </w:r>
    </w:p>
    <w:p>
      <w:pPr>
        <w:pStyle w:val="Heading2"/>
      </w:pPr>
      <w:r>
        <w:t>3.2 Universe and themes</w:t>
      </w:r>
    </w:p>
    <w:p>
      <w:pPr>
        <w:spacing w:after="120"/>
      </w:pPr>
      <w:r>
        <w:rPr>
          <w:b w:val="0"/>
          <w:i w:val="0"/>
        </w:rPr>
        <w:t>The universe is 16 liquid USD-quoted coins: BTC, ETH, SOL, ADA, DOGE, AVAX, LINK, LTC, DOT, ATOM, UNI, BCH, XLM, ALGO, AAVE and COMP. XRP is excluded because of a long Coinbase listing gap during 2021-2023, and MKR because it stopped trading in January 2026 after migrating to SKY. Coins that listed after January 2021 enter when their history begins. For the theme test, coins are grouped into four investment themes:</w:t>
      </w:r>
    </w:p>
    <w:p>
      <w:pPr>
        <w:keepNext/>
        <w:spacing w:after="60"/>
      </w:pPr>
      <w:r>
        <w:rPr>
          <w:b/>
          <w:sz w:val="20"/>
        </w:rPr>
        <w:t>Table 2. Investment themes.</w:t>
      </w:r>
    </w:p>
    <w:tbl>
      <w:tblPr>
        <w:tblStyle w:val="TableGrid"/>
        <w:tblW w:type="auto" w:w="0"/>
        <w:jc w:val="center"/>
        <w:tblLayout w:type="fixed"/>
        <w:tblLook w:firstColumn="1" w:firstRow="1" w:lastColumn="0" w:lastRow="0" w:noHBand="0" w:noVBand="1" w:val="04A0"/>
      </w:tblPr>
      <w:tblGrid>
        <w:gridCol w:w="2448"/>
        <w:gridCol w:w="2736"/>
        <w:gridCol w:w="3888"/>
      </w:tblGrid>
      <w:tr>
        <w:tc>
          <w:tcPr>
            <w:tcW w:type="dxa" w:w="2448"/>
            <w:shd w:val="clear" w:fill="1F3864"/>
          </w:tcPr>
          <w:p>
            <w:pPr>
              <w:jc w:val="left"/>
            </w:pPr>
            <w:r/>
            <w:r>
              <w:rPr>
                <w:b/>
                <w:color w:val="FFFFFF"/>
                <w:sz w:val="18"/>
              </w:rPr>
              <w:t>Theme</w:t>
            </w:r>
          </w:p>
        </w:tc>
        <w:tc>
          <w:tcPr>
            <w:tcW w:type="dxa" w:w="2736"/>
            <w:shd w:val="clear" w:fill="1F3864"/>
          </w:tcPr>
          <w:p>
            <w:pPr>
              <w:jc w:val="center"/>
            </w:pPr>
            <w:r/>
            <w:r>
              <w:rPr>
                <w:b/>
                <w:color w:val="FFFFFF"/>
                <w:sz w:val="18"/>
              </w:rPr>
              <w:t>Coins</w:t>
            </w:r>
          </w:p>
        </w:tc>
        <w:tc>
          <w:tcPr>
            <w:tcW w:type="dxa" w:w="3888"/>
            <w:shd w:val="clear" w:fill="1F3864"/>
          </w:tcPr>
          <w:p>
            <w:pPr>
              <w:jc w:val="center"/>
            </w:pPr>
            <w:r/>
            <w:r>
              <w:rPr>
                <w:b/>
                <w:color w:val="FFFFFF"/>
                <w:sz w:val="18"/>
              </w:rPr>
              <w:t>Rationale</w:t>
            </w:r>
          </w:p>
        </w:tc>
      </w:tr>
      <w:tr>
        <w:tc>
          <w:tcPr>
            <w:tcW w:type="dxa" w:w="2448"/>
          </w:tcPr>
          <w:p>
            <w:pPr>
              <w:spacing w:after="0"/>
            </w:pPr>
            <w:r/>
            <w:r>
              <w:rPr>
                <w:sz w:val="18"/>
              </w:rPr>
              <w:t>Payments &amp; Meme</w:t>
            </w:r>
          </w:p>
        </w:tc>
        <w:tc>
          <w:tcPr>
            <w:tcW w:type="dxa" w:w="2736"/>
          </w:tcPr>
          <w:p>
            <w:pPr>
              <w:spacing w:after="0"/>
              <w:jc w:val="center"/>
            </w:pPr>
            <w:r/>
            <w:r>
              <w:rPr>
                <w:sz w:val="18"/>
              </w:rPr>
              <w:t>BTC, LTC, BCH, XLM, DOGE</w:t>
            </w:r>
          </w:p>
        </w:tc>
        <w:tc>
          <w:tcPr>
            <w:tcW w:type="dxa" w:w="3888"/>
          </w:tcPr>
          <w:p>
            <w:pPr>
              <w:spacing w:after="0"/>
              <w:jc w:val="center"/>
            </w:pPr>
            <w:r/>
            <w:r>
              <w:rPr>
                <w:sz w:val="18"/>
              </w:rPr>
              <w:t>Store-of-value and payment coins; retail-driven</w:t>
            </w:r>
          </w:p>
        </w:tc>
      </w:tr>
      <w:tr>
        <w:tc>
          <w:tcPr>
            <w:tcW w:type="dxa" w:w="2448"/>
          </w:tcPr>
          <w:p>
            <w:pPr>
              <w:spacing w:after="0"/>
            </w:pPr>
            <w:r/>
            <w:r>
              <w:rPr>
                <w:sz w:val="18"/>
              </w:rPr>
              <w:t>Large Smart-Contract L1</w:t>
            </w:r>
          </w:p>
        </w:tc>
        <w:tc>
          <w:tcPr>
            <w:tcW w:type="dxa" w:w="2736"/>
          </w:tcPr>
          <w:p>
            <w:pPr>
              <w:spacing w:after="0"/>
              <w:jc w:val="center"/>
            </w:pPr>
            <w:r/>
            <w:r>
              <w:rPr>
                <w:sz w:val="18"/>
              </w:rPr>
              <w:t>ETH, SOL, AVAX</w:t>
            </w:r>
          </w:p>
        </w:tc>
        <w:tc>
          <w:tcPr>
            <w:tcW w:type="dxa" w:w="3888"/>
          </w:tcPr>
          <w:p>
            <w:pPr>
              <w:spacing w:after="0"/>
              <w:jc w:val="center"/>
            </w:pPr>
            <w:r/>
            <w:r>
              <w:rPr>
                <w:sz w:val="18"/>
              </w:rPr>
              <w:t>Leading smart-contract platforms</w:t>
            </w:r>
          </w:p>
        </w:tc>
      </w:tr>
      <w:tr>
        <w:tc>
          <w:tcPr>
            <w:tcW w:type="dxa" w:w="2448"/>
          </w:tcPr>
          <w:p>
            <w:pPr>
              <w:spacing w:after="0"/>
            </w:pPr>
            <w:r/>
            <w:r>
              <w:rPr>
                <w:sz w:val="18"/>
              </w:rPr>
              <w:t>Alt L1</w:t>
            </w:r>
          </w:p>
        </w:tc>
        <w:tc>
          <w:tcPr>
            <w:tcW w:type="dxa" w:w="2736"/>
          </w:tcPr>
          <w:p>
            <w:pPr>
              <w:spacing w:after="0"/>
              <w:jc w:val="center"/>
            </w:pPr>
            <w:r/>
            <w:r>
              <w:rPr>
                <w:sz w:val="18"/>
              </w:rPr>
              <w:t>ADA, DOT, ATOM, ALGO</w:t>
            </w:r>
          </w:p>
        </w:tc>
        <w:tc>
          <w:tcPr>
            <w:tcW w:type="dxa" w:w="3888"/>
          </w:tcPr>
          <w:p>
            <w:pPr>
              <w:spacing w:after="0"/>
              <w:jc w:val="center"/>
            </w:pPr>
            <w:r/>
            <w:r>
              <w:rPr>
                <w:sz w:val="18"/>
              </w:rPr>
              <w:t>Second-tier layer-1 platforms</w:t>
            </w:r>
          </w:p>
        </w:tc>
      </w:tr>
      <w:tr>
        <w:tc>
          <w:tcPr>
            <w:tcW w:type="dxa" w:w="2448"/>
          </w:tcPr>
          <w:p>
            <w:pPr>
              <w:spacing w:after="0"/>
            </w:pPr>
            <w:r/>
            <w:r>
              <w:rPr>
                <w:sz w:val="18"/>
              </w:rPr>
              <w:t>DeFi &amp; Oracle</w:t>
            </w:r>
          </w:p>
        </w:tc>
        <w:tc>
          <w:tcPr>
            <w:tcW w:type="dxa" w:w="2736"/>
          </w:tcPr>
          <w:p>
            <w:pPr>
              <w:spacing w:after="0"/>
              <w:jc w:val="center"/>
            </w:pPr>
            <w:r/>
            <w:r>
              <w:rPr>
                <w:sz w:val="18"/>
              </w:rPr>
              <w:t>UNI, AAVE, COMP, LINK</w:t>
            </w:r>
          </w:p>
        </w:tc>
        <w:tc>
          <w:tcPr>
            <w:tcW w:type="dxa" w:w="3888"/>
          </w:tcPr>
          <w:p>
            <w:pPr>
              <w:spacing w:after="0"/>
              <w:jc w:val="center"/>
            </w:pPr>
            <w:r/>
            <w:r>
              <w:rPr>
                <w:sz w:val="18"/>
              </w:rPr>
              <w:t>Decentralised-finance protocols and oracle</w:t>
            </w:r>
          </w:p>
        </w:tc>
      </w:tr>
    </w:tbl>
    <w:p>
      <w:pPr>
        <w:spacing w:after="40"/>
      </w:pPr>
    </w:p>
    <w:p>
      <w:pPr>
        <w:pStyle w:val="Heading2"/>
      </w:pPr>
      <w:r>
        <w:t>3.3 Cleaning</w:t>
      </w:r>
    </w:p>
    <w:p>
      <w:pPr>
        <w:spacing w:after="120"/>
      </w:pPr>
      <w:r>
        <w:rPr>
          <w:b w:val="0"/>
          <w:i w:val="0"/>
        </w:rPr>
        <w:t>Prices are aligned to a common calendar (crypto trades every day). Gaps of up to three days are forward-filled; longer gaps are left missing so the coin simply drops out of the cross-section. Daily returns are simple close-to-close returns. Dollar volume (price x volume) is the activity measure.</w:t>
      </w:r>
    </w:p>
    <w:p>
      <w:pPr>
        <w:pStyle w:val="Heading1"/>
      </w:pPr>
      <w:r>
        <w:t>4. Backtest Methodology</w:t>
      </w:r>
    </w:p>
    <w:p>
      <w:pPr>
        <w:pStyle w:val="Heading2"/>
      </w:pPr>
      <w:r>
        <w:t>4.1 Unconstrained backtest</w:t>
      </w:r>
    </w:p>
    <w:p>
      <w:pPr>
        <w:spacing w:after="120"/>
      </w:pPr>
      <w:r>
        <w:rPr>
          <w:b w:val="0"/>
          <w:i w:val="0"/>
        </w:rPr>
        <w:t>Following the brief, all strategies are first tested with the unconstrained backtest taught in class. Each day a signal is turned into portfolio weights using information up to that day's close; the weights earn the next day's return, so there is no look-ahead. Weights are scaled so that gross exposure (the sum of absolute weights) equals one. Cross-sectional strategies are dollar-neutral: weights are proportional to each coin's demeaned rank on the signal. Time-series strategies take each coin long or short on the sign of its own signal, scaled by the inverse of its 30-day volatility.</w:t>
      </w:r>
    </w:p>
    <w:p>
      <w:pPr>
        <w:pStyle w:val="Heading2"/>
      </w:pPr>
      <w:r>
        <w:t>4.2 Execution costs</w:t>
      </w:r>
    </w:p>
    <w:p>
      <w:pPr>
        <w:spacing w:after="120"/>
      </w:pPr>
      <w:r>
        <w:rPr>
          <w:b w:val="0"/>
          <w:i w:val="0"/>
        </w:rPr>
        <w:t>Costs follow the brief: 20 bps per unit of turnover for market orders (7 bps commission plus 13 bps slippage) and 7 bps for limit orders. Turnover is the sum of absolute weight changes. The momentum book is charged 20 bps because it chases prices and needs immediate fills. The reversal book is charged 7 bps because it trades slowly (positions are held about two weeks) and supplies liquidity, so it can be worked with passive limit orders; results with 20 bps are reported alongside so the assumption can be judged. A cost sweep from 0 to 200 bps covers everything in between.</w:t>
      </w:r>
    </w:p>
    <w:p>
      <w:pPr>
        <w:pStyle w:val="Heading2"/>
      </w:pPr>
      <w:r>
        <w:t>4.3 Metrics</w:t>
      </w:r>
    </w:p>
    <w:p>
      <w:pPr>
        <w:spacing w:after="120"/>
      </w:pPr>
      <w:r>
        <w:rPr>
          <w:b w:val="0"/>
          <w:i w:val="0"/>
        </w:rPr>
        <w:t>As the brief requires, each strategy is reported with annualised return, annualised volatility, Sharpe ratio, maximum drawdown, and alpha / beta. Alpha and beta come from regressing daily strategy returns on daily Bitcoin returns, with Newey-West (5-lag) standard errors; alpha is annualised. Sortino, Calmar, hit rate, turnover and Newey-West t-statistics are reported in the workbook. Annualisation uses 365 days.</w:t>
      </w:r>
    </w:p>
    <w:p>
      <w:pPr>
        <w:pStyle w:val="Heading2"/>
      </w:pPr>
      <w:r>
        <w:t>4.4 Research discipline</w:t>
      </w:r>
    </w:p>
    <w:p>
      <w:pPr>
        <w:spacing w:after="120"/>
      </w:pPr>
      <w:r>
        <w:rPr>
          <w:b w:val="0"/>
          <w:i w:val="0"/>
        </w:rPr>
        <w:t>The sample is split into a research period (2021-07-01 to 2023-12-31) and a hold-out period (2024-01-01 to 2026-10-08). Every parameter choice - which strategies to keep, look-backs, holding periods, execution rules and the weighting method - is made on the research period only. The hold-out is reported but never used for selection. In total 44 candidate strategies entered the final selection step, so the research-period Sharpe of the winners is biased upward; the hold-out is the honest measure.</w:t>
      </w:r>
    </w:p>
    <w:p>
      <w:pPr>
        <w:pStyle w:val="Heading1"/>
      </w:pPr>
      <w:r>
        <w:t>5. Momentum Research</w:t>
      </w:r>
    </w:p>
    <w:p>
      <w:pPr>
        <w:pStyle w:val="Heading2"/>
      </w:pPr>
      <w:r>
        <w:t>5.1 Time horizon</w:t>
      </w:r>
    </w:p>
    <w:p>
      <w:pPr>
        <w:spacing w:after="120"/>
      </w:pPr>
      <w:r>
        <w:rPr>
          <w:b w:val="0"/>
          <w:i w:val="0"/>
        </w:rPr>
        <w:t>The brief expects momentum at longer horizons and reversal at shorter ones. Figure 1 tests this by trading the trailing return over look-backs from 1 to 120 days, rebalanced daily. A positive bar means momentum and a negative bar means reversal.</w:t>
      </w:r>
    </w:p>
    <w:p>
      <w:pPr>
        <w:keepNext/>
        <w:jc w:val="center"/>
      </w:pPr>
      <w:r>
        <w:drawing>
          <wp:inline xmlns:a="http://schemas.openxmlformats.org/drawingml/2006/main" xmlns:pic="http://schemas.openxmlformats.org/drawingml/2006/picture">
            <wp:extent cx="5760720" cy="2649931"/>
            <wp:docPr id="1" name="Picture 1"/>
            <wp:cNvGraphicFramePr>
              <a:graphicFrameLocks noChangeAspect="1"/>
            </wp:cNvGraphicFramePr>
            <a:graphic>
              <a:graphicData uri="http://schemas.openxmlformats.org/drawingml/2006/picture">
                <pic:pic>
                  <pic:nvPicPr>
                    <pic:cNvPr id="0" name="A_horizon_scan.png"/>
                    <pic:cNvPicPr/>
                  </pic:nvPicPr>
                  <pic:blipFill>
                    <a:blip r:embed="rId9"/>
                    <a:stretch>
                      <a:fillRect/>
                    </a:stretch>
                  </pic:blipFill>
                  <pic:spPr>
                    <a:xfrm>
                      <a:off x="0" y="0"/>
                      <a:ext cx="5760720" cy="2649931"/>
                    </a:xfrm>
                    <a:prstGeom prst="rect"/>
                  </pic:spPr>
                </pic:pic>
              </a:graphicData>
            </a:graphic>
          </wp:inline>
        </w:drawing>
      </w:r>
    </w:p>
    <w:p>
      <w:pPr>
        <w:spacing w:after="200"/>
        <w:jc w:val="center"/>
      </w:pPr>
      <w:r>
        <w:rPr>
          <w:i/>
          <w:sz w:val="19"/>
        </w:rPr>
        <w:t>Figure 1. Gross Sharpe of momentum-sign strategies by look-back. Positive = momentum, negative = reversal.</w:t>
      </w:r>
    </w:p>
    <w:p>
      <w:pPr>
        <w:spacing w:after="120"/>
      </w:pPr>
      <w:r>
        <w:rPr>
          <w:b w:val="0"/>
          <w:i w:val="0"/>
        </w:rPr>
        <w:t>Cross-sectional momentum is positive at every horizon from 1 to 30 days, rising from 0.53 at one day to a peak of 1.09 at 14 days. It turns negative (reversal) at 60 days (-0.07) and 90 days (-0.18). Time-series momentum is weaker but positive from 2 days onward and best at about 30 days (0.50). So crypto shows momentum at short-to-medium daily horizons and reversal only at long horizons, the reverse of the equity pattern in the brief and consistent with Dobrynskaya. Section 6.1 shows that the brief's short-horizon reversal does exist, but only intraday.</w:t>
      </w:r>
    </w:p>
    <w:p>
      <w:pPr>
        <w:spacing w:after="120"/>
      </w:pPr>
      <w:r>
        <w:rPr>
          <w:b w:val="0"/>
          <w:i w:val="0"/>
        </w:rPr>
        <w:t>Costs matter a great deal. The 1-day strategy trades about 1.3x its capital per day, so 20 bps of cost costs roughly 95% a year and turns a positive gross Sharpe into a heavily negative net one. Longer look-backs trade far less, which is why the tradable momentum strategies in Section 8 use 7 to 30 day signals.</w:t>
      </w:r>
    </w:p>
    <w:p>
      <w:pPr>
        <w:keepNext/>
        <w:spacing w:after="60"/>
      </w:pPr>
      <w:r>
        <w:rPr>
          <w:b/>
          <w:sz w:val="20"/>
        </w:rPr>
        <w:t>Table 3. Horizon scan, full sample (daily rebalance).</w:t>
      </w:r>
    </w:p>
    <w:tbl>
      <w:tblPr>
        <w:tblStyle w:val="TableGrid"/>
        <w:tblW w:type="auto" w:w="0"/>
        <w:jc w:val="center"/>
        <w:tblLayout w:type="fixed"/>
        <w:tblLook w:firstColumn="1" w:firstRow="1" w:lastColumn="0" w:lastRow="0" w:noHBand="0" w:noVBand="1" w:val="04A0"/>
      </w:tblPr>
      <w:tblGrid>
        <w:gridCol w:w="1152"/>
        <w:gridCol w:w="1368"/>
        <w:gridCol w:w="1296"/>
        <w:gridCol w:w="1224"/>
        <w:gridCol w:w="1368"/>
        <w:gridCol w:w="1296"/>
        <w:gridCol w:w="1368"/>
      </w:tblGrid>
      <w:tr>
        <w:tc>
          <w:tcPr>
            <w:tcW w:type="dxa" w:w="1152"/>
            <w:shd w:val="clear" w:fill="1F3864"/>
          </w:tcPr>
          <w:p>
            <w:pPr>
              <w:jc w:val="left"/>
            </w:pPr>
            <w:r/>
            <w:r>
              <w:rPr>
                <w:b/>
                <w:color w:val="FFFFFF"/>
                <w:sz w:val="18"/>
              </w:rPr>
              <w:t>Look-back</w:t>
            </w:r>
          </w:p>
        </w:tc>
        <w:tc>
          <w:tcPr>
            <w:tcW w:type="dxa" w:w="1368"/>
            <w:shd w:val="clear" w:fill="1F3864"/>
          </w:tcPr>
          <w:p>
            <w:pPr>
              <w:jc w:val="center"/>
            </w:pPr>
            <w:r/>
            <w:r>
              <w:rPr>
                <w:b/>
                <w:color w:val="FFFFFF"/>
                <w:sz w:val="18"/>
              </w:rPr>
              <w:t>CS gross Sharpe</w:t>
            </w:r>
          </w:p>
        </w:tc>
        <w:tc>
          <w:tcPr>
            <w:tcW w:type="dxa" w:w="1296"/>
            <w:shd w:val="clear" w:fill="1F3864"/>
          </w:tcPr>
          <w:p>
            <w:pPr>
              <w:jc w:val="center"/>
            </w:pPr>
            <w:r/>
            <w:r>
              <w:rPr>
                <w:b/>
                <w:color w:val="FFFFFF"/>
                <w:sz w:val="18"/>
              </w:rPr>
              <w:t>CS net 20 bps</w:t>
            </w:r>
          </w:p>
        </w:tc>
        <w:tc>
          <w:tcPr>
            <w:tcW w:type="dxa" w:w="1224"/>
            <w:shd w:val="clear" w:fill="1F3864"/>
          </w:tcPr>
          <w:p>
            <w:pPr>
              <w:jc w:val="center"/>
            </w:pPr>
            <w:r/>
            <w:r>
              <w:rPr>
                <w:b/>
                <w:color w:val="FFFFFF"/>
                <w:sz w:val="18"/>
              </w:rPr>
              <w:t>CS net 7 bps</w:t>
            </w:r>
          </w:p>
        </w:tc>
        <w:tc>
          <w:tcPr>
            <w:tcW w:type="dxa" w:w="1368"/>
            <w:shd w:val="clear" w:fill="1F3864"/>
          </w:tcPr>
          <w:p>
            <w:pPr>
              <w:jc w:val="center"/>
            </w:pPr>
            <w:r/>
            <w:r>
              <w:rPr>
                <w:b/>
                <w:color w:val="FFFFFF"/>
                <w:sz w:val="18"/>
              </w:rPr>
              <w:t>TS gross Sharpe</w:t>
            </w:r>
          </w:p>
        </w:tc>
        <w:tc>
          <w:tcPr>
            <w:tcW w:type="dxa" w:w="1296"/>
            <w:shd w:val="clear" w:fill="1F3864"/>
          </w:tcPr>
          <w:p>
            <w:pPr>
              <w:jc w:val="center"/>
            </w:pPr>
            <w:r/>
            <w:r>
              <w:rPr>
                <w:b/>
                <w:color w:val="FFFFFF"/>
                <w:sz w:val="18"/>
              </w:rPr>
              <w:t>TS net 20 bps</w:t>
            </w:r>
          </w:p>
        </w:tc>
        <w:tc>
          <w:tcPr>
            <w:tcW w:type="dxa" w:w="1368"/>
            <w:shd w:val="clear" w:fill="1F3864"/>
          </w:tcPr>
          <w:p>
            <w:pPr>
              <w:jc w:val="center"/>
            </w:pPr>
            <w:r/>
            <w:r>
              <w:rPr>
                <w:b/>
                <w:color w:val="FFFFFF"/>
                <w:sz w:val="18"/>
              </w:rPr>
              <w:t>CS turnover/day</w:t>
            </w:r>
          </w:p>
        </w:tc>
      </w:tr>
      <w:tr>
        <w:tc>
          <w:tcPr>
            <w:tcW w:type="dxa" w:w="1152"/>
          </w:tcPr>
          <w:p>
            <w:pPr>
              <w:spacing w:after="0"/>
            </w:pPr>
            <w:r/>
            <w:r>
              <w:rPr>
                <w:sz w:val="18"/>
              </w:rPr>
              <w:t>1 d</w:t>
            </w:r>
          </w:p>
        </w:tc>
        <w:tc>
          <w:tcPr>
            <w:tcW w:type="dxa" w:w="1368"/>
          </w:tcPr>
          <w:p>
            <w:pPr>
              <w:spacing w:after="0"/>
              <w:jc w:val="center"/>
            </w:pPr>
            <w:r/>
            <w:r>
              <w:rPr>
                <w:sz w:val="18"/>
              </w:rPr>
              <w:t>0.53</w:t>
            </w:r>
          </w:p>
        </w:tc>
        <w:tc>
          <w:tcPr>
            <w:tcW w:type="dxa" w:w="1296"/>
          </w:tcPr>
          <w:p>
            <w:pPr>
              <w:spacing w:after="0"/>
              <w:jc w:val="center"/>
            </w:pPr>
            <w:r/>
            <w:r>
              <w:rPr>
                <w:sz w:val="18"/>
              </w:rPr>
              <w:t>-3.96</w:t>
            </w:r>
          </w:p>
        </w:tc>
        <w:tc>
          <w:tcPr>
            <w:tcW w:type="dxa" w:w="1224"/>
          </w:tcPr>
          <w:p>
            <w:pPr>
              <w:spacing w:after="0"/>
              <w:jc w:val="center"/>
            </w:pPr>
            <w:r/>
            <w:r>
              <w:rPr>
                <w:sz w:val="18"/>
              </w:rPr>
              <w:t>-1.08</w:t>
            </w:r>
          </w:p>
        </w:tc>
        <w:tc>
          <w:tcPr>
            <w:tcW w:type="dxa" w:w="1368"/>
          </w:tcPr>
          <w:p>
            <w:pPr>
              <w:spacing w:after="0"/>
              <w:jc w:val="center"/>
            </w:pPr>
            <w:r/>
            <w:r>
              <w:rPr>
                <w:sz w:val="18"/>
              </w:rPr>
              <w:t>-0.11</w:t>
            </w:r>
          </w:p>
        </w:tc>
        <w:tc>
          <w:tcPr>
            <w:tcW w:type="dxa" w:w="1296"/>
          </w:tcPr>
          <w:p>
            <w:pPr>
              <w:spacing w:after="0"/>
              <w:jc w:val="center"/>
            </w:pPr>
            <w:r/>
            <w:r>
              <w:rPr>
                <w:sz w:val="18"/>
              </w:rPr>
              <w:t>-1.46</w:t>
            </w:r>
          </w:p>
        </w:tc>
        <w:tc>
          <w:tcPr>
            <w:tcW w:type="dxa" w:w="1368"/>
          </w:tcPr>
          <w:p>
            <w:pPr>
              <w:spacing w:after="0"/>
              <w:jc w:val="center"/>
            </w:pPr>
            <w:r/>
            <w:r>
              <w:rPr>
                <w:sz w:val="18"/>
              </w:rPr>
              <w:t>1.32</w:t>
            </w:r>
          </w:p>
        </w:tc>
      </w:tr>
      <w:tr>
        <w:tc>
          <w:tcPr>
            <w:tcW w:type="dxa" w:w="1152"/>
          </w:tcPr>
          <w:p>
            <w:pPr>
              <w:spacing w:after="0"/>
            </w:pPr>
            <w:r/>
            <w:r>
              <w:rPr>
                <w:sz w:val="18"/>
              </w:rPr>
              <w:t>3 d</w:t>
            </w:r>
          </w:p>
        </w:tc>
        <w:tc>
          <w:tcPr>
            <w:tcW w:type="dxa" w:w="1368"/>
          </w:tcPr>
          <w:p>
            <w:pPr>
              <w:spacing w:after="0"/>
              <w:jc w:val="center"/>
            </w:pPr>
            <w:r/>
            <w:r>
              <w:rPr>
                <w:sz w:val="18"/>
              </w:rPr>
              <w:t>0.79</w:t>
            </w:r>
          </w:p>
        </w:tc>
        <w:tc>
          <w:tcPr>
            <w:tcW w:type="dxa" w:w="1296"/>
          </w:tcPr>
          <w:p>
            <w:pPr>
              <w:spacing w:after="0"/>
              <w:jc w:val="center"/>
            </w:pPr>
            <w:r/>
            <w:r>
              <w:rPr>
                <w:sz w:val="18"/>
              </w:rPr>
              <w:t>-1.97</w:t>
            </w:r>
          </w:p>
        </w:tc>
        <w:tc>
          <w:tcPr>
            <w:tcW w:type="dxa" w:w="1224"/>
          </w:tcPr>
          <w:p>
            <w:pPr>
              <w:spacing w:after="0"/>
              <w:jc w:val="center"/>
            </w:pPr>
            <w:r/>
            <w:r>
              <w:rPr>
                <w:sz w:val="18"/>
              </w:rPr>
              <w:t>-0.19</w:t>
            </w:r>
          </w:p>
        </w:tc>
        <w:tc>
          <w:tcPr>
            <w:tcW w:type="dxa" w:w="1368"/>
          </w:tcPr>
          <w:p>
            <w:pPr>
              <w:spacing w:after="0"/>
              <w:jc w:val="center"/>
            </w:pPr>
            <w:r/>
            <w:r>
              <w:rPr>
                <w:sz w:val="18"/>
              </w:rPr>
              <w:t>0.13</w:t>
            </w:r>
          </w:p>
        </w:tc>
        <w:tc>
          <w:tcPr>
            <w:tcW w:type="dxa" w:w="1296"/>
          </w:tcPr>
          <w:p>
            <w:pPr>
              <w:spacing w:after="0"/>
              <w:jc w:val="center"/>
            </w:pPr>
            <w:r/>
            <w:r>
              <w:rPr>
                <w:sz w:val="18"/>
              </w:rPr>
              <w:t>-0.63</w:t>
            </w:r>
          </w:p>
        </w:tc>
        <w:tc>
          <w:tcPr>
            <w:tcW w:type="dxa" w:w="1368"/>
          </w:tcPr>
          <w:p>
            <w:pPr>
              <w:spacing w:after="0"/>
              <w:jc w:val="center"/>
            </w:pPr>
            <w:r/>
            <w:r>
              <w:rPr>
                <w:sz w:val="18"/>
              </w:rPr>
              <w:t>0.77</w:t>
            </w:r>
          </w:p>
        </w:tc>
      </w:tr>
      <w:tr>
        <w:tc>
          <w:tcPr>
            <w:tcW w:type="dxa" w:w="1152"/>
          </w:tcPr>
          <w:p>
            <w:pPr>
              <w:spacing w:after="0"/>
            </w:pPr>
            <w:r/>
            <w:r>
              <w:rPr>
                <w:sz w:val="18"/>
              </w:rPr>
              <w:t>7 d</w:t>
            </w:r>
          </w:p>
        </w:tc>
        <w:tc>
          <w:tcPr>
            <w:tcW w:type="dxa" w:w="1368"/>
          </w:tcPr>
          <w:p>
            <w:pPr>
              <w:spacing w:after="0"/>
              <w:jc w:val="center"/>
            </w:pPr>
            <w:r/>
            <w:r>
              <w:rPr>
                <w:sz w:val="18"/>
              </w:rPr>
              <w:t>1.03</w:t>
            </w:r>
          </w:p>
        </w:tc>
        <w:tc>
          <w:tcPr>
            <w:tcW w:type="dxa" w:w="1296"/>
          </w:tcPr>
          <w:p>
            <w:pPr>
              <w:spacing w:after="0"/>
              <w:jc w:val="center"/>
            </w:pPr>
            <w:r/>
            <w:r>
              <w:rPr>
                <w:sz w:val="18"/>
              </w:rPr>
              <w:t>-0.78</w:t>
            </w:r>
          </w:p>
        </w:tc>
        <w:tc>
          <w:tcPr>
            <w:tcW w:type="dxa" w:w="1224"/>
          </w:tcPr>
          <w:p>
            <w:pPr>
              <w:spacing w:after="0"/>
              <w:jc w:val="center"/>
            </w:pPr>
            <w:r/>
            <w:r>
              <w:rPr>
                <w:sz w:val="18"/>
              </w:rPr>
              <w:t>0.39</w:t>
            </w:r>
          </w:p>
        </w:tc>
        <w:tc>
          <w:tcPr>
            <w:tcW w:type="dxa" w:w="1368"/>
          </w:tcPr>
          <w:p>
            <w:pPr>
              <w:spacing w:after="0"/>
              <w:jc w:val="center"/>
            </w:pPr>
            <w:r/>
            <w:r>
              <w:rPr>
                <w:sz w:val="18"/>
              </w:rPr>
              <w:t>0.47</w:t>
            </w:r>
          </w:p>
        </w:tc>
        <w:tc>
          <w:tcPr>
            <w:tcW w:type="dxa" w:w="1296"/>
          </w:tcPr>
          <w:p>
            <w:pPr>
              <w:spacing w:after="0"/>
              <w:jc w:val="center"/>
            </w:pPr>
            <w:r/>
            <w:r>
              <w:rPr>
                <w:sz w:val="18"/>
              </w:rPr>
              <w:t>-0.03</w:t>
            </w:r>
          </w:p>
        </w:tc>
        <w:tc>
          <w:tcPr>
            <w:tcW w:type="dxa" w:w="1368"/>
          </w:tcPr>
          <w:p>
            <w:pPr>
              <w:spacing w:after="0"/>
              <w:jc w:val="center"/>
            </w:pPr>
            <w:r/>
            <w:r>
              <w:rPr>
                <w:sz w:val="18"/>
              </w:rPr>
              <w:t>0.51</w:t>
            </w:r>
          </w:p>
        </w:tc>
      </w:tr>
      <w:tr>
        <w:tc>
          <w:tcPr>
            <w:tcW w:type="dxa" w:w="1152"/>
          </w:tcPr>
          <w:p>
            <w:pPr>
              <w:spacing w:after="0"/>
            </w:pPr>
            <w:r/>
            <w:r>
              <w:rPr>
                <w:sz w:val="18"/>
              </w:rPr>
              <w:t>14 d</w:t>
            </w:r>
          </w:p>
        </w:tc>
        <w:tc>
          <w:tcPr>
            <w:tcW w:type="dxa" w:w="1368"/>
          </w:tcPr>
          <w:p>
            <w:pPr>
              <w:spacing w:after="0"/>
              <w:jc w:val="center"/>
            </w:pPr>
            <w:r/>
            <w:r>
              <w:rPr>
                <w:sz w:val="18"/>
              </w:rPr>
              <w:t>1.09</w:t>
            </w:r>
          </w:p>
        </w:tc>
        <w:tc>
          <w:tcPr>
            <w:tcW w:type="dxa" w:w="1296"/>
          </w:tcPr>
          <w:p>
            <w:pPr>
              <w:spacing w:after="0"/>
              <w:jc w:val="center"/>
            </w:pPr>
            <w:r/>
            <w:r>
              <w:rPr>
                <w:sz w:val="18"/>
              </w:rPr>
              <w:t>-0.23</w:t>
            </w:r>
          </w:p>
        </w:tc>
        <w:tc>
          <w:tcPr>
            <w:tcW w:type="dxa" w:w="1224"/>
          </w:tcPr>
          <w:p>
            <w:pPr>
              <w:spacing w:after="0"/>
              <w:jc w:val="center"/>
            </w:pPr>
            <w:r/>
            <w:r>
              <w:rPr>
                <w:sz w:val="18"/>
              </w:rPr>
              <w:t>0.62</w:t>
            </w:r>
          </w:p>
        </w:tc>
        <w:tc>
          <w:tcPr>
            <w:tcW w:type="dxa" w:w="1368"/>
          </w:tcPr>
          <w:p>
            <w:pPr>
              <w:spacing w:after="0"/>
              <w:jc w:val="center"/>
            </w:pPr>
            <w:r/>
            <w:r>
              <w:rPr>
                <w:sz w:val="18"/>
              </w:rPr>
              <w:t>0.46</w:t>
            </w:r>
          </w:p>
        </w:tc>
        <w:tc>
          <w:tcPr>
            <w:tcW w:type="dxa" w:w="1296"/>
          </w:tcPr>
          <w:p>
            <w:pPr>
              <w:spacing w:after="0"/>
              <w:jc w:val="center"/>
            </w:pPr>
            <w:r/>
            <w:r>
              <w:rPr>
                <w:sz w:val="18"/>
              </w:rPr>
              <w:t>0.11</w:t>
            </w:r>
          </w:p>
        </w:tc>
        <w:tc>
          <w:tcPr>
            <w:tcW w:type="dxa" w:w="1368"/>
          </w:tcPr>
          <w:p>
            <w:pPr>
              <w:spacing w:after="0"/>
              <w:jc w:val="center"/>
            </w:pPr>
            <w:r/>
            <w:r>
              <w:rPr>
                <w:sz w:val="18"/>
              </w:rPr>
              <w:t>0.37</w:t>
            </w:r>
          </w:p>
        </w:tc>
      </w:tr>
      <w:tr>
        <w:tc>
          <w:tcPr>
            <w:tcW w:type="dxa" w:w="1152"/>
          </w:tcPr>
          <w:p>
            <w:pPr>
              <w:spacing w:after="0"/>
            </w:pPr>
            <w:r/>
            <w:r>
              <w:rPr>
                <w:sz w:val="18"/>
              </w:rPr>
              <w:t>30 d</w:t>
            </w:r>
          </w:p>
        </w:tc>
        <w:tc>
          <w:tcPr>
            <w:tcW w:type="dxa" w:w="1368"/>
          </w:tcPr>
          <w:p>
            <w:pPr>
              <w:spacing w:after="0"/>
              <w:jc w:val="center"/>
            </w:pPr>
            <w:r/>
            <w:r>
              <w:rPr>
                <w:sz w:val="18"/>
              </w:rPr>
              <w:t>0.36</w:t>
            </w:r>
          </w:p>
        </w:tc>
        <w:tc>
          <w:tcPr>
            <w:tcW w:type="dxa" w:w="1296"/>
          </w:tcPr>
          <w:p>
            <w:pPr>
              <w:spacing w:after="0"/>
              <w:jc w:val="center"/>
            </w:pPr>
            <w:r/>
            <w:r>
              <w:rPr>
                <w:sz w:val="18"/>
              </w:rPr>
              <w:t>-0.59</w:t>
            </w:r>
          </w:p>
        </w:tc>
        <w:tc>
          <w:tcPr>
            <w:tcW w:type="dxa" w:w="1224"/>
          </w:tcPr>
          <w:p>
            <w:pPr>
              <w:spacing w:after="0"/>
              <w:jc w:val="center"/>
            </w:pPr>
            <w:r/>
            <w:r>
              <w:rPr>
                <w:sz w:val="18"/>
              </w:rPr>
              <w:t>0.03</w:t>
            </w:r>
          </w:p>
        </w:tc>
        <w:tc>
          <w:tcPr>
            <w:tcW w:type="dxa" w:w="1368"/>
          </w:tcPr>
          <w:p>
            <w:pPr>
              <w:spacing w:after="0"/>
              <w:jc w:val="center"/>
            </w:pPr>
            <w:r/>
            <w:r>
              <w:rPr>
                <w:sz w:val="18"/>
              </w:rPr>
              <w:t>0.50</w:t>
            </w:r>
          </w:p>
        </w:tc>
        <w:tc>
          <w:tcPr>
            <w:tcW w:type="dxa" w:w="1296"/>
          </w:tcPr>
          <w:p>
            <w:pPr>
              <w:spacing w:after="0"/>
              <w:jc w:val="center"/>
            </w:pPr>
            <w:r/>
            <w:r>
              <w:rPr>
                <w:sz w:val="18"/>
              </w:rPr>
              <w:t>0.25</w:t>
            </w:r>
          </w:p>
        </w:tc>
        <w:tc>
          <w:tcPr>
            <w:tcW w:type="dxa" w:w="1368"/>
          </w:tcPr>
          <w:p>
            <w:pPr>
              <w:spacing w:after="0"/>
              <w:jc w:val="center"/>
            </w:pPr>
            <w:r/>
            <w:r>
              <w:rPr>
                <w:sz w:val="18"/>
              </w:rPr>
              <w:t>0.26</w:t>
            </w:r>
          </w:p>
        </w:tc>
      </w:tr>
      <w:tr>
        <w:tc>
          <w:tcPr>
            <w:tcW w:type="dxa" w:w="1152"/>
          </w:tcPr>
          <w:p>
            <w:pPr>
              <w:spacing w:after="0"/>
            </w:pPr>
            <w:r/>
            <w:r>
              <w:rPr>
                <w:sz w:val="18"/>
              </w:rPr>
              <w:t>60 d</w:t>
            </w:r>
          </w:p>
        </w:tc>
        <w:tc>
          <w:tcPr>
            <w:tcW w:type="dxa" w:w="1368"/>
          </w:tcPr>
          <w:p>
            <w:pPr>
              <w:spacing w:after="0"/>
              <w:jc w:val="center"/>
            </w:pPr>
            <w:r/>
            <w:r>
              <w:rPr>
                <w:sz w:val="18"/>
              </w:rPr>
              <w:t>-0.07</w:t>
            </w:r>
          </w:p>
        </w:tc>
        <w:tc>
          <w:tcPr>
            <w:tcW w:type="dxa" w:w="1296"/>
          </w:tcPr>
          <w:p>
            <w:pPr>
              <w:spacing w:after="0"/>
              <w:jc w:val="center"/>
            </w:pPr>
            <w:r/>
            <w:r>
              <w:rPr>
                <w:sz w:val="18"/>
              </w:rPr>
              <w:t>-0.76</w:t>
            </w:r>
          </w:p>
        </w:tc>
        <w:tc>
          <w:tcPr>
            <w:tcW w:type="dxa" w:w="1224"/>
          </w:tcPr>
          <w:p>
            <w:pPr>
              <w:spacing w:after="0"/>
              <w:jc w:val="center"/>
            </w:pPr>
            <w:r/>
            <w:r>
              <w:rPr>
                <w:sz w:val="18"/>
              </w:rPr>
              <w:t>-0.32</w:t>
            </w:r>
          </w:p>
        </w:tc>
        <w:tc>
          <w:tcPr>
            <w:tcW w:type="dxa" w:w="1368"/>
          </w:tcPr>
          <w:p>
            <w:pPr>
              <w:spacing w:after="0"/>
              <w:jc w:val="center"/>
            </w:pPr>
            <w:r/>
            <w:r>
              <w:rPr>
                <w:sz w:val="18"/>
              </w:rPr>
              <w:t>0.28</w:t>
            </w:r>
          </w:p>
        </w:tc>
        <w:tc>
          <w:tcPr>
            <w:tcW w:type="dxa" w:w="1296"/>
          </w:tcPr>
          <w:p>
            <w:pPr>
              <w:spacing w:after="0"/>
              <w:jc w:val="center"/>
            </w:pPr>
            <w:r/>
            <w:r>
              <w:rPr>
                <w:sz w:val="18"/>
              </w:rPr>
              <w:t>0.11</w:t>
            </w:r>
          </w:p>
        </w:tc>
        <w:tc>
          <w:tcPr>
            <w:tcW w:type="dxa" w:w="1368"/>
          </w:tcPr>
          <w:p>
            <w:pPr>
              <w:spacing w:after="0"/>
              <w:jc w:val="center"/>
            </w:pPr>
            <w:r/>
            <w:r>
              <w:rPr>
                <w:sz w:val="18"/>
              </w:rPr>
              <w:t>0.19</w:t>
            </w:r>
          </w:p>
        </w:tc>
      </w:tr>
      <w:tr>
        <w:tc>
          <w:tcPr>
            <w:tcW w:type="dxa" w:w="1152"/>
          </w:tcPr>
          <w:p>
            <w:pPr>
              <w:spacing w:after="0"/>
            </w:pPr>
            <w:r/>
            <w:r>
              <w:rPr>
                <w:sz w:val="18"/>
              </w:rPr>
              <w:t>90 d</w:t>
            </w:r>
          </w:p>
        </w:tc>
        <w:tc>
          <w:tcPr>
            <w:tcW w:type="dxa" w:w="1368"/>
          </w:tcPr>
          <w:p>
            <w:pPr>
              <w:spacing w:after="0"/>
              <w:jc w:val="center"/>
            </w:pPr>
            <w:r/>
            <w:r>
              <w:rPr>
                <w:sz w:val="18"/>
              </w:rPr>
              <w:t>-0.18</w:t>
            </w:r>
          </w:p>
        </w:tc>
        <w:tc>
          <w:tcPr>
            <w:tcW w:type="dxa" w:w="1296"/>
          </w:tcPr>
          <w:p>
            <w:pPr>
              <w:spacing w:after="0"/>
              <w:jc w:val="center"/>
            </w:pPr>
            <w:r/>
            <w:r>
              <w:rPr>
                <w:sz w:val="18"/>
              </w:rPr>
              <w:t>-0.76</w:t>
            </w:r>
          </w:p>
        </w:tc>
        <w:tc>
          <w:tcPr>
            <w:tcW w:type="dxa" w:w="1224"/>
          </w:tcPr>
          <w:p>
            <w:pPr>
              <w:spacing w:after="0"/>
              <w:jc w:val="center"/>
            </w:pPr>
            <w:r/>
            <w:r>
              <w:rPr>
                <w:sz w:val="18"/>
              </w:rPr>
              <w:t>-0.38</w:t>
            </w:r>
          </w:p>
        </w:tc>
        <w:tc>
          <w:tcPr>
            <w:tcW w:type="dxa" w:w="1368"/>
          </w:tcPr>
          <w:p>
            <w:pPr>
              <w:spacing w:after="0"/>
              <w:jc w:val="center"/>
            </w:pPr>
            <w:r/>
            <w:r>
              <w:rPr>
                <w:sz w:val="18"/>
              </w:rPr>
              <w:t>0.07</w:t>
            </w:r>
          </w:p>
        </w:tc>
        <w:tc>
          <w:tcPr>
            <w:tcW w:type="dxa" w:w="1296"/>
          </w:tcPr>
          <w:p>
            <w:pPr>
              <w:spacing w:after="0"/>
              <w:jc w:val="center"/>
            </w:pPr>
            <w:r/>
            <w:r>
              <w:rPr>
                <w:sz w:val="18"/>
              </w:rPr>
              <w:t>-0.07</w:t>
            </w:r>
          </w:p>
        </w:tc>
        <w:tc>
          <w:tcPr>
            <w:tcW w:type="dxa" w:w="1368"/>
          </w:tcPr>
          <w:p>
            <w:pPr>
              <w:spacing w:after="0"/>
              <w:jc w:val="center"/>
            </w:pPr>
            <w:r/>
            <w:r>
              <w:rPr>
                <w:sz w:val="18"/>
              </w:rPr>
              <w:t>0.16</w:t>
            </w:r>
          </w:p>
        </w:tc>
      </w:tr>
    </w:tbl>
    <w:p>
      <w:pPr>
        <w:spacing w:after="40"/>
      </w:pPr>
    </w:p>
    <w:p>
      <w:pPr>
        <w:pStyle w:val="Heading2"/>
      </w:pPr>
      <w:r>
        <w:t>5.2 New information and activity</w:t>
      </w:r>
    </w:p>
    <w:p>
      <w:pPr>
        <w:spacing w:after="120"/>
      </w:pPr>
      <w:r>
        <w:rPr>
          <w:b w:val="0"/>
          <w:i w:val="0"/>
        </w:rPr>
        <w:t>The brief suggests momentum is stronger when activity and new information are high. Activity is measured by abnormal dollar volume, today's dollar volume divided by its trailing 30-day average. Social media data are not freely available historically, so volume is the activity proxy. Figure 2 compares cross-sectional momentum on all coins, on only the high- or low-activity half of coins each day, and with the signal multiplied by each coin's volume-shock rank.</w:t>
      </w:r>
    </w:p>
    <w:p>
      <w:pPr>
        <w:keepNext/>
        <w:jc w:val="center"/>
      </w:pPr>
      <w:r>
        <w:drawing>
          <wp:inline xmlns:a="http://schemas.openxmlformats.org/drawingml/2006/main" xmlns:pic="http://schemas.openxmlformats.org/drawingml/2006/picture">
            <wp:extent cx="5760720" cy="2534717"/>
            <wp:docPr id="2" name="Picture 2"/>
            <wp:cNvGraphicFramePr>
              <a:graphicFrameLocks noChangeAspect="1"/>
            </wp:cNvGraphicFramePr>
            <a:graphic>
              <a:graphicData uri="http://schemas.openxmlformats.org/drawingml/2006/picture">
                <pic:pic>
                  <pic:nvPicPr>
                    <pic:cNvPr id="0" name="B_activity_volume.png"/>
                    <pic:cNvPicPr/>
                  </pic:nvPicPr>
                  <pic:blipFill>
                    <a:blip r:embed="rId10"/>
                    <a:stretch>
                      <a:fillRect/>
                    </a:stretch>
                  </pic:blipFill>
                  <pic:spPr>
                    <a:xfrm>
                      <a:off x="0" y="0"/>
                      <a:ext cx="5760720" cy="2534717"/>
                    </a:xfrm>
                    <a:prstGeom prst="rect"/>
                  </pic:spPr>
                </pic:pic>
              </a:graphicData>
            </a:graphic>
          </wp:inline>
        </w:drawing>
      </w:r>
    </w:p>
    <w:p>
      <w:pPr>
        <w:spacing w:after="200"/>
        <w:jc w:val="center"/>
      </w:pPr>
      <w:r>
        <w:rPr>
          <w:i/>
          <w:sz w:val="19"/>
        </w:rPr>
        <w:t>Figure 2. Cross-sectional momentum conditioned on abnormal dollar volume.</w:t>
      </w:r>
    </w:p>
    <w:p>
      <w:pPr>
        <w:spacing w:after="120"/>
      </w:pPr>
      <w:r>
        <w:rPr>
          <w:b w:val="0"/>
          <w:i w:val="0"/>
        </w:rPr>
        <w:t>At the shortest horizons, activity strengthens momentum as the brief predicts. One-day momentum has a gross Sharpe of 0.49 among high-activity coins against 0.18 among low-activity coins. Weighting the signal by volume shock lifts the 1-day Sharpe from 0.53 to 0.61 and the 3-day Sharpe from 0.79 to 0.95, and the improvement holds in the hold-out period (0.63 to 1.01 at 3 days). At 7 to 14 days the effect fades. Restricting to half the coins hurts in both halves because the portfolio is less diversified, so the volume-weighted version is the useful one.</w:t>
      </w:r>
    </w:p>
    <w:p>
      <w:pPr>
        <w:pStyle w:val="Heading2"/>
      </w:pPr>
      <w:r>
        <w:t>5.3 Seasonality: weekdays vs weekends, day vs night</w:t>
      </w:r>
    </w:p>
    <w:p>
      <w:pPr>
        <w:spacing w:after="120"/>
      </w:pPr>
      <w:r>
        <w:rPr>
          <w:b w:val="0"/>
          <w:i w:val="0"/>
        </w:rPr>
        <w:t>Institutions mostly trade on weekdays during working hours, while retail trades around the clock. Figure 3 shows the day-of-week profile of the main strategies.</w:t>
      </w:r>
    </w:p>
    <w:p>
      <w:pPr>
        <w:keepNext/>
        <w:jc w:val="center"/>
      </w:pPr>
      <w:r>
        <w:drawing>
          <wp:inline xmlns:a="http://schemas.openxmlformats.org/drawingml/2006/main" xmlns:pic="http://schemas.openxmlformats.org/drawingml/2006/picture">
            <wp:extent cx="5760720" cy="2419502"/>
            <wp:docPr id="3" name="Picture 3"/>
            <wp:cNvGraphicFramePr>
              <a:graphicFrameLocks noChangeAspect="1"/>
            </wp:cNvGraphicFramePr>
            <a:graphic>
              <a:graphicData uri="http://schemas.openxmlformats.org/drawingml/2006/picture">
                <pic:pic>
                  <pic:nvPicPr>
                    <pic:cNvPr id="0" name="C_day_of_week.png"/>
                    <pic:cNvPicPr/>
                  </pic:nvPicPr>
                  <pic:blipFill>
                    <a:blip r:embed="rId11"/>
                    <a:stretch>
                      <a:fillRect/>
                    </a:stretch>
                  </pic:blipFill>
                  <pic:spPr>
                    <a:xfrm>
                      <a:off x="0" y="0"/>
                      <a:ext cx="5760720" cy="2419502"/>
                    </a:xfrm>
                    <a:prstGeom prst="rect"/>
                  </pic:spPr>
                </pic:pic>
              </a:graphicData>
            </a:graphic>
          </wp:inline>
        </w:drawing>
      </w:r>
    </w:p>
    <w:p>
      <w:pPr>
        <w:spacing w:after="200"/>
        <w:jc w:val="center"/>
      </w:pPr>
      <w:r>
        <w:rPr>
          <w:i/>
          <w:sz w:val="19"/>
        </w:rPr>
        <w:t>Figure 3. Mean gross daily return of each strategy by day of week (weekend shaded).</w:t>
      </w:r>
    </w:p>
    <w:p>
      <w:pPr>
        <w:spacing w:after="120"/>
      </w:pPr>
      <w:r>
        <w:rPr>
          <w:b w:val="0"/>
          <w:i w:val="0"/>
        </w:rPr>
        <w:t>Time-series momentum is much stronger on weekends: gross Sharpe 1.77 on Saturdays and Sundays against 0.39 on weekdays. When institutions are away, retail-driven trends persist; on weekdays (especially Tuesday and Wednesday) institutional flow tends to interrupt them. Cross-sectional and theme momentum show the opposite tilt and earn more on weekdays. A weekend-only time-series momentum book has a higher research-period gross Sharpe (1.32) than the all-days version (0.93), but opening and closing every weekend adds turnover, so it does not beat the all-days book after 20 bps costs.</w:t>
      </w:r>
    </w:p>
    <w:p>
      <w:pPr>
        <w:spacing w:after="120"/>
      </w:pPr>
      <w:r>
        <w:rPr>
          <w:b w:val="0"/>
          <w:i w:val="0"/>
        </w:rPr>
        <w:t>Using hourly data, Figure 4 (right) splits the equal-weight crypto return by trading session. On weekdays the US session (13:00-21:00 UTC) has a negative average return (-1.11 bps per hour) while the late-US / early-Asia hours earn the most (2.21 bps per hour). Crypto gains have accrued outside US working hours, a 'night effect' consistent with institutional selling pressure during the US day and retail buying outside it.</w:t>
      </w:r>
    </w:p>
    <w:p>
      <w:pPr>
        <w:keepNext/>
        <w:jc w:val="center"/>
      </w:pPr>
      <w:r>
        <w:drawing>
          <wp:inline xmlns:a="http://schemas.openxmlformats.org/drawingml/2006/main" xmlns:pic="http://schemas.openxmlformats.org/drawingml/2006/picture">
            <wp:extent cx="5760720" cy="2199548"/>
            <wp:docPr id="4" name="Picture 4"/>
            <wp:cNvGraphicFramePr>
              <a:graphicFrameLocks noChangeAspect="1"/>
            </wp:cNvGraphicFramePr>
            <a:graphic>
              <a:graphicData uri="http://schemas.openxmlformats.org/drawingml/2006/picture">
                <pic:pic>
                  <pic:nvPicPr>
                    <pic:cNvPr id="0" name="C_intraday_sessions.png"/>
                    <pic:cNvPicPr/>
                  </pic:nvPicPr>
                  <pic:blipFill>
                    <a:blip r:embed="rId12"/>
                    <a:stretch>
                      <a:fillRect/>
                    </a:stretch>
                  </pic:blipFill>
                  <pic:spPr>
                    <a:xfrm>
                      <a:off x="0" y="0"/>
                      <a:ext cx="5760720" cy="2199548"/>
                    </a:xfrm>
                    <a:prstGeom prst="rect"/>
                  </pic:spPr>
                </pic:pic>
              </a:graphicData>
            </a:graphic>
          </wp:inline>
        </w:drawing>
      </w:r>
    </w:p>
    <w:p>
      <w:pPr>
        <w:spacing w:after="200"/>
        <w:jc w:val="center"/>
      </w:pPr>
      <w:r>
        <w:rPr>
          <w:i/>
          <w:sz w:val="19"/>
        </w:rPr>
        <w:t>Figure 4. Left: intraday cross-sectional signal by look-back (negative = reversal). Right: mean return by session.</w:t>
      </w:r>
    </w:p>
    <w:p>
      <w:pPr>
        <w:pStyle w:val="Heading2"/>
      </w:pPr>
      <w:r>
        <w:t>5.4 Investment themes</w:t>
      </w:r>
    </w:p>
    <w:p>
      <w:pPr>
        <w:spacing w:after="120"/>
      </w:pPr>
      <w:r>
        <w:rPr>
          <w:b w:val="0"/>
          <w:i w:val="0"/>
        </w:rPr>
        <w:t>Theme momentum ranks the four theme indices on their trailing return, goes long the best themes and short the worst, and spreads each theme's weight equally across its coins.</w:t>
      </w:r>
    </w:p>
    <w:p>
      <w:pPr>
        <w:keepNext/>
        <w:jc w:val="center"/>
      </w:pPr>
      <w:r>
        <w:drawing>
          <wp:inline xmlns:a="http://schemas.openxmlformats.org/drawingml/2006/main" xmlns:pic="http://schemas.openxmlformats.org/drawingml/2006/picture">
            <wp:extent cx="5760720" cy="2534717"/>
            <wp:docPr id="5" name="Picture 5"/>
            <wp:cNvGraphicFramePr>
              <a:graphicFrameLocks noChangeAspect="1"/>
            </wp:cNvGraphicFramePr>
            <a:graphic>
              <a:graphicData uri="http://schemas.openxmlformats.org/drawingml/2006/picture">
                <pic:pic>
                  <pic:nvPicPr>
                    <pic:cNvPr id="0" name="D_theme_indices.png"/>
                    <pic:cNvPicPr/>
                  </pic:nvPicPr>
                  <pic:blipFill>
                    <a:blip r:embed="rId13"/>
                    <a:stretch>
                      <a:fillRect/>
                    </a:stretch>
                  </pic:blipFill>
                  <pic:spPr>
                    <a:xfrm>
                      <a:off x="0" y="0"/>
                      <a:ext cx="5760720" cy="2534717"/>
                    </a:xfrm>
                    <a:prstGeom prst="rect"/>
                  </pic:spPr>
                </pic:pic>
              </a:graphicData>
            </a:graphic>
          </wp:inline>
        </w:drawing>
      </w:r>
    </w:p>
    <w:p>
      <w:pPr>
        <w:spacing w:after="200"/>
        <w:jc w:val="center"/>
      </w:pPr>
      <w:r>
        <w:rPr>
          <w:i/>
          <w:sz w:val="19"/>
        </w:rPr>
        <w:t>Figure 5. Equal-weight theme indices (growth of $1, log scale).</w:t>
      </w:r>
    </w:p>
    <w:p>
      <w:pPr>
        <w:spacing w:after="120"/>
      </w:pPr>
      <w:r>
        <w:rPr>
          <w:b w:val="0"/>
          <w:i w:val="0"/>
        </w:rPr>
        <w:t>Theme momentum is the strongest gross signal in the research period: with a 14-day look-back it earns a gross Sharpe of 2.02 in 2021-2023 and 1.36 over the full sample. Themes rotate slowly, so turnover is modest. However, the signal weakened sharply in the hold-out period (gross Sharpe 0.66). Theme moves in 2024-2026 came in short, sharp bursts that then reversed - the payments &amp; meme theme rose about 150% in 2024 and fell about 36% from January 2025 - so trailing theme returns stopped predicting the following weeks. Table 4 shows the grid.</w:t>
      </w:r>
    </w:p>
    <w:p>
      <w:pPr>
        <w:keepNext/>
        <w:spacing w:after="60"/>
      </w:pPr>
      <w:r>
        <w:rPr>
          <w:b/>
          <w:sz w:val="20"/>
        </w:rPr>
        <w:t>Table 4. Theme momentum grid (look-back and holding period).</w:t>
      </w:r>
    </w:p>
    <w:tbl>
      <w:tblPr>
        <w:tblStyle w:val="TableGrid"/>
        <w:tblW w:type="auto" w:w="0"/>
        <w:jc w:val="center"/>
        <w:tblLayout w:type="fixed"/>
        <w:tblLook w:firstColumn="1" w:firstRow="1" w:lastColumn="0" w:lastRow="0" w:noHBand="0" w:noVBand="1" w:val="04A0"/>
      </w:tblPr>
      <w:tblGrid>
        <w:gridCol w:w="1152"/>
        <w:gridCol w:w="864"/>
        <w:gridCol w:w="1152"/>
        <w:gridCol w:w="1224"/>
        <w:gridCol w:w="1584"/>
        <w:gridCol w:w="1440"/>
        <w:gridCol w:w="1152"/>
      </w:tblGrid>
      <w:tr>
        <w:tc>
          <w:tcPr>
            <w:tcW w:type="dxa" w:w="1152"/>
            <w:shd w:val="clear" w:fill="1F3864"/>
          </w:tcPr>
          <w:p>
            <w:pPr>
              <w:jc w:val="left"/>
            </w:pPr>
            <w:r/>
            <w:r>
              <w:rPr>
                <w:b/>
                <w:color w:val="FFFFFF"/>
                <w:sz w:val="18"/>
              </w:rPr>
              <w:t>Look-back</w:t>
            </w:r>
          </w:p>
        </w:tc>
        <w:tc>
          <w:tcPr>
            <w:tcW w:type="dxa" w:w="864"/>
            <w:shd w:val="clear" w:fill="1F3864"/>
          </w:tcPr>
          <w:p>
            <w:pPr>
              <w:jc w:val="center"/>
            </w:pPr>
            <w:r/>
            <w:r>
              <w:rPr>
                <w:b/>
                <w:color w:val="FFFFFF"/>
                <w:sz w:val="18"/>
              </w:rPr>
              <w:t>Hold</w:t>
            </w:r>
          </w:p>
        </w:tc>
        <w:tc>
          <w:tcPr>
            <w:tcW w:type="dxa" w:w="1152"/>
            <w:shd w:val="clear" w:fill="1F3864"/>
          </w:tcPr>
          <w:p>
            <w:pPr>
              <w:jc w:val="center"/>
            </w:pPr>
            <w:r/>
            <w:r>
              <w:rPr>
                <w:b/>
                <w:color w:val="FFFFFF"/>
                <w:sz w:val="18"/>
              </w:rPr>
              <w:t>Gross IS</w:t>
            </w:r>
          </w:p>
        </w:tc>
        <w:tc>
          <w:tcPr>
            <w:tcW w:type="dxa" w:w="1224"/>
            <w:shd w:val="clear" w:fill="1F3864"/>
          </w:tcPr>
          <w:p>
            <w:pPr>
              <w:jc w:val="center"/>
            </w:pPr>
            <w:r/>
            <w:r>
              <w:rPr>
                <w:b/>
                <w:color w:val="FFFFFF"/>
                <w:sz w:val="18"/>
              </w:rPr>
              <w:t>Gross OOS</w:t>
            </w:r>
          </w:p>
        </w:tc>
        <w:tc>
          <w:tcPr>
            <w:tcW w:type="dxa" w:w="1584"/>
            <w:shd w:val="clear" w:fill="1F3864"/>
          </w:tcPr>
          <w:p>
            <w:pPr>
              <w:jc w:val="center"/>
            </w:pPr>
            <w:r/>
            <w:r>
              <w:rPr>
                <w:b/>
                <w:color w:val="FFFFFF"/>
                <w:sz w:val="18"/>
              </w:rPr>
              <w:t>Net 20 bps (full)</w:t>
            </w:r>
          </w:p>
        </w:tc>
        <w:tc>
          <w:tcPr>
            <w:tcW w:type="dxa" w:w="1440"/>
            <w:shd w:val="clear" w:fill="1F3864"/>
          </w:tcPr>
          <w:p>
            <w:pPr>
              <w:jc w:val="center"/>
            </w:pPr>
            <w:r/>
            <w:r>
              <w:rPr>
                <w:b/>
                <w:color w:val="FFFFFF"/>
                <w:sz w:val="18"/>
              </w:rPr>
              <w:t>Net 7 bps (full)</w:t>
            </w:r>
          </w:p>
        </w:tc>
        <w:tc>
          <w:tcPr>
            <w:tcW w:type="dxa" w:w="1152"/>
            <w:shd w:val="clear" w:fill="1F3864"/>
          </w:tcPr>
          <w:p>
            <w:pPr>
              <w:jc w:val="center"/>
            </w:pPr>
            <w:r/>
            <w:r>
              <w:rPr>
                <w:b/>
                <w:color w:val="FFFFFF"/>
                <w:sz w:val="18"/>
              </w:rPr>
              <w:t>Turnover</w:t>
            </w:r>
          </w:p>
        </w:tc>
      </w:tr>
      <w:tr>
        <w:tc>
          <w:tcPr>
            <w:tcW w:type="dxa" w:w="1152"/>
          </w:tcPr>
          <w:p>
            <w:pPr>
              <w:spacing w:after="0"/>
            </w:pPr>
            <w:r/>
            <w:r>
              <w:rPr>
                <w:sz w:val="18"/>
              </w:rPr>
              <w:t>7d</w:t>
            </w:r>
          </w:p>
        </w:tc>
        <w:tc>
          <w:tcPr>
            <w:tcW w:type="dxa" w:w="864"/>
          </w:tcPr>
          <w:p>
            <w:pPr>
              <w:spacing w:after="0"/>
              <w:jc w:val="center"/>
            </w:pPr>
            <w:r/>
            <w:r>
              <w:rPr>
                <w:sz w:val="18"/>
              </w:rPr>
              <w:t>1d</w:t>
            </w:r>
          </w:p>
        </w:tc>
        <w:tc>
          <w:tcPr>
            <w:tcW w:type="dxa" w:w="1152"/>
          </w:tcPr>
          <w:p>
            <w:pPr>
              <w:spacing w:after="0"/>
              <w:jc w:val="center"/>
            </w:pPr>
            <w:r/>
            <w:r>
              <w:rPr>
                <w:sz w:val="18"/>
              </w:rPr>
              <w:t>1.31</w:t>
            </w:r>
          </w:p>
        </w:tc>
        <w:tc>
          <w:tcPr>
            <w:tcW w:type="dxa" w:w="1224"/>
          </w:tcPr>
          <w:p>
            <w:pPr>
              <w:spacing w:after="0"/>
              <w:jc w:val="center"/>
            </w:pPr>
            <w:r/>
            <w:r>
              <w:rPr>
                <w:sz w:val="18"/>
              </w:rPr>
              <w:t>0.46</w:t>
            </w:r>
          </w:p>
        </w:tc>
        <w:tc>
          <w:tcPr>
            <w:tcW w:type="dxa" w:w="1584"/>
          </w:tcPr>
          <w:p>
            <w:pPr>
              <w:spacing w:after="0"/>
              <w:jc w:val="center"/>
            </w:pPr>
            <w:r/>
            <w:r>
              <w:rPr>
                <w:sz w:val="18"/>
              </w:rPr>
              <w:t>-0.89</w:t>
            </w:r>
          </w:p>
        </w:tc>
        <w:tc>
          <w:tcPr>
            <w:tcW w:type="dxa" w:w="1440"/>
          </w:tcPr>
          <w:p>
            <w:pPr>
              <w:spacing w:after="0"/>
              <w:jc w:val="center"/>
            </w:pPr>
            <w:r/>
            <w:r>
              <w:rPr>
                <w:sz w:val="18"/>
              </w:rPr>
              <w:t>0.25</w:t>
            </w:r>
          </w:p>
        </w:tc>
        <w:tc>
          <w:tcPr>
            <w:tcW w:type="dxa" w:w="1152"/>
          </w:tcPr>
          <w:p>
            <w:pPr>
              <w:spacing w:after="0"/>
              <w:jc w:val="center"/>
            </w:pPr>
            <w:r/>
            <w:r>
              <w:rPr>
                <w:sz w:val="18"/>
              </w:rPr>
              <w:t>0.46</w:t>
            </w:r>
          </w:p>
        </w:tc>
      </w:tr>
      <w:tr>
        <w:tc>
          <w:tcPr>
            <w:tcW w:type="dxa" w:w="1152"/>
          </w:tcPr>
          <w:p>
            <w:pPr>
              <w:spacing w:after="0"/>
            </w:pPr>
            <w:r/>
            <w:r>
              <w:rPr>
                <w:sz w:val="18"/>
              </w:rPr>
              <w:t>7d</w:t>
            </w:r>
          </w:p>
        </w:tc>
        <w:tc>
          <w:tcPr>
            <w:tcW w:type="dxa" w:w="864"/>
          </w:tcPr>
          <w:p>
            <w:pPr>
              <w:spacing w:after="0"/>
              <w:jc w:val="center"/>
            </w:pPr>
            <w:r/>
            <w:r>
              <w:rPr>
                <w:sz w:val="18"/>
              </w:rPr>
              <w:t>7d</w:t>
            </w:r>
          </w:p>
        </w:tc>
        <w:tc>
          <w:tcPr>
            <w:tcW w:type="dxa" w:w="1152"/>
          </w:tcPr>
          <w:p>
            <w:pPr>
              <w:spacing w:after="0"/>
              <w:jc w:val="center"/>
            </w:pPr>
            <w:r/>
            <w:r>
              <w:rPr>
                <w:sz w:val="18"/>
              </w:rPr>
              <w:t>1.30</w:t>
            </w:r>
          </w:p>
        </w:tc>
        <w:tc>
          <w:tcPr>
            <w:tcW w:type="dxa" w:w="1224"/>
          </w:tcPr>
          <w:p>
            <w:pPr>
              <w:spacing w:after="0"/>
              <w:jc w:val="center"/>
            </w:pPr>
            <w:r/>
            <w:r>
              <w:rPr>
                <w:sz w:val="18"/>
              </w:rPr>
              <w:t>0.41</w:t>
            </w:r>
          </w:p>
        </w:tc>
        <w:tc>
          <w:tcPr>
            <w:tcW w:type="dxa" w:w="1584"/>
          </w:tcPr>
          <w:p>
            <w:pPr>
              <w:spacing w:after="0"/>
              <w:jc w:val="center"/>
            </w:pPr>
            <w:r/>
            <w:r>
              <w:rPr>
                <w:sz w:val="18"/>
              </w:rPr>
              <w:t>-0.10</w:t>
            </w:r>
          </w:p>
        </w:tc>
        <w:tc>
          <w:tcPr>
            <w:tcW w:type="dxa" w:w="1440"/>
          </w:tcPr>
          <w:p>
            <w:pPr>
              <w:spacing w:after="0"/>
              <w:jc w:val="center"/>
            </w:pPr>
            <w:r/>
            <w:r>
              <w:rPr>
                <w:sz w:val="18"/>
              </w:rPr>
              <w:t>0.53</w:t>
            </w:r>
          </w:p>
        </w:tc>
        <w:tc>
          <w:tcPr>
            <w:tcW w:type="dxa" w:w="1152"/>
          </w:tcPr>
          <w:p>
            <w:pPr>
              <w:spacing w:after="0"/>
              <w:jc w:val="center"/>
            </w:pPr>
            <w:r/>
            <w:r>
              <w:rPr>
                <w:sz w:val="18"/>
              </w:rPr>
              <w:t>0.26</w:t>
            </w:r>
          </w:p>
        </w:tc>
      </w:tr>
      <w:tr>
        <w:tc>
          <w:tcPr>
            <w:tcW w:type="dxa" w:w="1152"/>
          </w:tcPr>
          <w:p>
            <w:pPr>
              <w:spacing w:after="0"/>
            </w:pPr>
            <w:r/>
            <w:r>
              <w:rPr>
                <w:sz w:val="18"/>
              </w:rPr>
              <w:t>14d</w:t>
            </w:r>
          </w:p>
        </w:tc>
        <w:tc>
          <w:tcPr>
            <w:tcW w:type="dxa" w:w="864"/>
          </w:tcPr>
          <w:p>
            <w:pPr>
              <w:spacing w:after="0"/>
              <w:jc w:val="center"/>
            </w:pPr>
            <w:r/>
            <w:r>
              <w:rPr>
                <w:sz w:val="18"/>
              </w:rPr>
              <w:t>1d</w:t>
            </w:r>
          </w:p>
        </w:tc>
        <w:tc>
          <w:tcPr>
            <w:tcW w:type="dxa" w:w="1152"/>
          </w:tcPr>
          <w:p>
            <w:pPr>
              <w:spacing w:after="0"/>
              <w:jc w:val="center"/>
            </w:pPr>
            <w:r/>
            <w:r>
              <w:rPr>
                <w:sz w:val="18"/>
              </w:rPr>
              <w:t>2.02</w:t>
            </w:r>
          </w:p>
        </w:tc>
        <w:tc>
          <w:tcPr>
            <w:tcW w:type="dxa" w:w="1224"/>
          </w:tcPr>
          <w:p>
            <w:pPr>
              <w:spacing w:after="0"/>
              <w:jc w:val="center"/>
            </w:pPr>
            <w:r/>
            <w:r>
              <w:rPr>
                <w:sz w:val="18"/>
              </w:rPr>
              <w:t>0.66</w:t>
            </w:r>
          </w:p>
        </w:tc>
        <w:tc>
          <w:tcPr>
            <w:tcW w:type="dxa" w:w="1584"/>
          </w:tcPr>
          <w:p>
            <w:pPr>
              <w:spacing w:after="0"/>
              <w:jc w:val="center"/>
            </w:pPr>
            <w:r/>
            <w:r>
              <w:rPr>
                <w:sz w:val="18"/>
              </w:rPr>
              <w:t>0.15</w:t>
            </w:r>
          </w:p>
        </w:tc>
        <w:tc>
          <w:tcPr>
            <w:tcW w:type="dxa" w:w="1440"/>
          </w:tcPr>
          <w:p>
            <w:pPr>
              <w:spacing w:after="0"/>
              <w:jc w:val="center"/>
            </w:pPr>
            <w:r/>
            <w:r>
              <w:rPr>
                <w:sz w:val="18"/>
              </w:rPr>
              <w:t>0.93</w:t>
            </w:r>
          </w:p>
        </w:tc>
        <w:tc>
          <w:tcPr>
            <w:tcW w:type="dxa" w:w="1152"/>
          </w:tcPr>
          <w:p>
            <w:pPr>
              <w:spacing w:after="0"/>
              <w:jc w:val="center"/>
            </w:pPr>
            <w:r/>
            <w:r>
              <w:rPr>
                <w:sz w:val="18"/>
              </w:rPr>
              <w:t>0.31</w:t>
            </w:r>
          </w:p>
        </w:tc>
      </w:tr>
      <w:tr>
        <w:tc>
          <w:tcPr>
            <w:tcW w:type="dxa" w:w="1152"/>
          </w:tcPr>
          <w:p>
            <w:pPr>
              <w:spacing w:after="0"/>
            </w:pPr>
            <w:r/>
            <w:r>
              <w:rPr>
                <w:sz w:val="18"/>
              </w:rPr>
              <w:t>14d</w:t>
            </w:r>
          </w:p>
        </w:tc>
        <w:tc>
          <w:tcPr>
            <w:tcW w:type="dxa" w:w="864"/>
          </w:tcPr>
          <w:p>
            <w:pPr>
              <w:spacing w:after="0"/>
              <w:jc w:val="center"/>
            </w:pPr>
            <w:r/>
            <w:r>
              <w:rPr>
                <w:sz w:val="18"/>
              </w:rPr>
              <w:t>7d</w:t>
            </w:r>
          </w:p>
        </w:tc>
        <w:tc>
          <w:tcPr>
            <w:tcW w:type="dxa" w:w="1152"/>
          </w:tcPr>
          <w:p>
            <w:pPr>
              <w:spacing w:after="0"/>
              <w:jc w:val="center"/>
            </w:pPr>
            <w:r/>
            <w:r>
              <w:rPr>
                <w:sz w:val="18"/>
              </w:rPr>
              <w:t>1.73</w:t>
            </w:r>
          </w:p>
        </w:tc>
        <w:tc>
          <w:tcPr>
            <w:tcW w:type="dxa" w:w="1224"/>
          </w:tcPr>
          <w:p>
            <w:pPr>
              <w:spacing w:after="0"/>
              <w:jc w:val="center"/>
            </w:pPr>
            <w:r/>
            <w:r>
              <w:rPr>
                <w:sz w:val="18"/>
              </w:rPr>
              <w:t>0.12</w:t>
            </w:r>
          </w:p>
        </w:tc>
        <w:tc>
          <w:tcPr>
            <w:tcW w:type="dxa" w:w="1584"/>
          </w:tcPr>
          <w:p>
            <w:pPr>
              <w:spacing w:after="0"/>
              <w:jc w:val="center"/>
            </w:pPr>
            <w:r/>
            <w:r>
              <w:rPr>
                <w:sz w:val="18"/>
              </w:rPr>
              <w:t>0.36</w:t>
            </w:r>
          </w:p>
        </w:tc>
        <w:tc>
          <w:tcPr>
            <w:tcW w:type="dxa" w:w="1440"/>
          </w:tcPr>
          <w:p>
            <w:pPr>
              <w:spacing w:after="0"/>
              <w:jc w:val="center"/>
            </w:pPr>
            <w:r/>
            <w:r>
              <w:rPr>
                <w:sz w:val="18"/>
              </w:rPr>
              <w:t>0.76</w:t>
            </w:r>
          </w:p>
        </w:tc>
        <w:tc>
          <w:tcPr>
            <w:tcW w:type="dxa" w:w="1152"/>
          </w:tcPr>
          <w:p>
            <w:pPr>
              <w:spacing w:after="0"/>
              <w:jc w:val="center"/>
            </w:pPr>
            <w:r/>
            <w:r>
              <w:rPr>
                <w:sz w:val="18"/>
              </w:rPr>
              <w:t>0.16</w:t>
            </w:r>
          </w:p>
        </w:tc>
      </w:tr>
      <w:tr>
        <w:tc>
          <w:tcPr>
            <w:tcW w:type="dxa" w:w="1152"/>
          </w:tcPr>
          <w:p>
            <w:pPr>
              <w:spacing w:after="0"/>
            </w:pPr>
            <w:r/>
            <w:r>
              <w:rPr>
                <w:sz w:val="18"/>
              </w:rPr>
              <w:t>21d</w:t>
            </w:r>
          </w:p>
        </w:tc>
        <w:tc>
          <w:tcPr>
            <w:tcW w:type="dxa" w:w="864"/>
          </w:tcPr>
          <w:p>
            <w:pPr>
              <w:spacing w:after="0"/>
              <w:jc w:val="center"/>
            </w:pPr>
            <w:r/>
            <w:r>
              <w:rPr>
                <w:sz w:val="18"/>
              </w:rPr>
              <w:t>1d</w:t>
            </w:r>
          </w:p>
        </w:tc>
        <w:tc>
          <w:tcPr>
            <w:tcW w:type="dxa" w:w="1152"/>
          </w:tcPr>
          <w:p>
            <w:pPr>
              <w:spacing w:after="0"/>
              <w:jc w:val="center"/>
            </w:pPr>
            <w:r/>
            <w:r>
              <w:rPr>
                <w:sz w:val="18"/>
              </w:rPr>
              <w:t>1.99</w:t>
            </w:r>
          </w:p>
        </w:tc>
        <w:tc>
          <w:tcPr>
            <w:tcW w:type="dxa" w:w="1224"/>
          </w:tcPr>
          <w:p>
            <w:pPr>
              <w:spacing w:after="0"/>
              <w:jc w:val="center"/>
            </w:pPr>
            <w:r/>
            <w:r>
              <w:rPr>
                <w:sz w:val="18"/>
              </w:rPr>
              <w:t>0.30</w:t>
            </w:r>
          </w:p>
        </w:tc>
        <w:tc>
          <w:tcPr>
            <w:tcW w:type="dxa" w:w="1584"/>
          </w:tcPr>
          <w:p>
            <w:pPr>
              <w:spacing w:after="0"/>
              <w:jc w:val="center"/>
            </w:pPr>
            <w:r/>
            <w:r>
              <w:rPr>
                <w:sz w:val="18"/>
              </w:rPr>
              <w:t>0.21</w:t>
            </w:r>
          </w:p>
        </w:tc>
        <w:tc>
          <w:tcPr>
            <w:tcW w:type="dxa" w:w="1440"/>
          </w:tcPr>
          <w:p>
            <w:pPr>
              <w:spacing w:after="0"/>
              <w:jc w:val="center"/>
            </w:pPr>
            <w:r/>
            <w:r>
              <w:rPr>
                <w:sz w:val="18"/>
              </w:rPr>
              <w:t>0.84</w:t>
            </w:r>
          </w:p>
        </w:tc>
        <w:tc>
          <w:tcPr>
            <w:tcW w:type="dxa" w:w="1152"/>
          </w:tcPr>
          <w:p>
            <w:pPr>
              <w:spacing w:after="0"/>
              <w:jc w:val="center"/>
            </w:pPr>
            <w:r/>
            <w:r>
              <w:rPr>
                <w:sz w:val="18"/>
              </w:rPr>
              <w:t>0.25</w:t>
            </w:r>
          </w:p>
        </w:tc>
      </w:tr>
      <w:tr>
        <w:tc>
          <w:tcPr>
            <w:tcW w:type="dxa" w:w="1152"/>
          </w:tcPr>
          <w:p>
            <w:pPr>
              <w:spacing w:after="0"/>
            </w:pPr>
            <w:r/>
            <w:r>
              <w:rPr>
                <w:sz w:val="18"/>
              </w:rPr>
              <w:t>21d</w:t>
            </w:r>
          </w:p>
        </w:tc>
        <w:tc>
          <w:tcPr>
            <w:tcW w:type="dxa" w:w="864"/>
          </w:tcPr>
          <w:p>
            <w:pPr>
              <w:spacing w:after="0"/>
              <w:jc w:val="center"/>
            </w:pPr>
            <w:r/>
            <w:r>
              <w:rPr>
                <w:sz w:val="18"/>
              </w:rPr>
              <w:t>7d</w:t>
            </w:r>
          </w:p>
        </w:tc>
        <w:tc>
          <w:tcPr>
            <w:tcW w:type="dxa" w:w="1152"/>
          </w:tcPr>
          <w:p>
            <w:pPr>
              <w:spacing w:after="0"/>
              <w:jc w:val="center"/>
            </w:pPr>
            <w:r/>
            <w:r>
              <w:rPr>
                <w:sz w:val="18"/>
              </w:rPr>
              <w:t>1.51</w:t>
            </w:r>
          </w:p>
        </w:tc>
        <w:tc>
          <w:tcPr>
            <w:tcW w:type="dxa" w:w="1224"/>
          </w:tcPr>
          <w:p>
            <w:pPr>
              <w:spacing w:after="0"/>
              <w:jc w:val="center"/>
            </w:pPr>
            <w:r/>
            <w:r>
              <w:rPr>
                <w:sz w:val="18"/>
              </w:rPr>
              <w:t>0.47</w:t>
            </w:r>
          </w:p>
        </w:tc>
        <w:tc>
          <w:tcPr>
            <w:tcW w:type="dxa" w:w="1584"/>
          </w:tcPr>
          <w:p>
            <w:pPr>
              <w:spacing w:after="0"/>
              <w:jc w:val="center"/>
            </w:pPr>
            <w:r/>
            <w:r>
              <w:rPr>
                <w:sz w:val="18"/>
              </w:rPr>
              <w:t>0.51</w:t>
            </w:r>
          </w:p>
        </w:tc>
        <w:tc>
          <w:tcPr>
            <w:tcW w:type="dxa" w:w="1440"/>
          </w:tcPr>
          <w:p>
            <w:pPr>
              <w:spacing w:after="0"/>
              <w:jc w:val="center"/>
            </w:pPr>
            <w:r/>
            <w:r>
              <w:rPr>
                <w:sz w:val="18"/>
              </w:rPr>
              <w:t>0.84</w:t>
            </w:r>
          </w:p>
        </w:tc>
        <w:tc>
          <w:tcPr>
            <w:tcW w:type="dxa" w:w="1152"/>
          </w:tcPr>
          <w:p>
            <w:pPr>
              <w:spacing w:after="0"/>
              <w:jc w:val="center"/>
            </w:pPr>
            <w:r/>
            <w:r>
              <w:rPr>
                <w:sz w:val="18"/>
              </w:rPr>
              <w:t>0.13</w:t>
            </w:r>
          </w:p>
        </w:tc>
      </w:tr>
      <w:tr>
        <w:tc>
          <w:tcPr>
            <w:tcW w:type="dxa" w:w="1152"/>
          </w:tcPr>
          <w:p>
            <w:pPr>
              <w:spacing w:after="0"/>
            </w:pPr>
            <w:r/>
            <w:r>
              <w:rPr>
                <w:sz w:val="18"/>
              </w:rPr>
              <w:t>30d</w:t>
            </w:r>
          </w:p>
        </w:tc>
        <w:tc>
          <w:tcPr>
            <w:tcW w:type="dxa" w:w="864"/>
          </w:tcPr>
          <w:p>
            <w:pPr>
              <w:spacing w:after="0"/>
              <w:jc w:val="center"/>
            </w:pPr>
            <w:r/>
            <w:r>
              <w:rPr>
                <w:sz w:val="18"/>
              </w:rPr>
              <w:t>1d</w:t>
            </w:r>
          </w:p>
        </w:tc>
        <w:tc>
          <w:tcPr>
            <w:tcW w:type="dxa" w:w="1152"/>
          </w:tcPr>
          <w:p>
            <w:pPr>
              <w:spacing w:after="0"/>
              <w:jc w:val="center"/>
            </w:pPr>
            <w:r/>
            <w:r>
              <w:rPr>
                <w:sz w:val="18"/>
              </w:rPr>
              <w:t>1.76</w:t>
            </w:r>
          </w:p>
        </w:tc>
        <w:tc>
          <w:tcPr>
            <w:tcW w:type="dxa" w:w="1224"/>
          </w:tcPr>
          <w:p>
            <w:pPr>
              <w:spacing w:after="0"/>
              <w:jc w:val="center"/>
            </w:pPr>
            <w:r/>
            <w:r>
              <w:rPr>
                <w:sz w:val="18"/>
              </w:rPr>
              <w:t>0.33</w:t>
            </w:r>
          </w:p>
        </w:tc>
        <w:tc>
          <w:tcPr>
            <w:tcW w:type="dxa" w:w="1584"/>
          </w:tcPr>
          <w:p>
            <w:pPr>
              <w:spacing w:after="0"/>
              <w:jc w:val="center"/>
            </w:pPr>
            <w:r/>
            <w:r>
              <w:rPr>
                <w:sz w:val="18"/>
              </w:rPr>
              <w:t>0.23</w:t>
            </w:r>
          </w:p>
        </w:tc>
        <w:tc>
          <w:tcPr>
            <w:tcW w:type="dxa" w:w="1440"/>
          </w:tcPr>
          <w:p>
            <w:pPr>
              <w:spacing w:after="0"/>
              <w:jc w:val="center"/>
            </w:pPr>
            <w:r/>
            <w:r>
              <w:rPr>
                <w:sz w:val="18"/>
              </w:rPr>
              <w:t>0.78</w:t>
            </w:r>
          </w:p>
        </w:tc>
        <w:tc>
          <w:tcPr>
            <w:tcW w:type="dxa" w:w="1152"/>
          </w:tcPr>
          <w:p>
            <w:pPr>
              <w:spacing w:after="0"/>
              <w:jc w:val="center"/>
            </w:pPr>
            <w:r/>
            <w:r>
              <w:rPr>
                <w:sz w:val="18"/>
              </w:rPr>
              <w:t>0.22</w:t>
            </w:r>
          </w:p>
        </w:tc>
      </w:tr>
      <w:tr>
        <w:tc>
          <w:tcPr>
            <w:tcW w:type="dxa" w:w="1152"/>
          </w:tcPr>
          <w:p>
            <w:pPr>
              <w:spacing w:after="0"/>
            </w:pPr>
            <w:r/>
            <w:r>
              <w:rPr>
                <w:sz w:val="18"/>
              </w:rPr>
              <w:t>30d</w:t>
            </w:r>
          </w:p>
        </w:tc>
        <w:tc>
          <w:tcPr>
            <w:tcW w:type="dxa" w:w="864"/>
          </w:tcPr>
          <w:p>
            <w:pPr>
              <w:spacing w:after="0"/>
              <w:jc w:val="center"/>
            </w:pPr>
            <w:r/>
            <w:r>
              <w:rPr>
                <w:sz w:val="18"/>
              </w:rPr>
              <w:t>7d</w:t>
            </w:r>
          </w:p>
        </w:tc>
        <w:tc>
          <w:tcPr>
            <w:tcW w:type="dxa" w:w="1152"/>
          </w:tcPr>
          <w:p>
            <w:pPr>
              <w:spacing w:after="0"/>
              <w:jc w:val="center"/>
            </w:pPr>
            <w:r/>
            <w:r>
              <w:rPr>
                <w:sz w:val="18"/>
              </w:rPr>
              <w:t>1.34</w:t>
            </w:r>
          </w:p>
        </w:tc>
        <w:tc>
          <w:tcPr>
            <w:tcW w:type="dxa" w:w="1224"/>
          </w:tcPr>
          <w:p>
            <w:pPr>
              <w:spacing w:after="0"/>
              <w:jc w:val="center"/>
            </w:pPr>
            <w:r/>
            <w:r>
              <w:rPr>
                <w:sz w:val="18"/>
              </w:rPr>
              <w:t>-0.13</w:t>
            </w:r>
          </w:p>
        </w:tc>
        <w:tc>
          <w:tcPr>
            <w:tcW w:type="dxa" w:w="1584"/>
          </w:tcPr>
          <w:p>
            <w:pPr>
              <w:spacing w:after="0"/>
              <w:jc w:val="center"/>
            </w:pPr>
            <w:r/>
            <w:r>
              <w:rPr>
                <w:sz w:val="18"/>
              </w:rPr>
              <w:t>0.23</w:t>
            </w:r>
          </w:p>
        </w:tc>
        <w:tc>
          <w:tcPr>
            <w:tcW w:type="dxa" w:w="1440"/>
          </w:tcPr>
          <w:p>
            <w:pPr>
              <w:spacing w:after="0"/>
              <w:jc w:val="center"/>
            </w:pPr>
            <w:r/>
            <w:r>
              <w:rPr>
                <w:sz w:val="18"/>
              </w:rPr>
              <w:t>0.50</w:t>
            </w:r>
          </w:p>
        </w:tc>
        <w:tc>
          <w:tcPr>
            <w:tcW w:type="dxa" w:w="1152"/>
          </w:tcPr>
          <w:p>
            <w:pPr>
              <w:spacing w:after="0"/>
              <w:jc w:val="center"/>
            </w:pPr>
            <w:r/>
            <w:r>
              <w:rPr>
                <w:sz w:val="18"/>
              </w:rPr>
              <w:t>0.11</w:t>
            </w:r>
          </w:p>
        </w:tc>
      </w:tr>
      <w:tr>
        <w:tc>
          <w:tcPr>
            <w:tcW w:type="dxa" w:w="1152"/>
          </w:tcPr>
          <w:p>
            <w:pPr>
              <w:spacing w:after="0"/>
            </w:pPr>
            <w:r/>
            <w:r>
              <w:rPr>
                <w:sz w:val="18"/>
              </w:rPr>
              <w:t>60d</w:t>
            </w:r>
          </w:p>
        </w:tc>
        <w:tc>
          <w:tcPr>
            <w:tcW w:type="dxa" w:w="864"/>
          </w:tcPr>
          <w:p>
            <w:pPr>
              <w:spacing w:after="0"/>
              <w:jc w:val="center"/>
            </w:pPr>
            <w:r/>
            <w:r>
              <w:rPr>
                <w:sz w:val="18"/>
              </w:rPr>
              <w:t>1d</w:t>
            </w:r>
          </w:p>
        </w:tc>
        <w:tc>
          <w:tcPr>
            <w:tcW w:type="dxa" w:w="1152"/>
          </w:tcPr>
          <w:p>
            <w:pPr>
              <w:spacing w:after="0"/>
              <w:jc w:val="center"/>
            </w:pPr>
            <w:r/>
            <w:r>
              <w:rPr>
                <w:sz w:val="18"/>
              </w:rPr>
              <w:t>0.93</w:t>
            </w:r>
          </w:p>
        </w:tc>
        <w:tc>
          <w:tcPr>
            <w:tcW w:type="dxa" w:w="1224"/>
          </w:tcPr>
          <w:p>
            <w:pPr>
              <w:spacing w:after="0"/>
              <w:jc w:val="center"/>
            </w:pPr>
            <w:r/>
            <w:r>
              <w:rPr>
                <w:sz w:val="18"/>
              </w:rPr>
              <w:t>0.50</w:t>
            </w:r>
          </w:p>
        </w:tc>
        <w:tc>
          <w:tcPr>
            <w:tcW w:type="dxa" w:w="1584"/>
          </w:tcPr>
          <w:p>
            <w:pPr>
              <w:spacing w:after="0"/>
              <w:jc w:val="center"/>
            </w:pPr>
            <w:r/>
            <w:r>
              <w:rPr>
                <w:sz w:val="18"/>
              </w:rPr>
              <w:t>0.16</w:t>
            </w:r>
          </w:p>
        </w:tc>
        <w:tc>
          <w:tcPr>
            <w:tcW w:type="dxa" w:w="1440"/>
          </w:tcPr>
          <w:p>
            <w:pPr>
              <w:spacing w:after="0"/>
              <w:jc w:val="center"/>
            </w:pPr>
            <w:r/>
            <w:r>
              <w:rPr>
                <w:sz w:val="18"/>
              </w:rPr>
              <w:t>0.52</w:t>
            </w:r>
          </w:p>
        </w:tc>
        <w:tc>
          <w:tcPr>
            <w:tcW w:type="dxa" w:w="1152"/>
          </w:tcPr>
          <w:p>
            <w:pPr>
              <w:spacing w:after="0"/>
              <w:jc w:val="center"/>
            </w:pPr>
            <w:r/>
            <w:r>
              <w:rPr>
                <w:sz w:val="18"/>
              </w:rPr>
              <w:t>0.14</w:t>
            </w:r>
          </w:p>
        </w:tc>
      </w:tr>
      <w:tr>
        <w:tc>
          <w:tcPr>
            <w:tcW w:type="dxa" w:w="1152"/>
          </w:tcPr>
          <w:p>
            <w:pPr>
              <w:spacing w:after="0"/>
            </w:pPr>
            <w:r/>
            <w:r>
              <w:rPr>
                <w:sz w:val="18"/>
              </w:rPr>
              <w:t>60d</w:t>
            </w:r>
          </w:p>
        </w:tc>
        <w:tc>
          <w:tcPr>
            <w:tcW w:type="dxa" w:w="864"/>
          </w:tcPr>
          <w:p>
            <w:pPr>
              <w:spacing w:after="0"/>
              <w:jc w:val="center"/>
            </w:pPr>
            <w:r/>
            <w:r>
              <w:rPr>
                <w:sz w:val="18"/>
              </w:rPr>
              <w:t>7d</w:t>
            </w:r>
          </w:p>
        </w:tc>
        <w:tc>
          <w:tcPr>
            <w:tcW w:type="dxa" w:w="1152"/>
          </w:tcPr>
          <w:p>
            <w:pPr>
              <w:spacing w:after="0"/>
              <w:jc w:val="center"/>
            </w:pPr>
            <w:r/>
            <w:r>
              <w:rPr>
                <w:sz w:val="18"/>
              </w:rPr>
              <w:t>0.80</w:t>
            </w:r>
          </w:p>
        </w:tc>
        <w:tc>
          <w:tcPr>
            <w:tcW w:type="dxa" w:w="1224"/>
          </w:tcPr>
          <w:p>
            <w:pPr>
              <w:spacing w:after="0"/>
              <w:jc w:val="center"/>
            </w:pPr>
            <w:r/>
            <w:r>
              <w:rPr>
                <w:sz w:val="18"/>
              </w:rPr>
              <w:t>-0.05</w:t>
            </w:r>
          </w:p>
        </w:tc>
        <w:tc>
          <w:tcPr>
            <w:tcW w:type="dxa" w:w="1584"/>
          </w:tcPr>
          <w:p>
            <w:pPr>
              <w:spacing w:after="0"/>
              <w:jc w:val="center"/>
            </w:pPr>
            <w:r/>
            <w:r>
              <w:rPr>
                <w:sz w:val="18"/>
              </w:rPr>
              <w:t>0.08</w:t>
            </w:r>
          </w:p>
        </w:tc>
        <w:tc>
          <w:tcPr>
            <w:tcW w:type="dxa" w:w="1440"/>
          </w:tcPr>
          <w:p>
            <w:pPr>
              <w:spacing w:after="0"/>
              <w:jc w:val="center"/>
            </w:pPr>
            <w:r/>
            <w:r>
              <w:rPr>
                <w:sz w:val="18"/>
              </w:rPr>
              <w:t>0.28</w:t>
            </w:r>
          </w:p>
        </w:tc>
        <w:tc>
          <w:tcPr>
            <w:tcW w:type="dxa" w:w="1152"/>
          </w:tcPr>
          <w:p>
            <w:pPr>
              <w:spacing w:after="0"/>
              <w:jc w:val="center"/>
            </w:pPr>
            <w:r/>
            <w:r>
              <w:rPr>
                <w:sz w:val="18"/>
              </w:rPr>
              <w:t>0.08</w:t>
            </w:r>
          </w:p>
        </w:tc>
      </w:tr>
    </w:tbl>
    <w:p>
      <w:pPr>
        <w:spacing w:after="40"/>
      </w:pPr>
    </w:p>
    <w:p>
      <w:pPr>
        <w:pStyle w:val="Heading2"/>
      </w:pPr>
      <w:r>
        <w:t>5.5 Technical plays: front-running institutional hours</w:t>
      </w:r>
    </w:p>
    <w:p>
      <w:pPr>
        <w:spacing w:after="120"/>
      </w:pPr>
      <w:r>
        <w:rPr>
          <w:b w:val="0"/>
          <w:i w:val="0"/>
        </w:rPr>
        <w:t>If institutions trade predictably during US hours, the moves before the US open, or the previous US session, might predict the coming US session. Three tests use hourly data: (i) the pre-US return (00:00-13:00 UTC) predicting the US session; (ii) yesterday's US session predicting today's (same-session persistence, in the spirit of Heston, Korajczyk &amp; Sadka, 2010); and (iii) the US session predicting the following late-US hours.</w:t>
      </w:r>
    </w:p>
    <w:p>
      <w:pPr>
        <w:keepNext/>
        <w:spacing w:after="60"/>
      </w:pPr>
      <w:r>
        <w:rPr>
          <w:b/>
          <w:sz w:val="20"/>
        </w:rPr>
        <w:t>Table 5. Front-running the US session (hourly data, 2022 onward).</w:t>
      </w:r>
    </w:p>
    <w:tbl>
      <w:tblPr>
        <w:tblStyle w:val="TableGrid"/>
        <w:tblW w:type="auto" w:w="0"/>
        <w:jc w:val="center"/>
        <w:tblLayout w:type="fixed"/>
        <w:tblLook w:firstColumn="1" w:firstRow="1" w:lastColumn="0" w:lastRow="0" w:noHBand="0" w:noVBand="1" w:val="04A0"/>
      </w:tblPr>
      <w:tblGrid>
        <w:gridCol w:w="3168"/>
        <w:gridCol w:w="1440"/>
        <w:gridCol w:w="936"/>
        <w:gridCol w:w="864"/>
        <w:gridCol w:w="648"/>
        <w:gridCol w:w="648"/>
        <w:gridCol w:w="864"/>
        <w:gridCol w:w="720"/>
      </w:tblGrid>
      <w:tr>
        <w:tc>
          <w:tcPr>
            <w:tcW w:type="dxa" w:w="3168"/>
            <w:shd w:val="clear" w:fill="1F3864"/>
          </w:tcPr>
          <w:p>
            <w:pPr>
              <w:jc w:val="left"/>
            </w:pPr>
            <w:r/>
            <w:r>
              <w:rPr>
                <w:b/>
                <w:color w:val="FFFFFF"/>
                <w:sz w:val="17"/>
              </w:rPr>
              <w:t>Test</w:t>
            </w:r>
          </w:p>
        </w:tc>
        <w:tc>
          <w:tcPr>
            <w:tcW w:type="dxa" w:w="1440"/>
            <w:shd w:val="clear" w:fill="1F3864"/>
          </w:tcPr>
          <w:p>
            <w:pPr>
              <w:jc w:val="center"/>
            </w:pPr>
            <w:r/>
            <w:r>
              <w:rPr>
                <w:b/>
                <w:color w:val="FFFFFF"/>
                <w:sz w:val="17"/>
              </w:rPr>
              <w:t>Type</w:t>
            </w:r>
          </w:p>
        </w:tc>
        <w:tc>
          <w:tcPr>
            <w:tcW w:type="dxa" w:w="936"/>
            <w:shd w:val="clear" w:fill="1F3864"/>
          </w:tcPr>
          <w:p>
            <w:pPr>
              <w:jc w:val="center"/>
            </w:pPr>
            <w:r/>
            <w:r>
              <w:rPr>
                <w:b/>
                <w:color w:val="FFFFFF"/>
                <w:sz w:val="17"/>
              </w:rPr>
              <w:t>Gross bps/day</w:t>
            </w:r>
          </w:p>
        </w:tc>
        <w:tc>
          <w:tcPr>
            <w:tcW w:type="dxa" w:w="864"/>
            <w:shd w:val="clear" w:fill="1F3864"/>
          </w:tcPr>
          <w:p>
            <w:pPr>
              <w:jc w:val="center"/>
            </w:pPr>
            <w:r/>
            <w:r>
              <w:rPr>
                <w:b/>
                <w:color w:val="FFFFFF"/>
                <w:sz w:val="17"/>
              </w:rPr>
              <w:t>Gross Sharpe</w:t>
            </w:r>
          </w:p>
        </w:tc>
        <w:tc>
          <w:tcPr>
            <w:tcW w:type="dxa" w:w="648"/>
            <w:shd w:val="clear" w:fill="1F3864"/>
          </w:tcPr>
          <w:p>
            <w:pPr>
              <w:jc w:val="center"/>
            </w:pPr>
            <w:r/>
            <w:r>
              <w:rPr>
                <w:b/>
                <w:color w:val="FFFFFF"/>
                <w:sz w:val="17"/>
              </w:rPr>
              <w:t>IS</w:t>
            </w:r>
          </w:p>
        </w:tc>
        <w:tc>
          <w:tcPr>
            <w:tcW w:type="dxa" w:w="648"/>
            <w:shd w:val="clear" w:fill="1F3864"/>
          </w:tcPr>
          <w:p>
            <w:pPr>
              <w:jc w:val="center"/>
            </w:pPr>
            <w:r/>
            <w:r>
              <w:rPr>
                <w:b/>
                <w:color w:val="FFFFFF"/>
                <w:sz w:val="17"/>
              </w:rPr>
              <w:t>OOS</w:t>
            </w:r>
          </w:p>
        </w:tc>
        <w:tc>
          <w:tcPr>
            <w:tcW w:type="dxa" w:w="864"/>
            <w:shd w:val="clear" w:fill="1F3864"/>
          </w:tcPr>
          <w:p>
            <w:pPr>
              <w:jc w:val="center"/>
            </w:pPr>
            <w:r/>
            <w:r>
              <w:rPr>
                <w:b/>
                <w:color w:val="FFFFFF"/>
                <w:sz w:val="17"/>
              </w:rPr>
              <w:t>Net 7 bps</w:t>
            </w:r>
          </w:p>
        </w:tc>
        <w:tc>
          <w:tcPr>
            <w:tcW w:type="dxa" w:w="720"/>
            <w:shd w:val="clear" w:fill="1F3864"/>
          </w:tcPr>
          <w:p>
            <w:pPr>
              <w:jc w:val="center"/>
            </w:pPr>
            <w:r/>
            <w:r>
              <w:rPr>
                <w:b/>
                <w:color w:val="FFFFFF"/>
                <w:sz w:val="17"/>
              </w:rPr>
              <w:t>t-stat</w:t>
            </w:r>
          </w:p>
        </w:tc>
      </w:tr>
      <w:tr>
        <w:tc>
          <w:tcPr>
            <w:tcW w:type="dxa" w:w="3168"/>
          </w:tcPr>
          <w:p>
            <w:pPr>
              <w:spacing w:after="0"/>
            </w:pPr>
            <w:r/>
            <w:r>
              <w:rPr>
                <w:sz w:val="17"/>
              </w:rPr>
              <w:t>Pre-US return -&gt; US session (TS, each coin)</w:t>
            </w:r>
          </w:p>
        </w:tc>
        <w:tc>
          <w:tcPr>
            <w:tcW w:type="dxa" w:w="1440"/>
          </w:tcPr>
          <w:p>
            <w:pPr>
              <w:spacing w:after="0"/>
              <w:jc w:val="center"/>
            </w:pPr>
            <w:r/>
            <w:r>
              <w:rPr>
                <w:sz w:val="17"/>
              </w:rPr>
              <w:t>Time-series</w:t>
            </w:r>
          </w:p>
        </w:tc>
        <w:tc>
          <w:tcPr>
            <w:tcW w:type="dxa" w:w="936"/>
          </w:tcPr>
          <w:p>
            <w:pPr>
              <w:spacing w:after="0"/>
              <w:jc w:val="center"/>
            </w:pPr>
            <w:r/>
            <w:r>
              <w:rPr>
                <w:sz w:val="17"/>
              </w:rPr>
              <w:t>-4.67</w:t>
            </w:r>
          </w:p>
        </w:tc>
        <w:tc>
          <w:tcPr>
            <w:tcW w:type="dxa" w:w="864"/>
          </w:tcPr>
          <w:p>
            <w:pPr>
              <w:spacing w:after="0"/>
              <w:jc w:val="center"/>
            </w:pPr>
            <w:r/>
            <w:r>
              <w:rPr>
                <w:sz w:val="17"/>
              </w:rPr>
              <w:t>-0.47</w:t>
            </w:r>
          </w:p>
        </w:tc>
        <w:tc>
          <w:tcPr>
            <w:tcW w:type="dxa" w:w="648"/>
          </w:tcPr>
          <w:p>
            <w:pPr>
              <w:spacing w:after="0"/>
              <w:jc w:val="center"/>
            </w:pPr>
            <w:r/>
            <w:r>
              <w:rPr>
                <w:sz w:val="17"/>
              </w:rPr>
              <w:t>-1.34</w:t>
            </w:r>
          </w:p>
        </w:tc>
        <w:tc>
          <w:tcPr>
            <w:tcW w:type="dxa" w:w="648"/>
          </w:tcPr>
          <w:p>
            <w:pPr>
              <w:spacing w:after="0"/>
              <w:jc w:val="center"/>
            </w:pPr>
            <w:r/>
            <w:r>
              <w:rPr>
                <w:sz w:val="17"/>
              </w:rPr>
              <w:t>0.16</w:t>
            </w:r>
          </w:p>
        </w:tc>
        <w:tc>
          <w:tcPr>
            <w:tcW w:type="dxa" w:w="864"/>
          </w:tcPr>
          <w:p>
            <w:pPr>
              <w:spacing w:after="0"/>
              <w:jc w:val="center"/>
            </w:pPr>
            <w:r/>
            <w:r>
              <w:rPr>
                <w:sz w:val="17"/>
              </w:rPr>
              <w:t>-1.87</w:t>
            </w:r>
          </w:p>
        </w:tc>
        <w:tc>
          <w:tcPr>
            <w:tcW w:type="dxa" w:w="720"/>
          </w:tcPr>
          <w:p>
            <w:pPr>
              <w:spacing w:after="0"/>
              <w:jc w:val="center"/>
            </w:pPr>
            <w:r/>
            <w:r>
              <w:rPr>
                <w:sz w:val="17"/>
              </w:rPr>
              <w:t>-0.99</w:t>
            </w:r>
          </w:p>
        </w:tc>
      </w:tr>
      <w:tr>
        <w:tc>
          <w:tcPr>
            <w:tcW w:type="dxa" w:w="3168"/>
          </w:tcPr>
          <w:p>
            <w:pPr>
              <w:spacing w:after="0"/>
            </w:pPr>
            <w:r/>
            <w:r>
              <w:rPr>
                <w:sz w:val="17"/>
              </w:rPr>
              <w:t>Pre-US return -&gt; US session (TS, each coin)</w:t>
            </w:r>
          </w:p>
        </w:tc>
        <w:tc>
          <w:tcPr>
            <w:tcW w:type="dxa" w:w="1440"/>
          </w:tcPr>
          <w:p>
            <w:pPr>
              <w:spacing w:after="0"/>
              <w:jc w:val="center"/>
            </w:pPr>
            <w:r/>
            <w:r>
              <w:rPr>
                <w:sz w:val="17"/>
              </w:rPr>
              <w:t>Cross-sectional</w:t>
            </w:r>
          </w:p>
        </w:tc>
        <w:tc>
          <w:tcPr>
            <w:tcW w:type="dxa" w:w="936"/>
          </w:tcPr>
          <w:p>
            <w:pPr>
              <w:spacing w:after="0"/>
              <w:jc w:val="center"/>
            </w:pPr>
            <w:r/>
            <w:r>
              <w:rPr>
                <w:sz w:val="17"/>
              </w:rPr>
              <w:t>0.32</w:t>
            </w:r>
          </w:p>
        </w:tc>
        <w:tc>
          <w:tcPr>
            <w:tcW w:type="dxa" w:w="864"/>
          </w:tcPr>
          <w:p>
            <w:pPr>
              <w:spacing w:after="0"/>
              <w:jc w:val="center"/>
            </w:pPr>
            <w:r/>
            <w:r>
              <w:rPr>
                <w:sz w:val="17"/>
              </w:rPr>
              <w:t>0.10</w:t>
            </w:r>
          </w:p>
        </w:tc>
        <w:tc>
          <w:tcPr>
            <w:tcW w:type="dxa" w:w="648"/>
          </w:tcPr>
          <w:p>
            <w:pPr>
              <w:spacing w:after="0"/>
              <w:jc w:val="center"/>
            </w:pPr>
            <w:r/>
            <w:r>
              <w:rPr>
                <w:sz w:val="17"/>
              </w:rPr>
              <w:t>-0.78</w:t>
            </w:r>
          </w:p>
        </w:tc>
        <w:tc>
          <w:tcPr>
            <w:tcW w:type="dxa" w:w="648"/>
          </w:tcPr>
          <w:p>
            <w:pPr>
              <w:spacing w:after="0"/>
              <w:jc w:val="center"/>
            </w:pPr>
            <w:r/>
            <w:r>
              <w:rPr>
                <w:sz w:val="17"/>
              </w:rPr>
              <w:t>0.68</w:t>
            </w:r>
          </w:p>
        </w:tc>
        <w:tc>
          <w:tcPr>
            <w:tcW w:type="dxa" w:w="864"/>
          </w:tcPr>
          <w:p>
            <w:pPr>
              <w:spacing w:after="0"/>
              <w:jc w:val="center"/>
            </w:pPr>
            <w:r/>
            <w:r>
              <w:rPr>
                <w:sz w:val="17"/>
              </w:rPr>
              <w:t>-4.30</w:t>
            </w:r>
          </w:p>
        </w:tc>
        <w:tc>
          <w:tcPr>
            <w:tcW w:type="dxa" w:w="720"/>
          </w:tcPr>
          <w:p>
            <w:pPr>
              <w:spacing w:after="0"/>
              <w:jc w:val="center"/>
            </w:pPr>
            <w:r/>
            <w:r>
              <w:rPr>
                <w:sz w:val="17"/>
              </w:rPr>
              <w:t>0.21</w:t>
            </w:r>
          </w:p>
        </w:tc>
      </w:tr>
      <w:tr>
        <w:tc>
          <w:tcPr>
            <w:tcW w:type="dxa" w:w="3168"/>
          </w:tcPr>
          <w:p>
            <w:pPr>
              <w:spacing w:after="0"/>
            </w:pPr>
            <w:r/>
            <w:r>
              <w:rPr>
                <w:sz w:val="17"/>
              </w:rPr>
              <w:t>Prior-day US session -&gt; today's US session</w:t>
            </w:r>
          </w:p>
        </w:tc>
        <w:tc>
          <w:tcPr>
            <w:tcW w:type="dxa" w:w="1440"/>
          </w:tcPr>
          <w:p>
            <w:pPr>
              <w:spacing w:after="0"/>
              <w:jc w:val="center"/>
            </w:pPr>
            <w:r/>
            <w:r>
              <w:rPr>
                <w:sz w:val="17"/>
              </w:rPr>
              <w:t>Time-series</w:t>
            </w:r>
          </w:p>
        </w:tc>
        <w:tc>
          <w:tcPr>
            <w:tcW w:type="dxa" w:w="936"/>
          </w:tcPr>
          <w:p>
            <w:pPr>
              <w:spacing w:after="0"/>
              <w:jc w:val="center"/>
            </w:pPr>
            <w:r/>
            <w:r>
              <w:rPr>
                <w:sz w:val="17"/>
              </w:rPr>
              <w:t>-3.87</w:t>
            </w:r>
          </w:p>
        </w:tc>
        <w:tc>
          <w:tcPr>
            <w:tcW w:type="dxa" w:w="864"/>
          </w:tcPr>
          <w:p>
            <w:pPr>
              <w:spacing w:after="0"/>
              <w:jc w:val="center"/>
            </w:pPr>
            <w:r/>
            <w:r>
              <w:rPr>
                <w:sz w:val="17"/>
              </w:rPr>
              <w:t>-0.36</w:t>
            </w:r>
          </w:p>
        </w:tc>
        <w:tc>
          <w:tcPr>
            <w:tcW w:type="dxa" w:w="648"/>
          </w:tcPr>
          <w:p>
            <w:pPr>
              <w:spacing w:after="0"/>
              <w:jc w:val="center"/>
            </w:pPr>
            <w:r/>
            <w:r>
              <w:rPr>
                <w:sz w:val="17"/>
              </w:rPr>
              <w:t>-1.10</w:t>
            </w:r>
          </w:p>
        </w:tc>
        <w:tc>
          <w:tcPr>
            <w:tcW w:type="dxa" w:w="648"/>
          </w:tcPr>
          <w:p>
            <w:pPr>
              <w:spacing w:after="0"/>
              <w:jc w:val="center"/>
            </w:pPr>
            <w:r/>
            <w:r>
              <w:rPr>
                <w:sz w:val="17"/>
              </w:rPr>
              <w:t>0.14</w:t>
            </w:r>
          </w:p>
        </w:tc>
        <w:tc>
          <w:tcPr>
            <w:tcW w:type="dxa" w:w="864"/>
          </w:tcPr>
          <w:p>
            <w:pPr>
              <w:spacing w:after="0"/>
              <w:jc w:val="center"/>
            </w:pPr>
            <w:r/>
            <w:r>
              <w:rPr>
                <w:sz w:val="17"/>
              </w:rPr>
              <w:t>-1.68</w:t>
            </w:r>
          </w:p>
        </w:tc>
        <w:tc>
          <w:tcPr>
            <w:tcW w:type="dxa" w:w="720"/>
          </w:tcPr>
          <w:p>
            <w:pPr>
              <w:spacing w:after="0"/>
              <w:jc w:val="center"/>
            </w:pPr>
            <w:r/>
            <w:r>
              <w:rPr>
                <w:sz w:val="17"/>
              </w:rPr>
              <w:t>-0.83</w:t>
            </w:r>
          </w:p>
        </w:tc>
      </w:tr>
      <w:tr>
        <w:tc>
          <w:tcPr>
            <w:tcW w:type="dxa" w:w="3168"/>
          </w:tcPr>
          <w:p>
            <w:pPr>
              <w:spacing w:after="0"/>
            </w:pPr>
            <w:r/>
            <w:r>
              <w:rPr>
                <w:sz w:val="17"/>
              </w:rPr>
              <w:t>Prior-day US session -&gt; today's US session</w:t>
            </w:r>
          </w:p>
        </w:tc>
        <w:tc>
          <w:tcPr>
            <w:tcW w:type="dxa" w:w="1440"/>
          </w:tcPr>
          <w:p>
            <w:pPr>
              <w:spacing w:after="0"/>
              <w:jc w:val="center"/>
            </w:pPr>
            <w:r/>
            <w:r>
              <w:rPr>
                <w:sz w:val="17"/>
              </w:rPr>
              <w:t>Cross-sectional</w:t>
            </w:r>
          </w:p>
        </w:tc>
        <w:tc>
          <w:tcPr>
            <w:tcW w:type="dxa" w:w="936"/>
          </w:tcPr>
          <w:p>
            <w:pPr>
              <w:spacing w:after="0"/>
              <w:jc w:val="center"/>
            </w:pPr>
            <w:r/>
            <w:r>
              <w:rPr>
                <w:sz w:val="17"/>
              </w:rPr>
              <w:t>1.63</w:t>
            </w:r>
          </w:p>
        </w:tc>
        <w:tc>
          <w:tcPr>
            <w:tcW w:type="dxa" w:w="864"/>
          </w:tcPr>
          <w:p>
            <w:pPr>
              <w:spacing w:after="0"/>
              <w:jc w:val="center"/>
            </w:pPr>
            <w:r/>
            <w:r>
              <w:rPr>
                <w:sz w:val="17"/>
              </w:rPr>
              <w:t>0.53</w:t>
            </w:r>
          </w:p>
        </w:tc>
        <w:tc>
          <w:tcPr>
            <w:tcW w:type="dxa" w:w="648"/>
          </w:tcPr>
          <w:p>
            <w:pPr>
              <w:spacing w:after="0"/>
              <w:jc w:val="center"/>
            </w:pPr>
            <w:r/>
            <w:r>
              <w:rPr>
                <w:sz w:val="17"/>
              </w:rPr>
              <w:t>0.40</w:t>
            </w:r>
          </w:p>
        </w:tc>
        <w:tc>
          <w:tcPr>
            <w:tcW w:type="dxa" w:w="648"/>
          </w:tcPr>
          <w:p>
            <w:pPr>
              <w:spacing w:after="0"/>
              <w:jc w:val="center"/>
            </w:pPr>
            <w:r/>
            <w:r>
              <w:rPr>
                <w:sz w:val="17"/>
              </w:rPr>
              <w:t>0.63</w:t>
            </w:r>
          </w:p>
        </w:tc>
        <w:tc>
          <w:tcPr>
            <w:tcW w:type="dxa" w:w="864"/>
          </w:tcPr>
          <w:p>
            <w:pPr>
              <w:spacing w:after="0"/>
              <w:jc w:val="center"/>
            </w:pPr>
            <w:r/>
            <w:r>
              <w:rPr>
                <w:sz w:val="17"/>
              </w:rPr>
              <w:t>-4.04</w:t>
            </w:r>
          </w:p>
        </w:tc>
        <w:tc>
          <w:tcPr>
            <w:tcW w:type="dxa" w:w="720"/>
          </w:tcPr>
          <w:p>
            <w:pPr>
              <w:spacing w:after="0"/>
              <w:jc w:val="center"/>
            </w:pPr>
            <w:r/>
            <w:r>
              <w:rPr>
                <w:sz w:val="17"/>
              </w:rPr>
              <w:t>1.17</w:t>
            </w:r>
          </w:p>
        </w:tc>
      </w:tr>
      <w:tr>
        <w:tc>
          <w:tcPr>
            <w:tcW w:type="dxa" w:w="3168"/>
          </w:tcPr>
          <w:p>
            <w:pPr>
              <w:spacing w:after="0"/>
            </w:pPr>
            <w:r/>
            <w:r>
              <w:rPr>
                <w:sz w:val="17"/>
              </w:rPr>
              <w:t>US session -&gt; late-US / overnight</w:t>
            </w:r>
          </w:p>
        </w:tc>
        <w:tc>
          <w:tcPr>
            <w:tcW w:type="dxa" w:w="1440"/>
          </w:tcPr>
          <w:p>
            <w:pPr>
              <w:spacing w:after="0"/>
              <w:jc w:val="center"/>
            </w:pPr>
            <w:r/>
            <w:r>
              <w:rPr>
                <w:sz w:val="17"/>
              </w:rPr>
              <w:t>Time-series</w:t>
            </w:r>
          </w:p>
        </w:tc>
        <w:tc>
          <w:tcPr>
            <w:tcW w:type="dxa" w:w="936"/>
          </w:tcPr>
          <w:p>
            <w:pPr>
              <w:spacing w:after="0"/>
              <w:jc w:val="center"/>
            </w:pPr>
            <w:r/>
            <w:r>
              <w:rPr>
                <w:sz w:val="17"/>
              </w:rPr>
              <w:t>0.37</w:t>
            </w:r>
          </w:p>
        </w:tc>
        <w:tc>
          <w:tcPr>
            <w:tcW w:type="dxa" w:w="864"/>
          </w:tcPr>
          <w:p>
            <w:pPr>
              <w:spacing w:after="0"/>
              <w:jc w:val="center"/>
            </w:pPr>
            <w:r/>
            <w:r>
              <w:rPr>
                <w:sz w:val="17"/>
              </w:rPr>
              <w:t>0.07</w:t>
            </w:r>
          </w:p>
        </w:tc>
        <w:tc>
          <w:tcPr>
            <w:tcW w:type="dxa" w:w="648"/>
          </w:tcPr>
          <w:p>
            <w:pPr>
              <w:spacing w:after="0"/>
              <w:jc w:val="center"/>
            </w:pPr>
            <w:r/>
            <w:r>
              <w:rPr>
                <w:sz w:val="17"/>
              </w:rPr>
              <w:t>0.65</w:t>
            </w:r>
          </w:p>
        </w:tc>
        <w:tc>
          <w:tcPr>
            <w:tcW w:type="dxa" w:w="648"/>
          </w:tcPr>
          <w:p>
            <w:pPr>
              <w:spacing w:after="0"/>
              <w:jc w:val="center"/>
            </w:pPr>
            <w:r/>
            <w:r>
              <w:rPr>
                <w:sz w:val="17"/>
              </w:rPr>
              <w:t>-0.40</w:t>
            </w:r>
          </w:p>
        </w:tc>
        <w:tc>
          <w:tcPr>
            <w:tcW w:type="dxa" w:w="864"/>
          </w:tcPr>
          <w:p>
            <w:pPr>
              <w:spacing w:after="0"/>
              <w:jc w:val="center"/>
            </w:pPr>
            <w:r/>
            <w:r>
              <w:rPr>
                <w:sz w:val="17"/>
              </w:rPr>
              <w:t>-2.45</w:t>
            </w:r>
          </w:p>
        </w:tc>
        <w:tc>
          <w:tcPr>
            <w:tcW w:type="dxa" w:w="720"/>
          </w:tcPr>
          <w:p>
            <w:pPr>
              <w:spacing w:after="0"/>
              <w:jc w:val="center"/>
            </w:pPr>
            <w:r/>
            <w:r>
              <w:rPr>
                <w:sz w:val="17"/>
              </w:rPr>
              <w:t>0.15</w:t>
            </w:r>
          </w:p>
        </w:tc>
      </w:tr>
      <w:tr>
        <w:tc>
          <w:tcPr>
            <w:tcW w:type="dxa" w:w="3168"/>
          </w:tcPr>
          <w:p>
            <w:pPr>
              <w:spacing w:after="0"/>
            </w:pPr>
            <w:r/>
            <w:r>
              <w:rPr>
                <w:sz w:val="17"/>
              </w:rPr>
              <w:t>US session -&gt; late-US / overnight</w:t>
            </w:r>
          </w:p>
        </w:tc>
        <w:tc>
          <w:tcPr>
            <w:tcW w:type="dxa" w:w="1440"/>
          </w:tcPr>
          <w:p>
            <w:pPr>
              <w:spacing w:after="0"/>
              <w:jc w:val="center"/>
            </w:pPr>
            <w:r/>
            <w:r>
              <w:rPr>
                <w:sz w:val="17"/>
              </w:rPr>
              <w:t>Cross-sectional</w:t>
            </w:r>
          </w:p>
        </w:tc>
        <w:tc>
          <w:tcPr>
            <w:tcW w:type="dxa" w:w="936"/>
          </w:tcPr>
          <w:p>
            <w:pPr>
              <w:spacing w:after="0"/>
              <w:jc w:val="center"/>
            </w:pPr>
            <w:r/>
            <w:r>
              <w:rPr>
                <w:sz w:val="17"/>
              </w:rPr>
              <w:t>-1.92</w:t>
            </w:r>
          </w:p>
        </w:tc>
        <w:tc>
          <w:tcPr>
            <w:tcW w:type="dxa" w:w="864"/>
          </w:tcPr>
          <w:p>
            <w:pPr>
              <w:spacing w:after="0"/>
              <w:jc w:val="center"/>
            </w:pPr>
            <w:r/>
            <w:r>
              <w:rPr>
                <w:sz w:val="17"/>
              </w:rPr>
              <w:t>-1.13</w:t>
            </w:r>
          </w:p>
        </w:tc>
        <w:tc>
          <w:tcPr>
            <w:tcW w:type="dxa" w:w="648"/>
          </w:tcPr>
          <w:p>
            <w:pPr>
              <w:spacing w:after="0"/>
              <w:jc w:val="center"/>
            </w:pPr>
            <w:r/>
            <w:r>
              <w:rPr>
                <w:sz w:val="17"/>
              </w:rPr>
              <w:t>-1.59</w:t>
            </w:r>
          </w:p>
        </w:tc>
        <w:tc>
          <w:tcPr>
            <w:tcW w:type="dxa" w:w="648"/>
          </w:tcPr>
          <w:p>
            <w:pPr>
              <w:spacing w:after="0"/>
              <w:jc w:val="center"/>
            </w:pPr>
            <w:r/>
            <w:r>
              <w:rPr>
                <w:sz w:val="17"/>
              </w:rPr>
              <w:t>-0.79</w:t>
            </w:r>
          </w:p>
        </w:tc>
        <w:tc>
          <w:tcPr>
            <w:tcW w:type="dxa" w:w="864"/>
          </w:tcPr>
          <w:p>
            <w:pPr>
              <w:spacing w:after="0"/>
              <w:jc w:val="center"/>
            </w:pPr>
            <w:r/>
            <w:r>
              <w:rPr>
                <w:sz w:val="17"/>
              </w:rPr>
              <w:t>-9.36</w:t>
            </w:r>
          </w:p>
        </w:tc>
        <w:tc>
          <w:tcPr>
            <w:tcW w:type="dxa" w:w="720"/>
          </w:tcPr>
          <w:p>
            <w:pPr>
              <w:spacing w:after="0"/>
              <w:jc w:val="center"/>
            </w:pPr>
            <w:r/>
            <w:r>
              <w:rPr>
                <w:sz w:val="17"/>
              </w:rPr>
              <w:t>-2.38</w:t>
            </w:r>
          </w:p>
        </w:tc>
      </w:tr>
    </w:tbl>
    <w:p>
      <w:pPr>
        <w:spacing w:after="40"/>
      </w:pPr>
    </w:p>
    <w:p>
      <w:pPr>
        <w:spacing w:after="120"/>
      </w:pPr>
      <w:r>
        <w:rPr>
          <w:b w:val="0"/>
          <w:i w:val="0"/>
        </w:rPr>
        <w:t>The most promising effect is same-session persistence across coins: coins that outperformed in yesterday's US session tend to outperform again today (gross 1.63 bps per day, Sharpe 0.53). But no test is statistically strong, and because each strategy opens and closes a full position every day, even 7 bps limit orders wipe out the edge. Front-running institutional hours is not profitable at the brief's costs with daily session granularity.</w:t>
      </w:r>
    </w:p>
    <w:p>
      <w:pPr>
        <w:pStyle w:val="Heading1"/>
      </w:pPr>
      <w:r>
        <w:t>6. Reversal Research</w:t>
      </w:r>
    </w:p>
    <w:p>
      <w:pPr>
        <w:pStyle w:val="Heading2"/>
      </w:pPr>
      <w:r>
        <w:t>6.1 Time horizon: intraday and long-horizon reversal</w:t>
      </w:r>
    </w:p>
    <w:p>
      <w:pPr>
        <w:spacing w:after="120"/>
      </w:pPr>
      <w:r>
        <w:rPr>
          <w:b w:val="0"/>
          <w:i w:val="0"/>
        </w:rPr>
        <w:t>The brief expects reversal at shorter horizons. Daily data showed none, so the test was repeated on hourly data (Figure 4, left, and Table 6). Here reversal is very strong.</w:t>
      </w:r>
    </w:p>
    <w:p>
      <w:pPr>
        <w:keepNext/>
        <w:spacing w:after="60"/>
      </w:pPr>
      <w:r>
        <w:rPr>
          <w:b/>
          <w:sz w:val="20"/>
        </w:rPr>
        <w:t>Table 6. Intraday cross-sectional signal (negative Sharpe = reversal), rebalanced hourly.</w:t>
      </w:r>
    </w:p>
    <w:tbl>
      <w:tblPr>
        <w:tblStyle w:val="TableGrid"/>
        <w:tblW w:type="auto" w:w="0"/>
        <w:jc w:val="center"/>
        <w:tblLayout w:type="fixed"/>
        <w:tblLook w:firstColumn="1" w:firstRow="1" w:lastColumn="0" w:lastRow="0" w:noHBand="0" w:noVBand="1" w:val="04A0"/>
      </w:tblPr>
      <w:tblGrid>
        <w:gridCol w:w="1007"/>
        <w:gridCol w:w="1080"/>
        <w:gridCol w:w="720"/>
        <w:gridCol w:w="720"/>
        <w:gridCol w:w="1152"/>
        <w:gridCol w:w="1152"/>
        <w:gridCol w:w="1296"/>
        <w:gridCol w:w="1296"/>
      </w:tblGrid>
      <w:tr>
        <w:tc>
          <w:tcPr>
            <w:tcW w:type="dxa" w:w="1008"/>
            <w:shd w:val="clear" w:fill="1F3864"/>
          </w:tcPr>
          <w:p>
            <w:pPr>
              <w:jc w:val="left"/>
            </w:pPr>
            <w:r/>
            <w:r>
              <w:rPr>
                <w:b/>
                <w:color w:val="FFFFFF"/>
                <w:sz w:val="17"/>
              </w:rPr>
              <w:t>Look-back</w:t>
            </w:r>
          </w:p>
        </w:tc>
        <w:tc>
          <w:tcPr>
            <w:tcW w:type="dxa" w:w="1080"/>
            <w:shd w:val="clear" w:fill="1F3864"/>
          </w:tcPr>
          <w:p>
            <w:pPr>
              <w:jc w:val="center"/>
            </w:pPr>
            <w:r/>
            <w:r>
              <w:rPr>
                <w:b/>
                <w:color w:val="FFFFFF"/>
                <w:sz w:val="17"/>
              </w:rPr>
              <w:t>Gross Sharpe</w:t>
            </w:r>
          </w:p>
        </w:tc>
        <w:tc>
          <w:tcPr>
            <w:tcW w:type="dxa" w:w="720"/>
            <w:shd w:val="clear" w:fill="1F3864"/>
          </w:tcPr>
          <w:p>
            <w:pPr>
              <w:jc w:val="center"/>
            </w:pPr>
            <w:r/>
            <w:r>
              <w:rPr>
                <w:b/>
                <w:color w:val="FFFFFF"/>
                <w:sz w:val="17"/>
              </w:rPr>
              <w:t>IS</w:t>
            </w:r>
          </w:p>
        </w:tc>
        <w:tc>
          <w:tcPr>
            <w:tcW w:type="dxa" w:w="720"/>
            <w:shd w:val="clear" w:fill="1F3864"/>
          </w:tcPr>
          <w:p>
            <w:pPr>
              <w:jc w:val="center"/>
            </w:pPr>
            <w:r/>
            <w:r>
              <w:rPr>
                <w:b/>
                <w:color w:val="FFFFFF"/>
                <w:sz w:val="17"/>
              </w:rPr>
              <w:t>OOS</w:t>
            </w:r>
          </w:p>
        </w:tc>
        <w:tc>
          <w:tcPr>
            <w:tcW w:type="dxa" w:w="1152"/>
            <w:shd w:val="clear" w:fill="1F3864"/>
          </w:tcPr>
          <w:p>
            <w:pPr>
              <w:jc w:val="center"/>
            </w:pPr>
            <w:r/>
            <w:r>
              <w:rPr>
                <w:b/>
                <w:color w:val="FFFFFF"/>
                <w:sz w:val="17"/>
              </w:rPr>
              <w:t>Gross bps/hour</w:t>
            </w:r>
          </w:p>
        </w:tc>
        <w:tc>
          <w:tcPr>
            <w:tcW w:type="dxa" w:w="1152"/>
            <w:shd w:val="clear" w:fill="1F3864"/>
          </w:tcPr>
          <w:p>
            <w:pPr>
              <w:jc w:val="center"/>
            </w:pPr>
            <w:r/>
            <w:r>
              <w:rPr>
                <w:b/>
                <w:color w:val="FFFFFF"/>
                <w:sz w:val="17"/>
              </w:rPr>
              <w:t>Turnover/hour</w:t>
            </w:r>
          </w:p>
        </w:tc>
        <w:tc>
          <w:tcPr>
            <w:tcW w:type="dxa" w:w="1296"/>
            <w:shd w:val="clear" w:fill="1F3864"/>
          </w:tcPr>
          <w:p>
            <w:pPr>
              <w:jc w:val="center"/>
            </w:pPr>
            <w:r/>
            <w:r>
              <w:rPr>
                <w:b/>
                <w:color w:val="FFFFFF"/>
                <w:sz w:val="17"/>
              </w:rPr>
              <w:t>Cost bps/hour at 7</w:t>
            </w:r>
          </w:p>
        </w:tc>
        <w:tc>
          <w:tcPr>
            <w:tcW w:type="dxa" w:w="1296"/>
            <w:shd w:val="clear" w:fill="1F3864"/>
          </w:tcPr>
          <w:p>
            <w:pPr>
              <w:jc w:val="center"/>
            </w:pPr>
            <w:r/>
            <w:r>
              <w:rPr>
                <w:b/>
                <w:color w:val="FFFFFF"/>
                <w:sz w:val="17"/>
              </w:rPr>
              <w:t>Net Sharpe at 7 bps</w:t>
            </w:r>
          </w:p>
        </w:tc>
      </w:tr>
      <w:tr>
        <w:tc>
          <w:tcPr>
            <w:tcW w:type="dxa" w:w="1008"/>
          </w:tcPr>
          <w:p>
            <w:pPr>
              <w:spacing w:after="0"/>
            </w:pPr>
            <w:r/>
            <w:r>
              <w:rPr>
                <w:sz w:val="17"/>
              </w:rPr>
              <w:t>1 h</w:t>
            </w:r>
          </w:p>
        </w:tc>
        <w:tc>
          <w:tcPr>
            <w:tcW w:type="dxa" w:w="1080"/>
          </w:tcPr>
          <w:p>
            <w:pPr>
              <w:spacing w:after="0"/>
              <w:jc w:val="center"/>
            </w:pPr>
            <w:r/>
            <w:r>
              <w:rPr>
                <w:sz w:val="17"/>
              </w:rPr>
              <w:t>-4.91</w:t>
            </w:r>
          </w:p>
        </w:tc>
        <w:tc>
          <w:tcPr>
            <w:tcW w:type="dxa" w:w="720"/>
          </w:tcPr>
          <w:p>
            <w:pPr>
              <w:spacing w:after="0"/>
              <w:jc w:val="center"/>
            </w:pPr>
            <w:r/>
            <w:r>
              <w:rPr>
                <w:sz w:val="17"/>
              </w:rPr>
              <w:t>-5.08</w:t>
            </w:r>
          </w:p>
        </w:tc>
        <w:tc>
          <w:tcPr>
            <w:tcW w:type="dxa" w:w="720"/>
          </w:tcPr>
          <w:p>
            <w:pPr>
              <w:spacing w:after="0"/>
              <w:jc w:val="center"/>
            </w:pPr>
            <w:r/>
            <w:r>
              <w:rPr>
                <w:sz w:val="17"/>
              </w:rPr>
              <w:t>-4.79</w:t>
            </w:r>
          </w:p>
        </w:tc>
        <w:tc>
          <w:tcPr>
            <w:tcW w:type="dxa" w:w="1152"/>
          </w:tcPr>
          <w:p>
            <w:pPr>
              <w:spacing w:after="0"/>
              <w:jc w:val="center"/>
            </w:pPr>
            <w:r/>
            <w:r>
              <w:rPr>
                <w:sz w:val="17"/>
              </w:rPr>
              <w:t>-1.13</w:t>
            </w:r>
          </w:p>
        </w:tc>
        <w:tc>
          <w:tcPr>
            <w:tcW w:type="dxa" w:w="1152"/>
          </w:tcPr>
          <w:p>
            <w:pPr>
              <w:spacing w:after="0"/>
              <w:jc w:val="center"/>
            </w:pPr>
            <w:r/>
            <w:r>
              <w:rPr>
                <w:sz w:val="17"/>
              </w:rPr>
              <w:t>1.34</w:t>
            </w:r>
          </w:p>
        </w:tc>
        <w:tc>
          <w:tcPr>
            <w:tcW w:type="dxa" w:w="1296"/>
          </w:tcPr>
          <w:p>
            <w:pPr>
              <w:spacing w:after="0"/>
              <w:jc w:val="center"/>
            </w:pPr>
            <w:r/>
            <w:r>
              <w:rPr>
                <w:sz w:val="17"/>
              </w:rPr>
              <w:t>9.38</w:t>
            </w:r>
          </w:p>
        </w:tc>
        <w:tc>
          <w:tcPr>
            <w:tcW w:type="dxa" w:w="1296"/>
          </w:tcPr>
          <w:p>
            <w:pPr>
              <w:spacing w:after="0"/>
              <w:jc w:val="center"/>
            </w:pPr>
            <w:r/>
            <w:r>
              <w:rPr>
                <w:sz w:val="17"/>
              </w:rPr>
              <w:t>-43.2</w:t>
            </w:r>
          </w:p>
        </w:tc>
      </w:tr>
      <w:tr>
        <w:tc>
          <w:tcPr>
            <w:tcW w:type="dxa" w:w="1008"/>
          </w:tcPr>
          <w:p>
            <w:pPr>
              <w:spacing w:after="0"/>
            </w:pPr>
            <w:r/>
            <w:r>
              <w:rPr>
                <w:sz w:val="17"/>
              </w:rPr>
              <w:t>2 h</w:t>
            </w:r>
          </w:p>
        </w:tc>
        <w:tc>
          <w:tcPr>
            <w:tcW w:type="dxa" w:w="1080"/>
          </w:tcPr>
          <w:p>
            <w:pPr>
              <w:spacing w:after="0"/>
              <w:jc w:val="center"/>
            </w:pPr>
            <w:r/>
            <w:r>
              <w:rPr>
                <w:sz w:val="17"/>
              </w:rPr>
              <w:t>-4.27</w:t>
            </w:r>
          </w:p>
        </w:tc>
        <w:tc>
          <w:tcPr>
            <w:tcW w:type="dxa" w:w="720"/>
          </w:tcPr>
          <w:p>
            <w:pPr>
              <w:spacing w:after="0"/>
              <w:jc w:val="center"/>
            </w:pPr>
            <w:r/>
            <w:r>
              <w:rPr>
                <w:sz w:val="17"/>
              </w:rPr>
              <w:t>-5.33</w:t>
            </w:r>
          </w:p>
        </w:tc>
        <w:tc>
          <w:tcPr>
            <w:tcW w:type="dxa" w:w="720"/>
          </w:tcPr>
          <w:p>
            <w:pPr>
              <w:spacing w:after="0"/>
              <w:jc w:val="center"/>
            </w:pPr>
            <w:r/>
            <w:r>
              <w:rPr>
                <w:sz w:val="17"/>
              </w:rPr>
              <w:t>-3.47</w:t>
            </w:r>
          </w:p>
        </w:tc>
        <w:tc>
          <w:tcPr>
            <w:tcW w:type="dxa" w:w="1152"/>
          </w:tcPr>
          <w:p>
            <w:pPr>
              <w:spacing w:after="0"/>
              <w:jc w:val="center"/>
            </w:pPr>
            <w:r/>
            <w:r>
              <w:rPr>
                <w:sz w:val="17"/>
              </w:rPr>
              <w:t>-0.98</w:t>
            </w:r>
          </w:p>
        </w:tc>
        <w:tc>
          <w:tcPr>
            <w:tcW w:type="dxa" w:w="1152"/>
          </w:tcPr>
          <w:p>
            <w:pPr>
              <w:spacing w:after="0"/>
              <w:jc w:val="center"/>
            </w:pPr>
            <w:r/>
            <w:r>
              <w:rPr>
                <w:sz w:val="17"/>
              </w:rPr>
              <w:t>0.95</w:t>
            </w:r>
          </w:p>
        </w:tc>
        <w:tc>
          <w:tcPr>
            <w:tcW w:type="dxa" w:w="1296"/>
          </w:tcPr>
          <w:p>
            <w:pPr>
              <w:spacing w:after="0"/>
              <w:jc w:val="center"/>
            </w:pPr>
            <w:r/>
            <w:r>
              <w:rPr>
                <w:sz w:val="17"/>
              </w:rPr>
              <w:t>6.66</w:t>
            </w:r>
          </w:p>
        </w:tc>
        <w:tc>
          <w:tcPr>
            <w:tcW w:type="dxa" w:w="1296"/>
          </w:tcPr>
          <w:p>
            <w:pPr>
              <w:spacing w:after="0"/>
              <w:jc w:val="center"/>
            </w:pPr>
            <w:r/>
            <w:r>
              <w:rPr>
                <w:sz w:val="17"/>
              </w:rPr>
              <w:t>-32.0</w:t>
            </w:r>
          </w:p>
        </w:tc>
      </w:tr>
      <w:tr>
        <w:tc>
          <w:tcPr>
            <w:tcW w:type="dxa" w:w="1008"/>
          </w:tcPr>
          <w:p>
            <w:pPr>
              <w:spacing w:after="0"/>
            </w:pPr>
            <w:r/>
            <w:r>
              <w:rPr>
                <w:sz w:val="17"/>
              </w:rPr>
              <w:t>4 h</w:t>
            </w:r>
          </w:p>
        </w:tc>
        <w:tc>
          <w:tcPr>
            <w:tcW w:type="dxa" w:w="1080"/>
          </w:tcPr>
          <w:p>
            <w:pPr>
              <w:spacing w:after="0"/>
              <w:jc w:val="center"/>
            </w:pPr>
            <w:r/>
            <w:r>
              <w:rPr>
                <w:sz w:val="17"/>
              </w:rPr>
              <w:t>-3.05</w:t>
            </w:r>
          </w:p>
        </w:tc>
        <w:tc>
          <w:tcPr>
            <w:tcW w:type="dxa" w:w="720"/>
          </w:tcPr>
          <w:p>
            <w:pPr>
              <w:spacing w:after="0"/>
              <w:jc w:val="center"/>
            </w:pPr>
            <w:r/>
            <w:r>
              <w:rPr>
                <w:sz w:val="17"/>
              </w:rPr>
              <w:t>-4.27</w:t>
            </w:r>
          </w:p>
        </w:tc>
        <w:tc>
          <w:tcPr>
            <w:tcW w:type="dxa" w:w="720"/>
          </w:tcPr>
          <w:p>
            <w:pPr>
              <w:spacing w:after="0"/>
              <w:jc w:val="center"/>
            </w:pPr>
            <w:r/>
            <w:r>
              <w:rPr>
                <w:sz w:val="17"/>
              </w:rPr>
              <w:t>-2.16</w:t>
            </w:r>
          </w:p>
        </w:tc>
        <w:tc>
          <w:tcPr>
            <w:tcW w:type="dxa" w:w="1152"/>
          </w:tcPr>
          <w:p>
            <w:pPr>
              <w:spacing w:after="0"/>
              <w:jc w:val="center"/>
            </w:pPr>
            <w:r/>
            <w:r>
              <w:rPr>
                <w:sz w:val="17"/>
              </w:rPr>
              <w:t>-0.70</w:t>
            </w:r>
          </w:p>
        </w:tc>
        <w:tc>
          <w:tcPr>
            <w:tcW w:type="dxa" w:w="1152"/>
          </w:tcPr>
          <w:p>
            <w:pPr>
              <w:spacing w:after="0"/>
              <w:jc w:val="center"/>
            </w:pPr>
            <w:r/>
            <w:r>
              <w:rPr>
                <w:sz w:val="17"/>
              </w:rPr>
              <w:t>0.69</w:t>
            </w:r>
          </w:p>
        </w:tc>
        <w:tc>
          <w:tcPr>
            <w:tcW w:type="dxa" w:w="1296"/>
          </w:tcPr>
          <w:p>
            <w:pPr>
              <w:spacing w:after="0"/>
              <w:jc w:val="center"/>
            </w:pPr>
            <w:r/>
            <w:r>
              <w:rPr>
                <w:sz w:val="17"/>
              </w:rPr>
              <w:t>4.86</w:t>
            </w:r>
          </w:p>
        </w:tc>
        <w:tc>
          <w:tcPr>
            <w:tcW w:type="dxa" w:w="1296"/>
          </w:tcPr>
          <w:p>
            <w:pPr>
              <w:spacing w:after="0"/>
              <w:jc w:val="center"/>
            </w:pPr>
            <w:r/>
            <w:r>
              <w:rPr>
                <w:sz w:val="17"/>
              </w:rPr>
              <w:t>-23.6</w:t>
            </w:r>
          </w:p>
        </w:tc>
      </w:tr>
      <w:tr>
        <w:tc>
          <w:tcPr>
            <w:tcW w:type="dxa" w:w="1008"/>
          </w:tcPr>
          <w:p>
            <w:pPr>
              <w:spacing w:after="0"/>
            </w:pPr>
            <w:r/>
            <w:r>
              <w:rPr>
                <w:sz w:val="17"/>
              </w:rPr>
              <w:t>8 h</w:t>
            </w:r>
          </w:p>
        </w:tc>
        <w:tc>
          <w:tcPr>
            <w:tcW w:type="dxa" w:w="1080"/>
          </w:tcPr>
          <w:p>
            <w:pPr>
              <w:spacing w:after="0"/>
              <w:jc w:val="center"/>
            </w:pPr>
            <w:r/>
            <w:r>
              <w:rPr>
                <w:sz w:val="17"/>
              </w:rPr>
              <w:t>-2.46</w:t>
            </w:r>
          </w:p>
        </w:tc>
        <w:tc>
          <w:tcPr>
            <w:tcW w:type="dxa" w:w="720"/>
          </w:tcPr>
          <w:p>
            <w:pPr>
              <w:spacing w:after="0"/>
              <w:jc w:val="center"/>
            </w:pPr>
            <w:r/>
            <w:r>
              <w:rPr>
                <w:sz w:val="17"/>
              </w:rPr>
              <w:t>-3.84</w:t>
            </w:r>
          </w:p>
        </w:tc>
        <w:tc>
          <w:tcPr>
            <w:tcW w:type="dxa" w:w="720"/>
          </w:tcPr>
          <w:p>
            <w:pPr>
              <w:spacing w:after="0"/>
              <w:jc w:val="center"/>
            </w:pPr>
            <w:r/>
            <w:r>
              <w:rPr>
                <w:sz w:val="17"/>
              </w:rPr>
              <w:t>-1.45</w:t>
            </w:r>
          </w:p>
        </w:tc>
        <w:tc>
          <w:tcPr>
            <w:tcW w:type="dxa" w:w="1152"/>
          </w:tcPr>
          <w:p>
            <w:pPr>
              <w:spacing w:after="0"/>
              <w:jc w:val="center"/>
            </w:pPr>
            <w:r/>
            <w:r>
              <w:rPr>
                <w:sz w:val="17"/>
              </w:rPr>
              <w:t>-0.56</w:t>
            </w:r>
          </w:p>
        </w:tc>
        <w:tc>
          <w:tcPr>
            <w:tcW w:type="dxa" w:w="1152"/>
          </w:tcPr>
          <w:p>
            <w:pPr>
              <w:spacing w:after="0"/>
              <w:jc w:val="center"/>
            </w:pPr>
            <w:r/>
            <w:r>
              <w:rPr>
                <w:sz w:val="17"/>
              </w:rPr>
              <w:t>0.51</w:t>
            </w:r>
          </w:p>
        </w:tc>
        <w:tc>
          <w:tcPr>
            <w:tcW w:type="dxa" w:w="1296"/>
          </w:tcPr>
          <w:p>
            <w:pPr>
              <w:spacing w:after="0"/>
              <w:jc w:val="center"/>
            </w:pPr>
            <w:r/>
            <w:r>
              <w:rPr>
                <w:sz w:val="17"/>
              </w:rPr>
              <w:t>3.57</w:t>
            </w:r>
          </w:p>
        </w:tc>
        <w:tc>
          <w:tcPr>
            <w:tcW w:type="dxa" w:w="1296"/>
          </w:tcPr>
          <w:p>
            <w:pPr>
              <w:spacing w:after="0"/>
              <w:jc w:val="center"/>
            </w:pPr>
            <w:r/>
            <w:r>
              <w:rPr>
                <w:sz w:val="17"/>
              </w:rPr>
              <w:t>-17.7</w:t>
            </w:r>
          </w:p>
        </w:tc>
      </w:tr>
      <w:tr>
        <w:tc>
          <w:tcPr>
            <w:tcW w:type="dxa" w:w="1008"/>
          </w:tcPr>
          <w:p>
            <w:pPr>
              <w:spacing w:after="0"/>
            </w:pPr>
            <w:r/>
            <w:r>
              <w:rPr>
                <w:sz w:val="17"/>
              </w:rPr>
              <w:t>12 h</w:t>
            </w:r>
          </w:p>
        </w:tc>
        <w:tc>
          <w:tcPr>
            <w:tcW w:type="dxa" w:w="1080"/>
          </w:tcPr>
          <w:p>
            <w:pPr>
              <w:spacing w:after="0"/>
              <w:jc w:val="center"/>
            </w:pPr>
            <w:r/>
            <w:r>
              <w:rPr>
                <w:sz w:val="17"/>
              </w:rPr>
              <w:t>-2.23</w:t>
            </w:r>
          </w:p>
        </w:tc>
        <w:tc>
          <w:tcPr>
            <w:tcW w:type="dxa" w:w="720"/>
          </w:tcPr>
          <w:p>
            <w:pPr>
              <w:spacing w:after="0"/>
              <w:jc w:val="center"/>
            </w:pPr>
            <w:r/>
            <w:r>
              <w:rPr>
                <w:sz w:val="17"/>
              </w:rPr>
              <w:t>-3.63</w:t>
            </w:r>
          </w:p>
        </w:tc>
        <w:tc>
          <w:tcPr>
            <w:tcW w:type="dxa" w:w="720"/>
          </w:tcPr>
          <w:p>
            <w:pPr>
              <w:spacing w:after="0"/>
              <w:jc w:val="center"/>
            </w:pPr>
            <w:r/>
            <w:r>
              <w:rPr>
                <w:sz w:val="17"/>
              </w:rPr>
              <w:t>-1.21</w:t>
            </w:r>
          </w:p>
        </w:tc>
        <w:tc>
          <w:tcPr>
            <w:tcW w:type="dxa" w:w="1152"/>
          </w:tcPr>
          <w:p>
            <w:pPr>
              <w:spacing w:after="0"/>
              <w:jc w:val="center"/>
            </w:pPr>
            <w:r/>
            <w:r>
              <w:rPr>
                <w:sz w:val="17"/>
              </w:rPr>
              <w:t>-0.52</w:t>
            </w:r>
          </w:p>
        </w:tc>
        <w:tc>
          <w:tcPr>
            <w:tcW w:type="dxa" w:w="1152"/>
          </w:tcPr>
          <w:p>
            <w:pPr>
              <w:spacing w:after="0"/>
              <w:jc w:val="center"/>
            </w:pPr>
            <w:r/>
            <w:r>
              <w:rPr>
                <w:sz w:val="17"/>
              </w:rPr>
              <w:t>0.43</w:t>
            </w:r>
          </w:p>
        </w:tc>
        <w:tc>
          <w:tcPr>
            <w:tcW w:type="dxa" w:w="1296"/>
          </w:tcPr>
          <w:p>
            <w:pPr>
              <w:spacing w:after="0"/>
              <w:jc w:val="center"/>
            </w:pPr>
            <w:r/>
            <w:r>
              <w:rPr>
                <w:sz w:val="17"/>
              </w:rPr>
              <w:t>2.98</w:t>
            </w:r>
          </w:p>
        </w:tc>
        <w:tc>
          <w:tcPr>
            <w:tcW w:type="dxa" w:w="1296"/>
          </w:tcPr>
          <w:p>
            <w:pPr>
              <w:spacing w:after="0"/>
              <w:jc w:val="center"/>
            </w:pPr>
            <w:r/>
            <w:r>
              <w:rPr>
                <w:sz w:val="17"/>
              </w:rPr>
              <w:t>-14.8</w:t>
            </w:r>
          </w:p>
        </w:tc>
      </w:tr>
      <w:tr>
        <w:tc>
          <w:tcPr>
            <w:tcW w:type="dxa" w:w="1008"/>
          </w:tcPr>
          <w:p>
            <w:pPr>
              <w:spacing w:after="0"/>
            </w:pPr>
            <w:r/>
            <w:r>
              <w:rPr>
                <w:sz w:val="17"/>
              </w:rPr>
              <w:t>24 h</w:t>
            </w:r>
          </w:p>
        </w:tc>
        <w:tc>
          <w:tcPr>
            <w:tcW w:type="dxa" w:w="1080"/>
          </w:tcPr>
          <w:p>
            <w:pPr>
              <w:spacing w:after="0"/>
              <w:jc w:val="center"/>
            </w:pPr>
            <w:r/>
            <w:r>
              <w:rPr>
                <w:sz w:val="17"/>
              </w:rPr>
              <w:t>-1.33</w:t>
            </w:r>
          </w:p>
        </w:tc>
        <w:tc>
          <w:tcPr>
            <w:tcW w:type="dxa" w:w="720"/>
          </w:tcPr>
          <w:p>
            <w:pPr>
              <w:spacing w:after="0"/>
              <w:jc w:val="center"/>
            </w:pPr>
            <w:r/>
            <w:r>
              <w:rPr>
                <w:sz w:val="17"/>
              </w:rPr>
              <w:t>-1.90</w:t>
            </w:r>
          </w:p>
        </w:tc>
        <w:tc>
          <w:tcPr>
            <w:tcW w:type="dxa" w:w="720"/>
          </w:tcPr>
          <w:p>
            <w:pPr>
              <w:spacing w:after="0"/>
              <w:jc w:val="center"/>
            </w:pPr>
            <w:r/>
            <w:r>
              <w:rPr>
                <w:sz w:val="17"/>
              </w:rPr>
              <w:t>-0.91</w:t>
            </w:r>
          </w:p>
        </w:tc>
        <w:tc>
          <w:tcPr>
            <w:tcW w:type="dxa" w:w="1152"/>
          </w:tcPr>
          <w:p>
            <w:pPr>
              <w:spacing w:after="0"/>
              <w:jc w:val="center"/>
            </w:pPr>
            <w:r/>
            <w:r>
              <w:rPr>
                <w:sz w:val="17"/>
              </w:rPr>
              <w:t>-0.31</w:t>
            </w:r>
          </w:p>
        </w:tc>
        <w:tc>
          <w:tcPr>
            <w:tcW w:type="dxa" w:w="1152"/>
          </w:tcPr>
          <w:p>
            <w:pPr>
              <w:spacing w:after="0"/>
              <w:jc w:val="center"/>
            </w:pPr>
            <w:r/>
            <w:r>
              <w:rPr>
                <w:sz w:val="17"/>
              </w:rPr>
              <w:t>0.31</w:t>
            </w:r>
          </w:p>
        </w:tc>
        <w:tc>
          <w:tcPr>
            <w:tcW w:type="dxa" w:w="1296"/>
          </w:tcPr>
          <w:p>
            <w:pPr>
              <w:spacing w:after="0"/>
              <w:jc w:val="center"/>
            </w:pPr>
            <w:r/>
            <w:r>
              <w:rPr>
                <w:sz w:val="17"/>
              </w:rPr>
              <w:t>2.17</w:t>
            </w:r>
          </w:p>
        </w:tc>
        <w:tc>
          <w:tcPr>
            <w:tcW w:type="dxa" w:w="1296"/>
          </w:tcPr>
          <w:p>
            <w:pPr>
              <w:spacing w:after="0"/>
              <w:jc w:val="center"/>
            </w:pPr>
            <w:r/>
            <w:r>
              <w:rPr>
                <w:sz w:val="17"/>
              </w:rPr>
              <w:t>-10.5</w:t>
            </w:r>
          </w:p>
        </w:tc>
      </w:tr>
    </w:tbl>
    <w:p>
      <w:pPr>
        <w:spacing w:after="40"/>
      </w:pPr>
    </w:p>
    <w:p>
      <w:pPr>
        <w:spacing w:after="120"/>
      </w:pPr>
      <w:r>
        <w:rPr>
          <w:b w:val="0"/>
          <w:i w:val="0"/>
        </w:rPr>
        <w:t>A 1-hour cross-sectional reversal (buy the coins that fell most in the last hour, sell those that rose) has a gross Sharpe of 4.91, and it holds in both the research and hold-out periods. It confirms the brief's view that shorter horizons lead to reversal. But the strategy earns about 1.13 bps per hour while turning over 1.34x its capital, which costs 9.38 bps per hour even with limit orders. Intraday reversal is an edge for market makers paid to provide liquidity, not for a strategy that pays 7-20 bps.</w:t>
      </w:r>
    </w:p>
    <w:p>
      <w:pPr>
        <w:spacing w:after="120"/>
      </w:pPr>
      <w:r>
        <w:rPr>
          <w:b w:val="0"/>
          <w:i w:val="0"/>
        </w:rPr>
        <w:t>At the other end, long-horizon reversal works and is cheap to trade. Selling the coins with the best 60-day return and buying the worst, skipping the most recent 14 days (which still carry momentum) and holding each portfolio 14 days, earns a gross Sharpe of 1.02 with turnover of only 0.06 per day. This is the overreaction pattern of De Bondt and Thaler (1985), compressed into weeks rather than years in crypto.</w:t>
      </w:r>
    </w:p>
    <w:p>
      <w:pPr>
        <w:pStyle w:val="Heading2"/>
      </w:pPr>
      <w:r>
        <w:t>6.2 Uninformed trading</w:t>
      </w:r>
    </w:p>
    <w:p>
      <w:pPr>
        <w:spacing w:after="120"/>
      </w:pPr>
      <w:r>
        <w:rPr>
          <w:b w:val="0"/>
          <w:i w:val="0"/>
        </w:rPr>
        <w:t>The brief suggests that uninformed, liquidity-driven moves reverse more. The activity results in Section 5.2 point the same way: low-activity moves show weaker 1-day momentum (0.18) than high-activity moves (0.49), consistent with Campbell, Grossman and Wang (1993). The intraday reversal is also the uninformed-trading channel: hour-to-hour moves are mostly liquidity noise, and they reverse. At the daily horizon, however, even low-volume moves do not reverse outright in this large-cap universe.</w:t>
      </w:r>
    </w:p>
    <w:p>
      <w:pPr>
        <w:pStyle w:val="Heading2"/>
      </w:pPr>
      <w:r>
        <w:t>6.3 Correlation: residual baskets and cointegrated pairs</w:t>
      </w:r>
    </w:p>
    <w:p>
      <w:pPr>
        <w:spacing w:after="120"/>
      </w:pPr>
      <w:r>
        <w:rPr>
          <w:b w:val="0"/>
          <w:i w:val="0"/>
        </w:rPr>
        <w:t>The brief suggests that 'Security A minus something correlated to it' is more mean-reverting. Three versions are tested: (i) each coin's return minus its beta-adjusted market return; (ii) each coin's return minus its theme index; and (iii) cointegrated pairs traded with a Kalman-filter hedge ratio and a walk-forward monthly re-selection (the engine from the July version of this project, now run at 20 bps).</w:t>
      </w:r>
    </w:p>
    <w:p>
      <w:pPr>
        <w:keepNext/>
        <w:spacing w:after="60"/>
      </w:pPr>
      <w:r>
        <w:rPr>
          <w:b/>
          <w:sz w:val="20"/>
        </w:rPr>
        <w:t>Table 7. Correlation-based reversal.</w:t>
      </w:r>
    </w:p>
    <w:tbl>
      <w:tblPr>
        <w:tblStyle w:val="TableGrid"/>
        <w:tblW w:type="auto" w:w="0"/>
        <w:jc w:val="center"/>
        <w:tblLayout w:type="fixed"/>
        <w:tblLook w:firstColumn="1" w:firstRow="1" w:lastColumn="0" w:lastRow="0" w:noHBand="0" w:noVBand="1" w:val="04A0"/>
      </w:tblPr>
      <w:tblGrid>
        <w:gridCol w:w="3456"/>
        <w:gridCol w:w="936"/>
        <w:gridCol w:w="1007"/>
        <w:gridCol w:w="1007"/>
        <w:gridCol w:w="1007"/>
        <w:gridCol w:w="936"/>
        <w:gridCol w:w="936"/>
      </w:tblGrid>
      <w:tr>
        <w:tc>
          <w:tcPr>
            <w:tcW w:type="dxa" w:w="3456"/>
            <w:shd w:val="clear" w:fill="1F3864"/>
          </w:tcPr>
          <w:p>
            <w:pPr>
              <w:jc w:val="left"/>
            </w:pPr>
            <w:r/>
            <w:r>
              <w:rPr>
                <w:b/>
                <w:color w:val="FFFFFF"/>
                <w:sz w:val="17"/>
              </w:rPr>
              <w:t>Strategy</w:t>
            </w:r>
          </w:p>
        </w:tc>
        <w:tc>
          <w:tcPr>
            <w:tcW w:type="dxa" w:w="936"/>
            <w:shd w:val="clear" w:fill="1F3864"/>
          </w:tcPr>
          <w:p>
            <w:pPr>
              <w:jc w:val="center"/>
            </w:pPr>
            <w:r/>
            <w:r>
              <w:rPr>
                <w:b/>
                <w:color w:val="FFFFFF"/>
                <w:sz w:val="17"/>
              </w:rPr>
              <w:t>Gross IS</w:t>
            </w:r>
          </w:p>
        </w:tc>
        <w:tc>
          <w:tcPr>
            <w:tcW w:type="dxa" w:w="1008"/>
            <w:shd w:val="clear" w:fill="1F3864"/>
          </w:tcPr>
          <w:p>
            <w:pPr>
              <w:jc w:val="center"/>
            </w:pPr>
            <w:r/>
            <w:r>
              <w:rPr>
                <w:b/>
                <w:color w:val="FFFFFF"/>
                <w:sz w:val="17"/>
              </w:rPr>
              <w:t>Gross OOS</w:t>
            </w:r>
          </w:p>
        </w:tc>
        <w:tc>
          <w:tcPr>
            <w:tcW w:type="dxa" w:w="1008"/>
            <w:shd w:val="clear" w:fill="1F3864"/>
          </w:tcPr>
          <w:p>
            <w:pPr>
              <w:jc w:val="center"/>
            </w:pPr>
            <w:r/>
            <w:r>
              <w:rPr>
                <w:b/>
                <w:color w:val="FFFFFF"/>
                <w:sz w:val="17"/>
              </w:rPr>
              <w:t>Gross full</w:t>
            </w:r>
          </w:p>
        </w:tc>
        <w:tc>
          <w:tcPr>
            <w:tcW w:type="dxa" w:w="1008"/>
            <w:shd w:val="clear" w:fill="1F3864"/>
          </w:tcPr>
          <w:p>
            <w:pPr>
              <w:jc w:val="center"/>
            </w:pPr>
            <w:r/>
            <w:r>
              <w:rPr>
                <w:b/>
                <w:color w:val="FFFFFF"/>
                <w:sz w:val="17"/>
              </w:rPr>
              <w:t>Net 20 bps</w:t>
            </w:r>
          </w:p>
        </w:tc>
        <w:tc>
          <w:tcPr>
            <w:tcW w:type="dxa" w:w="936"/>
            <w:shd w:val="clear" w:fill="1F3864"/>
          </w:tcPr>
          <w:p>
            <w:pPr>
              <w:jc w:val="center"/>
            </w:pPr>
            <w:r/>
            <w:r>
              <w:rPr>
                <w:b/>
                <w:color w:val="FFFFFF"/>
                <w:sz w:val="17"/>
              </w:rPr>
              <w:t>Net 7 bps</w:t>
            </w:r>
          </w:p>
        </w:tc>
        <w:tc>
          <w:tcPr>
            <w:tcW w:type="dxa" w:w="936"/>
            <w:shd w:val="clear" w:fill="1F3864"/>
          </w:tcPr>
          <w:p>
            <w:pPr>
              <w:jc w:val="center"/>
            </w:pPr>
            <w:r/>
            <w:r>
              <w:rPr>
                <w:b/>
                <w:color w:val="FFFFFF"/>
                <w:sz w:val="17"/>
              </w:rPr>
              <w:t>Turnover</w:t>
            </w:r>
          </w:p>
        </w:tc>
      </w:tr>
      <w:tr>
        <w:tc>
          <w:tcPr>
            <w:tcW w:type="dxa" w:w="3456"/>
          </w:tcPr>
          <w:p>
            <w:pPr>
              <w:spacing w:after="0"/>
            </w:pPr>
            <w:r/>
            <w:r>
              <w:rPr>
                <w:sz w:val="17"/>
              </w:rPr>
              <w:t>Market-residual reversal L=1d</w:t>
            </w:r>
          </w:p>
        </w:tc>
        <w:tc>
          <w:tcPr>
            <w:tcW w:type="dxa" w:w="936"/>
          </w:tcPr>
          <w:p>
            <w:pPr>
              <w:spacing w:after="0"/>
              <w:jc w:val="center"/>
            </w:pPr>
            <w:r/>
            <w:r>
              <w:rPr>
                <w:sz w:val="17"/>
              </w:rPr>
              <w:t>-0.49</w:t>
            </w:r>
          </w:p>
        </w:tc>
        <w:tc>
          <w:tcPr>
            <w:tcW w:type="dxa" w:w="1008"/>
          </w:tcPr>
          <w:p>
            <w:pPr>
              <w:spacing w:after="0"/>
              <w:jc w:val="center"/>
            </w:pPr>
            <w:r/>
            <w:r>
              <w:rPr>
                <w:sz w:val="17"/>
              </w:rPr>
              <w:t>-0.69</w:t>
            </w:r>
          </w:p>
        </w:tc>
        <w:tc>
          <w:tcPr>
            <w:tcW w:type="dxa" w:w="1008"/>
          </w:tcPr>
          <w:p>
            <w:pPr>
              <w:spacing w:after="0"/>
              <w:jc w:val="center"/>
            </w:pPr>
            <w:r/>
            <w:r>
              <w:rPr>
                <w:sz w:val="17"/>
              </w:rPr>
              <w:t>-0.59</w:t>
            </w:r>
          </w:p>
        </w:tc>
        <w:tc>
          <w:tcPr>
            <w:tcW w:type="dxa" w:w="1008"/>
          </w:tcPr>
          <w:p>
            <w:pPr>
              <w:spacing w:after="0"/>
              <w:jc w:val="center"/>
            </w:pPr>
            <w:r/>
            <w:r>
              <w:rPr>
                <w:sz w:val="17"/>
              </w:rPr>
              <w:t>-5.53</w:t>
            </w:r>
          </w:p>
        </w:tc>
        <w:tc>
          <w:tcPr>
            <w:tcW w:type="dxa" w:w="936"/>
          </w:tcPr>
          <w:p>
            <w:pPr>
              <w:spacing w:after="0"/>
              <w:jc w:val="center"/>
            </w:pPr>
            <w:r/>
            <w:r>
              <w:rPr>
                <w:sz w:val="17"/>
              </w:rPr>
              <w:t>-2.28</w:t>
            </w:r>
          </w:p>
        </w:tc>
        <w:tc>
          <w:tcPr>
            <w:tcW w:type="dxa" w:w="936"/>
          </w:tcPr>
          <w:p>
            <w:pPr>
              <w:spacing w:after="0"/>
              <w:jc w:val="center"/>
            </w:pPr>
            <w:r/>
            <w:r>
              <w:rPr>
                <w:sz w:val="17"/>
              </w:rPr>
              <w:t>1.32</w:t>
            </w:r>
          </w:p>
        </w:tc>
      </w:tr>
      <w:tr>
        <w:tc>
          <w:tcPr>
            <w:tcW w:type="dxa" w:w="3456"/>
          </w:tcPr>
          <w:p>
            <w:pPr>
              <w:spacing w:after="0"/>
            </w:pPr>
            <w:r/>
            <w:r>
              <w:rPr>
                <w:sz w:val="17"/>
              </w:rPr>
              <w:t>Theme-residual reversal L=1d</w:t>
            </w:r>
          </w:p>
        </w:tc>
        <w:tc>
          <w:tcPr>
            <w:tcW w:type="dxa" w:w="936"/>
          </w:tcPr>
          <w:p>
            <w:pPr>
              <w:spacing w:after="0"/>
              <w:jc w:val="center"/>
            </w:pPr>
            <w:r/>
            <w:r>
              <w:rPr>
                <w:sz w:val="17"/>
              </w:rPr>
              <w:t>0.19</w:t>
            </w:r>
          </w:p>
        </w:tc>
        <w:tc>
          <w:tcPr>
            <w:tcW w:type="dxa" w:w="1008"/>
          </w:tcPr>
          <w:p>
            <w:pPr>
              <w:spacing w:after="0"/>
              <w:jc w:val="center"/>
            </w:pPr>
            <w:r/>
            <w:r>
              <w:rPr>
                <w:sz w:val="17"/>
              </w:rPr>
              <w:t>-0.08</w:t>
            </w:r>
          </w:p>
        </w:tc>
        <w:tc>
          <w:tcPr>
            <w:tcW w:type="dxa" w:w="1008"/>
          </w:tcPr>
          <w:p>
            <w:pPr>
              <w:spacing w:after="0"/>
              <w:jc w:val="center"/>
            </w:pPr>
            <w:r/>
            <w:r>
              <w:rPr>
                <w:sz w:val="17"/>
              </w:rPr>
              <w:t>0.06</w:t>
            </w:r>
          </w:p>
        </w:tc>
        <w:tc>
          <w:tcPr>
            <w:tcW w:type="dxa" w:w="1008"/>
          </w:tcPr>
          <w:p>
            <w:pPr>
              <w:spacing w:after="0"/>
              <w:jc w:val="center"/>
            </w:pPr>
            <w:r/>
            <w:r>
              <w:rPr>
                <w:sz w:val="17"/>
              </w:rPr>
              <w:t>-5.54</w:t>
            </w:r>
          </w:p>
        </w:tc>
        <w:tc>
          <w:tcPr>
            <w:tcW w:type="dxa" w:w="936"/>
          </w:tcPr>
          <w:p>
            <w:pPr>
              <w:spacing w:after="0"/>
              <w:jc w:val="center"/>
            </w:pPr>
            <w:r/>
            <w:r>
              <w:rPr>
                <w:sz w:val="17"/>
              </w:rPr>
              <w:t>-1.85</w:t>
            </w:r>
          </w:p>
        </w:tc>
        <w:tc>
          <w:tcPr>
            <w:tcW w:type="dxa" w:w="936"/>
          </w:tcPr>
          <w:p>
            <w:pPr>
              <w:spacing w:after="0"/>
              <w:jc w:val="center"/>
            </w:pPr>
            <w:r/>
            <w:r>
              <w:rPr>
                <w:sz w:val="17"/>
              </w:rPr>
              <w:t>1.32</w:t>
            </w:r>
          </w:p>
        </w:tc>
      </w:tr>
      <w:tr>
        <w:tc>
          <w:tcPr>
            <w:tcW w:type="dxa" w:w="3456"/>
          </w:tcPr>
          <w:p>
            <w:pPr>
              <w:spacing w:after="0"/>
            </w:pPr>
            <w:r/>
            <w:r>
              <w:rPr>
                <w:sz w:val="17"/>
              </w:rPr>
              <w:t>Market-residual reversal L=3d</w:t>
            </w:r>
          </w:p>
        </w:tc>
        <w:tc>
          <w:tcPr>
            <w:tcW w:type="dxa" w:w="936"/>
          </w:tcPr>
          <w:p>
            <w:pPr>
              <w:spacing w:after="0"/>
              <w:jc w:val="center"/>
            </w:pPr>
            <w:r/>
            <w:r>
              <w:rPr>
                <w:sz w:val="17"/>
              </w:rPr>
              <w:t>-0.86</w:t>
            </w:r>
          </w:p>
        </w:tc>
        <w:tc>
          <w:tcPr>
            <w:tcW w:type="dxa" w:w="1008"/>
          </w:tcPr>
          <w:p>
            <w:pPr>
              <w:spacing w:after="0"/>
              <w:jc w:val="center"/>
            </w:pPr>
            <w:r/>
            <w:r>
              <w:rPr>
                <w:sz w:val="17"/>
              </w:rPr>
              <w:t>-1.07</w:t>
            </w:r>
          </w:p>
        </w:tc>
        <w:tc>
          <w:tcPr>
            <w:tcW w:type="dxa" w:w="1008"/>
          </w:tcPr>
          <w:p>
            <w:pPr>
              <w:spacing w:after="0"/>
              <w:jc w:val="center"/>
            </w:pPr>
            <w:r/>
            <w:r>
              <w:rPr>
                <w:sz w:val="17"/>
              </w:rPr>
              <w:t>-0.96</w:t>
            </w:r>
          </w:p>
        </w:tc>
        <w:tc>
          <w:tcPr>
            <w:tcW w:type="dxa" w:w="1008"/>
          </w:tcPr>
          <w:p>
            <w:pPr>
              <w:spacing w:after="0"/>
              <w:jc w:val="center"/>
            </w:pPr>
            <w:r/>
            <w:r>
              <w:rPr>
                <w:sz w:val="17"/>
              </w:rPr>
              <w:t>-3.90</w:t>
            </w:r>
          </w:p>
        </w:tc>
        <w:tc>
          <w:tcPr>
            <w:tcW w:type="dxa" w:w="936"/>
          </w:tcPr>
          <w:p>
            <w:pPr>
              <w:spacing w:after="0"/>
              <w:jc w:val="center"/>
            </w:pPr>
            <w:r/>
            <w:r>
              <w:rPr>
                <w:sz w:val="17"/>
              </w:rPr>
              <w:t>-1.98</w:t>
            </w:r>
          </w:p>
        </w:tc>
        <w:tc>
          <w:tcPr>
            <w:tcW w:type="dxa" w:w="936"/>
          </w:tcPr>
          <w:p>
            <w:pPr>
              <w:spacing w:after="0"/>
              <w:jc w:val="center"/>
            </w:pPr>
            <w:r/>
            <w:r>
              <w:rPr>
                <w:sz w:val="17"/>
              </w:rPr>
              <w:t>0.76</w:t>
            </w:r>
          </w:p>
        </w:tc>
      </w:tr>
      <w:tr>
        <w:tc>
          <w:tcPr>
            <w:tcW w:type="dxa" w:w="3456"/>
          </w:tcPr>
          <w:p>
            <w:pPr>
              <w:spacing w:after="0"/>
            </w:pPr>
            <w:r/>
            <w:r>
              <w:rPr>
                <w:sz w:val="17"/>
              </w:rPr>
              <w:t>Theme-residual reversal L=3d</w:t>
            </w:r>
          </w:p>
        </w:tc>
        <w:tc>
          <w:tcPr>
            <w:tcW w:type="dxa" w:w="936"/>
          </w:tcPr>
          <w:p>
            <w:pPr>
              <w:spacing w:after="0"/>
              <w:jc w:val="center"/>
            </w:pPr>
            <w:r/>
            <w:r>
              <w:rPr>
                <w:sz w:val="17"/>
              </w:rPr>
              <w:t>0.05</w:t>
            </w:r>
          </w:p>
        </w:tc>
        <w:tc>
          <w:tcPr>
            <w:tcW w:type="dxa" w:w="1008"/>
          </w:tcPr>
          <w:p>
            <w:pPr>
              <w:spacing w:after="0"/>
              <w:jc w:val="center"/>
            </w:pPr>
            <w:r/>
            <w:r>
              <w:rPr>
                <w:sz w:val="17"/>
              </w:rPr>
              <w:t>0.12</w:t>
            </w:r>
          </w:p>
        </w:tc>
        <w:tc>
          <w:tcPr>
            <w:tcW w:type="dxa" w:w="1008"/>
          </w:tcPr>
          <w:p>
            <w:pPr>
              <w:spacing w:after="0"/>
              <w:jc w:val="center"/>
            </w:pPr>
            <w:r/>
            <w:r>
              <w:rPr>
                <w:sz w:val="17"/>
              </w:rPr>
              <w:t>0.09</w:t>
            </w:r>
          </w:p>
        </w:tc>
        <w:tc>
          <w:tcPr>
            <w:tcW w:type="dxa" w:w="1008"/>
          </w:tcPr>
          <w:p>
            <w:pPr>
              <w:spacing w:after="0"/>
              <w:jc w:val="center"/>
            </w:pPr>
            <w:r/>
            <w:r>
              <w:rPr>
                <w:sz w:val="17"/>
              </w:rPr>
              <w:t>-3.07</w:t>
            </w:r>
          </w:p>
        </w:tc>
        <w:tc>
          <w:tcPr>
            <w:tcW w:type="dxa" w:w="936"/>
          </w:tcPr>
          <w:p>
            <w:pPr>
              <w:spacing w:after="0"/>
              <w:jc w:val="center"/>
            </w:pPr>
            <w:r/>
            <w:r>
              <w:rPr>
                <w:sz w:val="17"/>
              </w:rPr>
              <w:t>-1.00</w:t>
            </w:r>
          </w:p>
        </w:tc>
        <w:tc>
          <w:tcPr>
            <w:tcW w:type="dxa" w:w="936"/>
          </w:tcPr>
          <w:p>
            <w:pPr>
              <w:spacing w:after="0"/>
              <w:jc w:val="center"/>
            </w:pPr>
            <w:r/>
            <w:r>
              <w:rPr>
                <w:sz w:val="17"/>
              </w:rPr>
              <w:t>0.77</w:t>
            </w:r>
          </w:p>
        </w:tc>
      </w:tr>
      <w:tr>
        <w:tc>
          <w:tcPr>
            <w:tcW w:type="dxa" w:w="3456"/>
          </w:tcPr>
          <w:p>
            <w:pPr>
              <w:spacing w:after="0"/>
            </w:pPr>
            <w:r/>
            <w:r>
              <w:rPr>
                <w:sz w:val="17"/>
              </w:rPr>
              <w:t>Market-residual reversal L=7d</w:t>
            </w:r>
          </w:p>
        </w:tc>
        <w:tc>
          <w:tcPr>
            <w:tcW w:type="dxa" w:w="936"/>
          </w:tcPr>
          <w:p>
            <w:pPr>
              <w:spacing w:after="0"/>
              <w:jc w:val="center"/>
            </w:pPr>
            <w:r/>
            <w:r>
              <w:rPr>
                <w:sz w:val="17"/>
              </w:rPr>
              <w:t>-1.03</w:t>
            </w:r>
          </w:p>
        </w:tc>
        <w:tc>
          <w:tcPr>
            <w:tcW w:type="dxa" w:w="1008"/>
          </w:tcPr>
          <w:p>
            <w:pPr>
              <w:spacing w:after="0"/>
              <w:jc w:val="center"/>
            </w:pPr>
            <w:r/>
            <w:r>
              <w:rPr>
                <w:sz w:val="17"/>
              </w:rPr>
              <w:t>-0.99</w:t>
            </w:r>
          </w:p>
        </w:tc>
        <w:tc>
          <w:tcPr>
            <w:tcW w:type="dxa" w:w="1008"/>
          </w:tcPr>
          <w:p>
            <w:pPr>
              <w:spacing w:after="0"/>
              <w:jc w:val="center"/>
            </w:pPr>
            <w:r/>
            <w:r>
              <w:rPr>
                <w:sz w:val="17"/>
              </w:rPr>
              <w:t>-1.01</w:t>
            </w:r>
          </w:p>
        </w:tc>
        <w:tc>
          <w:tcPr>
            <w:tcW w:type="dxa" w:w="1008"/>
          </w:tcPr>
          <w:p>
            <w:pPr>
              <w:spacing w:after="0"/>
              <w:jc w:val="center"/>
            </w:pPr>
            <w:r/>
            <w:r>
              <w:rPr>
                <w:sz w:val="17"/>
              </w:rPr>
              <w:t>-2.88</w:t>
            </w:r>
          </w:p>
        </w:tc>
        <w:tc>
          <w:tcPr>
            <w:tcW w:type="dxa" w:w="936"/>
          </w:tcPr>
          <w:p>
            <w:pPr>
              <w:spacing w:after="0"/>
              <w:jc w:val="center"/>
            </w:pPr>
            <w:r/>
            <w:r>
              <w:rPr>
                <w:sz w:val="17"/>
              </w:rPr>
              <w:t>-1.66</w:t>
            </w:r>
          </w:p>
        </w:tc>
        <w:tc>
          <w:tcPr>
            <w:tcW w:type="dxa" w:w="936"/>
          </w:tcPr>
          <w:p>
            <w:pPr>
              <w:spacing w:after="0"/>
              <w:jc w:val="center"/>
            </w:pPr>
            <w:r/>
            <w:r>
              <w:rPr>
                <w:sz w:val="17"/>
              </w:rPr>
              <w:t>0.51</w:t>
            </w:r>
          </w:p>
        </w:tc>
      </w:tr>
      <w:tr>
        <w:tc>
          <w:tcPr>
            <w:tcW w:type="dxa" w:w="3456"/>
          </w:tcPr>
          <w:p>
            <w:pPr>
              <w:spacing w:after="0"/>
            </w:pPr>
            <w:r/>
            <w:r>
              <w:rPr>
                <w:sz w:val="17"/>
              </w:rPr>
              <w:t>Theme-residual reversal L=7d</w:t>
            </w:r>
          </w:p>
        </w:tc>
        <w:tc>
          <w:tcPr>
            <w:tcW w:type="dxa" w:w="936"/>
          </w:tcPr>
          <w:p>
            <w:pPr>
              <w:spacing w:after="0"/>
              <w:jc w:val="center"/>
            </w:pPr>
            <w:r/>
            <w:r>
              <w:rPr>
                <w:sz w:val="17"/>
              </w:rPr>
              <w:t>-0.92</w:t>
            </w:r>
          </w:p>
        </w:tc>
        <w:tc>
          <w:tcPr>
            <w:tcW w:type="dxa" w:w="1008"/>
          </w:tcPr>
          <w:p>
            <w:pPr>
              <w:spacing w:after="0"/>
              <w:jc w:val="center"/>
            </w:pPr>
            <w:r/>
            <w:r>
              <w:rPr>
                <w:sz w:val="17"/>
              </w:rPr>
              <w:t>-0.06</w:t>
            </w:r>
          </w:p>
        </w:tc>
        <w:tc>
          <w:tcPr>
            <w:tcW w:type="dxa" w:w="1008"/>
          </w:tcPr>
          <w:p>
            <w:pPr>
              <w:spacing w:after="0"/>
              <w:jc w:val="center"/>
            </w:pPr>
            <w:r/>
            <w:r>
              <w:rPr>
                <w:sz w:val="17"/>
              </w:rPr>
              <w:t>-0.47</w:t>
            </w:r>
          </w:p>
        </w:tc>
        <w:tc>
          <w:tcPr>
            <w:tcW w:type="dxa" w:w="1008"/>
          </w:tcPr>
          <w:p>
            <w:pPr>
              <w:spacing w:after="0"/>
              <w:jc w:val="center"/>
            </w:pPr>
            <w:r/>
            <w:r>
              <w:rPr>
                <w:sz w:val="17"/>
              </w:rPr>
              <w:t>-2.55</w:t>
            </w:r>
          </w:p>
        </w:tc>
        <w:tc>
          <w:tcPr>
            <w:tcW w:type="dxa" w:w="936"/>
          </w:tcPr>
          <w:p>
            <w:pPr>
              <w:spacing w:after="0"/>
              <w:jc w:val="center"/>
            </w:pPr>
            <w:r/>
            <w:r>
              <w:rPr>
                <w:sz w:val="17"/>
              </w:rPr>
              <w:t>-1.19</w:t>
            </w:r>
          </w:p>
        </w:tc>
        <w:tc>
          <w:tcPr>
            <w:tcW w:type="dxa" w:w="936"/>
          </w:tcPr>
          <w:p>
            <w:pPr>
              <w:spacing w:after="0"/>
              <w:jc w:val="center"/>
            </w:pPr>
            <w:r/>
            <w:r>
              <w:rPr>
                <w:sz w:val="17"/>
              </w:rPr>
              <w:t>0.52</w:t>
            </w:r>
          </w:p>
        </w:tc>
      </w:tr>
      <w:tr>
        <w:tc>
          <w:tcPr>
            <w:tcW w:type="dxa" w:w="3456"/>
          </w:tcPr>
          <w:p>
            <w:pPr>
              <w:spacing w:after="0"/>
            </w:pPr>
            <w:r/>
            <w:r>
              <w:rPr>
                <w:sz w:val="17"/>
              </w:rPr>
              <w:t>Market-residual reversal L=30d</w:t>
            </w:r>
          </w:p>
        </w:tc>
        <w:tc>
          <w:tcPr>
            <w:tcW w:type="dxa" w:w="936"/>
          </w:tcPr>
          <w:p>
            <w:pPr>
              <w:spacing w:after="0"/>
              <w:jc w:val="center"/>
            </w:pPr>
            <w:r/>
            <w:r>
              <w:rPr>
                <w:sz w:val="17"/>
              </w:rPr>
              <w:t>-0.98</w:t>
            </w:r>
          </w:p>
        </w:tc>
        <w:tc>
          <w:tcPr>
            <w:tcW w:type="dxa" w:w="1008"/>
          </w:tcPr>
          <w:p>
            <w:pPr>
              <w:spacing w:after="0"/>
              <w:jc w:val="center"/>
            </w:pPr>
            <w:r/>
            <w:r>
              <w:rPr>
                <w:sz w:val="17"/>
              </w:rPr>
              <w:t>0.26</w:t>
            </w:r>
          </w:p>
        </w:tc>
        <w:tc>
          <w:tcPr>
            <w:tcW w:type="dxa" w:w="1008"/>
          </w:tcPr>
          <w:p>
            <w:pPr>
              <w:spacing w:after="0"/>
              <w:jc w:val="center"/>
            </w:pPr>
            <w:r/>
            <w:r>
              <w:rPr>
                <w:sz w:val="17"/>
              </w:rPr>
              <w:t>-0.36</w:t>
            </w:r>
          </w:p>
        </w:tc>
        <w:tc>
          <w:tcPr>
            <w:tcW w:type="dxa" w:w="1008"/>
          </w:tcPr>
          <w:p>
            <w:pPr>
              <w:spacing w:after="0"/>
              <w:jc w:val="center"/>
            </w:pPr>
            <w:r/>
            <w:r>
              <w:rPr>
                <w:sz w:val="17"/>
              </w:rPr>
              <w:t>-1.32</w:t>
            </w:r>
          </w:p>
        </w:tc>
        <w:tc>
          <w:tcPr>
            <w:tcW w:type="dxa" w:w="936"/>
          </w:tcPr>
          <w:p>
            <w:pPr>
              <w:spacing w:after="0"/>
              <w:jc w:val="center"/>
            </w:pPr>
            <w:r/>
            <w:r>
              <w:rPr>
                <w:sz w:val="17"/>
              </w:rPr>
              <w:t>-0.70</w:t>
            </w:r>
          </w:p>
        </w:tc>
        <w:tc>
          <w:tcPr>
            <w:tcW w:type="dxa" w:w="936"/>
          </w:tcPr>
          <w:p>
            <w:pPr>
              <w:spacing w:after="0"/>
              <w:jc w:val="center"/>
            </w:pPr>
            <w:r/>
            <w:r>
              <w:rPr>
                <w:sz w:val="17"/>
              </w:rPr>
              <w:t>0.26</w:t>
            </w:r>
          </w:p>
        </w:tc>
      </w:tr>
      <w:tr>
        <w:tc>
          <w:tcPr>
            <w:tcW w:type="dxa" w:w="3456"/>
          </w:tcPr>
          <w:p>
            <w:pPr>
              <w:spacing w:after="0"/>
            </w:pPr>
            <w:r/>
            <w:r>
              <w:rPr>
                <w:sz w:val="17"/>
              </w:rPr>
              <w:t>Theme-residual reversal L=30d</w:t>
            </w:r>
          </w:p>
        </w:tc>
        <w:tc>
          <w:tcPr>
            <w:tcW w:type="dxa" w:w="936"/>
          </w:tcPr>
          <w:p>
            <w:pPr>
              <w:spacing w:after="0"/>
              <w:jc w:val="center"/>
            </w:pPr>
            <w:r/>
            <w:r>
              <w:rPr>
                <w:sz w:val="17"/>
              </w:rPr>
              <w:t>0.07</w:t>
            </w:r>
          </w:p>
        </w:tc>
        <w:tc>
          <w:tcPr>
            <w:tcW w:type="dxa" w:w="1008"/>
          </w:tcPr>
          <w:p>
            <w:pPr>
              <w:spacing w:after="0"/>
              <w:jc w:val="center"/>
            </w:pPr>
            <w:r/>
            <w:r>
              <w:rPr>
                <w:sz w:val="17"/>
              </w:rPr>
              <w:t>1.26</w:t>
            </w:r>
          </w:p>
        </w:tc>
        <w:tc>
          <w:tcPr>
            <w:tcW w:type="dxa" w:w="1008"/>
          </w:tcPr>
          <w:p>
            <w:pPr>
              <w:spacing w:after="0"/>
              <w:jc w:val="center"/>
            </w:pPr>
            <w:r/>
            <w:r>
              <w:rPr>
                <w:sz w:val="17"/>
              </w:rPr>
              <w:t>0.67</w:t>
            </w:r>
          </w:p>
        </w:tc>
        <w:tc>
          <w:tcPr>
            <w:tcW w:type="dxa" w:w="1008"/>
          </w:tcPr>
          <w:p>
            <w:pPr>
              <w:spacing w:after="0"/>
              <w:jc w:val="center"/>
            </w:pPr>
            <w:r/>
            <w:r>
              <w:rPr>
                <w:sz w:val="17"/>
              </w:rPr>
              <w:t>-0.44</w:t>
            </w:r>
          </w:p>
        </w:tc>
        <w:tc>
          <w:tcPr>
            <w:tcW w:type="dxa" w:w="936"/>
          </w:tcPr>
          <w:p>
            <w:pPr>
              <w:spacing w:after="0"/>
              <w:jc w:val="center"/>
            </w:pPr>
            <w:r/>
            <w:r>
              <w:rPr>
                <w:sz w:val="17"/>
              </w:rPr>
              <w:t>0.29</w:t>
            </w:r>
          </w:p>
        </w:tc>
        <w:tc>
          <w:tcPr>
            <w:tcW w:type="dxa" w:w="936"/>
          </w:tcPr>
          <w:p>
            <w:pPr>
              <w:spacing w:after="0"/>
              <w:jc w:val="center"/>
            </w:pPr>
            <w:r/>
            <w:r>
              <w:rPr>
                <w:sz w:val="17"/>
              </w:rPr>
              <w:t>0.26</w:t>
            </w:r>
          </w:p>
        </w:tc>
      </w:tr>
      <w:tr>
        <w:tc>
          <w:tcPr>
            <w:tcW w:type="dxa" w:w="3456"/>
          </w:tcPr>
          <w:p>
            <w:pPr>
              <w:spacing w:after="0"/>
            </w:pPr>
            <w:r/>
            <w:r>
              <w:rPr>
                <w:sz w:val="17"/>
              </w:rPr>
              <w:t>Market-residual reversal L=60d</w:t>
            </w:r>
          </w:p>
        </w:tc>
        <w:tc>
          <w:tcPr>
            <w:tcW w:type="dxa" w:w="936"/>
          </w:tcPr>
          <w:p>
            <w:pPr>
              <w:spacing w:after="0"/>
              <w:jc w:val="center"/>
            </w:pPr>
            <w:r/>
            <w:r>
              <w:rPr>
                <w:sz w:val="17"/>
              </w:rPr>
              <w:t>-0.27</w:t>
            </w:r>
          </w:p>
        </w:tc>
        <w:tc>
          <w:tcPr>
            <w:tcW w:type="dxa" w:w="1008"/>
          </w:tcPr>
          <w:p>
            <w:pPr>
              <w:spacing w:after="0"/>
              <w:jc w:val="center"/>
            </w:pPr>
            <w:r/>
            <w:r>
              <w:rPr>
                <w:sz w:val="17"/>
              </w:rPr>
              <w:t>0.19</w:t>
            </w:r>
          </w:p>
        </w:tc>
        <w:tc>
          <w:tcPr>
            <w:tcW w:type="dxa" w:w="1008"/>
          </w:tcPr>
          <w:p>
            <w:pPr>
              <w:spacing w:after="0"/>
              <w:jc w:val="center"/>
            </w:pPr>
            <w:r/>
            <w:r>
              <w:rPr>
                <w:sz w:val="17"/>
              </w:rPr>
              <w:t>-0.04</w:t>
            </w:r>
          </w:p>
        </w:tc>
        <w:tc>
          <w:tcPr>
            <w:tcW w:type="dxa" w:w="1008"/>
          </w:tcPr>
          <w:p>
            <w:pPr>
              <w:spacing w:after="0"/>
              <w:jc w:val="center"/>
            </w:pPr>
            <w:r/>
            <w:r>
              <w:rPr>
                <w:sz w:val="17"/>
              </w:rPr>
              <w:t>-0.73</w:t>
            </w:r>
          </w:p>
        </w:tc>
        <w:tc>
          <w:tcPr>
            <w:tcW w:type="dxa" w:w="936"/>
          </w:tcPr>
          <w:p>
            <w:pPr>
              <w:spacing w:after="0"/>
              <w:jc w:val="center"/>
            </w:pPr>
            <w:r/>
            <w:r>
              <w:rPr>
                <w:sz w:val="17"/>
              </w:rPr>
              <w:t>-0.28</w:t>
            </w:r>
          </w:p>
        </w:tc>
        <w:tc>
          <w:tcPr>
            <w:tcW w:type="dxa" w:w="936"/>
          </w:tcPr>
          <w:p>
            <w:pPr>
              <w:spacing w:after="0"/>
              <w:jc w:val="center"/>
            </w:pPr>
            <w:r/>
            <w:r>
              <w:rPr>
                <w:sz w:val="17"/>
              </w:rPr>
              <w:t>0.19</w:t>
            </w:r>
          </w:p>
        </w:tc>
      </w:tr>
      <w:tr>
        <w:tc>
          <w:tcPr>
            <w:tcW w:type="dxa" w:w="3456"/>
          </w:tcPr>
          <w:p>
            <w:pPr>
              <w:spacing w:after="0"/>
            </w:pPr>
            <w:r/>
            <w:r>
              <w:rPr>
                <w:sz w:val="17"/>
              </w:rPr>
              <w:t>Theme-residual reversal L=60d</w:t>
            </w:r>
          </w:p>
        </w:tc>
        <w:tc>
          <w:tcPr>
            <w:tcW w:type="dxa" w:w="936"/>
          </w:tcPr>
          <w:p>
            <w:pPr>
              <w:spacing w:after="0"/>
              <w:jc w:val="center"/>
            </w:pPr>
            <w:r/>
            <w:r>
              <w:rPr>
                <w:sz w:val="17"/>
              </w:rPr>
              <w:t>0.81</w:t>
            </w:r>
          </w:p>
        </w:tc>
        <w:tc>
          <w:tcPr>
            <w:tcW w:type="dxa" w:w="1008"/>
          </w:tcPr>
          <w:p>
            <w:pPr>
              <w:spacing w:after="0"/>
              <w:jc w:val="center"/>
            </w:pPr>
            <w:r/>
            <w:r>
              <w:rPr>
                <w:sz w:val="17"/>
              </w:rPr>
              <w:t>0.75</w:t>
            </w:r>
          </w:p>
        </w:tc>
        <w:tc>
          <w:tcPr>
            <w:tcW w:type="dxa" w:w="1008"/>
          </w:tcPr>
          <w:p>
            <w:pPr>
              <w:spacing w:after="0"/>
              <w:jc w:val="center"/>
            </w:pPr>
            <w:r/>
            <w:r>
              <w:rPr>
                <w:sz w:val="17"/>
              </w:rPr>
              <w:t>0.78</w:t>
            </w:r>
          </w:p>
        </w:tc>
        <w:tc>
          <w:tcPr>
            <w:tcW w:type="dxa" w:w="1008"/>
          </w:tcPr>
          <w:p>
            <w:pPr>
              <w:spacing w:after="0"/>
              <w:jc w:val="center"/>
            </w:pPr>
            <w:r/>
            <w:r>
              <w:rPr>
                <w:sz w:val="17"/>
              </w:rPr>
              <w:t>-0.05</w:t>
            </w:r>
          </w:p>
        </w:tc>
        <w:tc>
          <w:tcPr>
            <w:tcW w:type="dxa" w:w="936"/>
          </w:tcPr>
          <w:p>
            <w:pPr>
              <w:spacing w:after="0"/>
              <w:jc w:val="center"/>
            </w:pPr>
            <w:r/>
            <w:r>
              <w:rPr>
                <w:sz w:val="17"/>
              </w:rPr>
              <w:t>0.49</w:t>
            </w:r>
          </w:p>
        </w:tc>
        <w:tc>
          <w:tcPr>
            <w:tcW w:type="dxa" w:w="936"/>
          </w:tcPr>
          <w:p>
            <w:pPr>
              <w:spacing w:after="0"/>
              <w:jc w:val="center"/>
            </w:pPr>
            <w:r/>
            <w:r>
              <w:rPr>
                <w:sz w:val="17"/>
              </w:rPr>
              <w:t>0.20</w:t>
            </w:r>
          </w:p>
        </w:tc>
      </w:tr>
      <w:tr>
        <w:tc>
          <w:tcPr>
            <w:tcW w:type="dxa" w:w="3456"/>
          </w:tcPr>
          <w:p>
            <w:pPr>
              <w:spacing w:after="0"/>
            </w:pPr>
            <w:r/>
            <w:r>
              <w:rPr>
                <w:sz w:val="17"/>
              </w:rPr>
              <w:t>Cointegration pairs (Kalman, walk-forward)</w:t>
            </w:r>
          </w:p>
        </w:tc>
        <w:tc>
          <w:tcPr>
            <w:tcW w:type="dxa" w:w="936"/>
          </w:tcPr>
          <w:p>
            <w:pPr>
              <w:spacing w:after="0"/>
              <w:jc w:val="center"/>
            </w:pPr>
            <w:r/>
            <w:r>
              <w:rPr>
                <w:sz w:val="17"/>
              </w:rPr>
              <w:t>0.55</w:t>
            </w:r>
          </w:p>
        </w:tc>
        <w:tc>
          <w:tcPr>
            <w:tcW w:type="dxa" w:w="1008"/>
          </w:tcPr>
          <w:p>
            <w:pPr>
              <w:spacing w:after="0"/>
              <w:jc w:val="center"/>
            </w:pPr>
            <w:r/>
            <w:r>
              <w:rPr>
                <w:sz w:val="17"/>
              </w:rPr>
              <w:t>-0.01</w:t>
            </w:r>
          </w:p>
        </w:tc>
        <w:tc>
          <w:tcPr>
            <w:tcW w:type="dxa" w:w="1008"/>
          </w:tcPr>
          <w:p>
            <w:pPr>
              <w:spacing w:after="0"/>
              <w:jc w:val="center"/>
            </w:pPr>
            <w:r/>
            <w:r>
              <w:rPr>
                <w:sz w:val="17"/>
              </w:rPr>
              <w:t>0.24</w:t>
            </w:r>
          </w:p>
        </w:tc>
        <w:tc>
          <w:tcPr>
            <w:tcW w:type="dxa" w:w="1008"/>
          </w:tcPr>
          <w:p>
            <w:pPr>
              <w:spacing w:after="0"/>
              <w:jc w:val="center"/>
            </w:pPr>
            <w:r/>
            <w:r>
              <w:rPr>
                <w:sz w:val="17"/>
              </w:rPr>
              <w:t>-0.11</w:t>
            </w:r>
          </w:p>
        </w:tc>
        <w:tc>
          <w:tcPr>
            <w:tcW w:type="dxa" w:w="936"/>
          </w:tcPr>
          <w:p>
            <w:pPr>
              <w:spacing w:after="0"/>
              <w:jc w:val="center"/>
            </w:pPr>
            <w:r/>
            <w:r>
              <w:rPr>
                <w:sz w:val="17"/>
              </w:rPr>
              <w:t>0.12</w:t>
            </w:r>
          </w:p>
        </w:tc>
        <w:tc>
          <w:tcPr>
            <w:tcW w:type="dxa" w:w="936"/>
          </w:tcPr>
          <w:p>
            <w:pPr>
              <w:spacing w:after="0"/>
              <w:jc w:val="center"/>
            </w:pPr>
            <w:r/>
            <w:r>
              <w:rPr>
                <w:sz w:val="17"/>
              </w:rPr>
              <w:t>0.03</w:t>
            </w:r>
          </w:p>
        </w:tc>
      </w:tr>
    </w:tbl>
    <w:p>
      <w:pPr>
        <w:spacing w:after="40"/>
      </w:pPr>
    </w:p>
    <w:p>
      <w:pPr>
        <w:spacing w:after="120"/>
      </w:pPr>
      <w:r>
        <w:rPr>
          <w:b w:val="0"/>
          <w:i w:val="0"/>
        </w:rPr>
        <w:t>Residuals against the whole market do not reverse; they trend (7-day Sharpe of the reversal -1.01), so coin-specific moves carry information. Residuals against the coin's own theme do reverse at 1-2 month horizons (60-day gross Sharpe 0.78, positive in both periods): a coin that runs ahead of its closest peers tends to give it back. Cointegrated pairs are genuinely market-neutral and trade very little (turnover 0.033 per day), but their gross edge (0.24) is too small to survive costs. Across 83 monthly windows the engine traded 120 different pairs, most often LTC-AVAX, XLM-ADA, COMP-LTC, ETH-BTC.</w:t>
      </w:r>
    </w:p>
    <w:p>
      <w:pPr>
        <w:pStyle w:val="Heading2"/>
      </w:pPr>
      <w:r>
        <w:t>6.4 Macro: volatility and dislocation</w:t>
      </w:r>
    </w:p>
    <w:p>
      <w:pPr>
        <w:spacing w:after="120"/>
      </w:pPr>
      <w:r>
        <w:rPr>
          <w:b w:val="0"/>
          <w:i w:val="0"/>
        </w:rPr>
        <w:t>The brief expects more reversal when volatility and dislocation are high. Four indicators are tested, as discussed in class: implied volatility (Deribit DVOL), realized volatility of the market, cross-sectional return dispersion, and average pairwise correlation. Each day is placed in the low, middle or high tercile of the indicator's trailing one-year range, using only data available before the trade.</w:t>
      </w:r>
    </w:p>
    <w:p>
      <w:pPr>
        <w:keepNext/>
        <w:jc w:val="center"/>
      </w:pPr>
      <w:r>
        <w:drawing>
          <wp:inline xmlns:a="http://schemas.openxmlformats.org/drawingml/2006/main" xmlns:pic="http://schemas.openxmlformats.org/drawingml/2006/picture">
            <wp:extent cx="5943600" cy="1783080"/>
            <wp:docPr id="6" name="Picture 6"/>
            <wp:cNvGraphicFramePr>
              <a:graphicFrameLocks noChangeAspect="1"/>
            </wp:cNvGraphicFramePr>
            <a:graphic>
              <a:graphicData uri="http://schemas.openxmlformats.org/drawingml/2006/picture">
                <pic:pic>
                  <pic:nvPicPr>
                    <pic:cNvPr id="0" name="G_macro_regimes.png"/>
                    <pic:cNvPicPr/>
                  </pic:nvPicPr>
                  <pic:blipFill>
                    <a:blip r:embed="rId14"/>
                    <a:stretch>
                      <a:fillRect/>
                    </a:stretch>
                  </pic:blipFill>
                  <pic:spPr>
                    <a:xfrm>
                      <a:off x="0" y="0"/>
                      <a:ext cx="5943600" cy="1783080"/>
                    </a:xfrm>
                    <a:prstGeom prst="rect"/>
                  </pic:spPr>
                </pic:pic>
              </a:graphicData>
            </a:graphic>
          </wp:inline>
        </w:drawing>
      </w:r>
    </w:p>
    <w:p>
      <w:pPr>
        <w:spacing w:after="200"/>
        <w:jc w:val="center"/>
      </w:pPr>
      <w:r>
        <w:rPr>
          <w:i/>
          <w:sz w:val="19"/>
        </w:rPr>
        <w:t>Figure 6. Gross Sharpe of each strategy by macro regime.</w:t>
      </w:r>
    </w:p>
    <w:p>
      <w:pPr>
        <w:spacing w:after="120"/>
      </w:pPr>
      <w:r>
        <w:rPr>
          <w:b w:val="0"/>
          <w:i w:val="0"/>
        </w:rPr>
        <w:t>Short-term (1-day) reversal behaves as the brief predicts: it loses heavily when realized volatility is low (Sharpe -1.82) and turns positive when volatility is middling or high, and it is positive only when average correlation is high (0.73). That matches Nagel (2012): liquidity providers earn more when markets are stressed. The effect is not strong enough to make daily reversal tradable after costs (Section 8), but it is a clean confirmation of the macro hypothesis.</w:t>
      </w:r>
    </w:p>
    <w:p>
      <w:pPr>
        <w:spacing w:after="120"/>
      </w:pPr>
      <w:r>
        <w:rPr>
          <w:b w:val="0"/>
          <w:i w:val="0"/>
        </w:rPr>
        <w:t>The more useful macro result is for momentum. Time-series momentum earns a Sharpe of 1.37 when implied volatility is low but -1.20 when it is high: trends break when option markets price large moves, the crypto version of the momentum crashes in Daniel and Moskowitz (2016). Switching time-series momentum off when DVOL is in its top tercile is therefore built into the candidate set, and it was selected on the research period.</w:t>
      </w:r>
    </w:p>
    <w:p>
      <w:pPr>
        <w:pStyle w:val="Heading1"/>
      </w:pPr>
      <w:r>
        <w:t>7. Execution</w:t>
      </w:r>
    </w:p>
    <w:p>
      <w:pPr>
        <w:spacing w:after="120"/>
      </w:pPr>
      <w:r>
        <w:rPr>
          <w:b w:val="0"/>
          <w:i w:val="0"/>
        </w:rPr>
        <w:t>Execution decides most of these results. Three tools reduce cost: (i) limit orders (7 bps instead of 20) for slow strategies; (ii) overlapping holding periods, which average the last few days' target portfolios and so trade more slowly; and (iii) a no-trade band, which leaves a position alone unless it is more than 2% or 5% away from target (Garleanu &amp; Pedersen, 2013). Table 8 applies them to the two final books.</w:t>
      </w:r>
    </w:p>
    <w:p>
      <w:pPr>
        <w:keepNext/>
        <w:spacing w:after="60"/>
      </w:pPr>
      <w:r>
        <w:rPr>
          <w:b/>
          <w:sz w:val="20"/>
        </w:rPr>
        <w:t>Table 8. Execution variants for the final momentum and reversal books.</w:t>
      </w:r>
    </w:p>
    <w:tbl>
      <w:tblPr>
        <w:tblStyle w:val="TableGrid"/>
        <w:tblW w:type="auto" w:w="0"/>
        <w:jc w:val="center"/>
        <w:tblLayout w:type="fixed"/>
        <w:tblLook w:firstColumn="1" w:firstRow="1" w:lastColumn="0" w:lastRow="0" w:noHBand="0" w:noVBand="1" w:val="04A0"/>
      </w:tblPr>
      <w:tblGrid>
        <w:gridCol w:w="1224"/>
        <w:gridCol w:w="2304"/>
        <w:gridCol w:w="1152"/>
        <w:gridCol w:w="1152"/>
        <w:gridCol w:w="1080"/>
        <w:gridCol w:w="1080"/>
        <w:gridCol w:w="1368"/>
      </w:tblGrid>
      <w:tr>
        <w:tc>
          <w:tcPr>
            <w:tcW w:type="dxa" w:w="1224"/>
            <w:shd w:val="clear" w:fill="1F3864"/>
          </w:tcPr>
          <w:p>
            <w:pPr>
              <w:jc w:val="left"/>
            </w:pPr>
            <w:r/>
            <w:r>
              <w:rPr>
                <w:b/>
                <w:color w:val="FFFFFF"/>
                <w:sz w:val="17"/>
              </w:rPr>
              <w:t>Book</w:t>
            </w:r>
          </w:p>
        </w:tc>
        <w:tc>
          <w:tcPr>
            <w:tcW w:type="dxa" w:w="2304"/>
            <w:shd w:val="clear" w:fill="1F3864"/>
          </w:tcPr>
          <w:p>
            <w:pPr>
              <w:jc w:val="center"/>
            </w:pPr>
            <w:r/>
            <w:r>
              <w:rPr>
                <w:b/>
                <w:color w:val="FFFFFF"/>
                <w:sz w:val="17"/>
              </w:rPr>
              <w:t>Execution</w:t>
            </w:r>
          </w:p>
        </w:tc>
        <w:tc>
          <w:tcPr>
            <w:tcW w:type="dxa" w:w="1152"/>
            <w:shd w:val="clear" w:fill="1F3864"/>
          </w:tcPr>
          <w:p>
            <w:pPr>
              <w:jc w:val="center"/>
            </w:pPr>
            <w:r/>
            <w:r>
              <w:rPr>
                <w:b/>
                <w:color w:val="FFFFFF"/>
                <w:sz w:val="17"/>
              </w:rPr>
              <w:t>Turnover/day</w:t>
            </w:r>
          </w:p>
        </w:tc>
        <w:tc>
          <w:tcPr>
            <w:tcW w:type="dxa" w:w="1152"/>
            <w:shd w:val="clear" w:fill="1F3864"/>
          </w:tcPr>
          <w:p>
            <w:pPr>
              <w:jc w:val="center"/>
            </w:pPr>
            <w:r/>
            <w:r>
              <w:rPr>
                <w:b/>
                <w:color w:val="FFFFFF"/>
                <w:sz w:val="17"/>
              </w:rPr>
              <w:t>Gross Sharpe</w:t>
            </w:r>
          </w:p>
        </w:tc>
        <w:tc>
          <w:tcPr>
            <w:tcW w:type="dxa" w:w="1080"/>
            <w:shd w:val="clear" w:fill="1F3864"/>
          </w:tcPr>
          <w:p>
            <w:pPr>
              <w:jc w:val="center"/>
            </w:pPr>
            <w:r/>
            <w:r>
              <w:rPr>
                <w:b/>
                <w:color w:val="FFFFFF"/>
                <w:sz w:val="17"/>
              </w:rPr>
              <w:t>Net 7 bps</w:t>
            </w:r>
          </w:p>
        </w:tc>
        <w:tc>
          <w:tcPr>
            <w:tcW w:type="dxa" w:w="1080"/>
            <w:shd w:val="clear" w:fill="1F3864"/>
          </w:tcPr>
          <w:p>
            <w:pPr>
              <w:jc w:val="center"/>
            </w:pPr>
            <w:r/>
            <w:r>
              <w:rPr>
                <w:b/>
                <w:color w:val="FFFFFF"/>
                <w:sz w:val="17"/>
              </w:rPr>
              <w:t>Net 20 bps</w:t>
            </w:r>
          </w:p>
        </w:tc>
        <w:tc>
          <w:tcPr>
            <w:tcW w:type="dxa" w:w="1368"/>
            <w:shd w:val="clear" w:fill="1F3864"/>
          </w:tcPr>
          <w:p>
            <w:pPr>
              <w:jc w:val="center"/>
            </w:pPr>
            <w:r/>
            <w:r>
              <w:rPr>
                <w:b/>
                <w:color w:val="FFFFFF"/>
                <w:sz w:val="17"/>
              </w:rPr>
              <w:t>Cost drag/yr at 20</w:t>
            </w:r>
          </w:p>
        </w:tc>
      </w:tr>
      <w:tr>
        <w:tc>
          <w:tcPr>
            <w:tcW w:type="dxa" w:w="1224"/>
          </w:tcPr>
          <w:p>
            <w:pPr>
              <w:spacing w:after="0"/>
            </w:pPr>
            <w:r/>
            <w:r>
              <w:rPr>
                <w:sz w:val="17"/>
              </w:rPr>
              <w:t>Momentum</w:t>
            </w:r>
          </w:p>
        </w:tc>
        <w:tc>
          <w:tcPr>
            <w:tcW w:type="dxa" w:w="2304"/>
          </w:tcPr>
          <w:p>
            <w:pPr>
              <w:spacing w:after="0"/>
              <w:jc w:val="center"/>
            </w:pPr>
            <w:r/>
            <w:r>
              <w:rPr>
                <w:sz w:val="17"/>
              </w:rPr>
              <w:t>Daily rebalance</w:t>
            </w:r>
          </w:p>
        </w:tc>
        <w:tc>
          <w:tcPr>
            <w:tcW w:type="dxa" w:w="1152"/>
          </w:tcPr>
          <w:p>
            <w:pPr>
              <w:spacing w:after="0"/>
              <w:jc w:val="center"/>
            </w:pPr>
            <w:r/>
            <w:r>
              <w:rPr>
                <w:sz w:val="17"/>
              </w:rPr>
              <w:t>0.237</w:t>
            </w:r>
          </w:p>
        </w:tc>
        <w:tc>
          <w:tcPr>
            <w:tcW w:type="dxa" w:w="1152"/>
          </w:tcPr>
          <w:p>
            <w:pPr>
              <w:spacing w:after="0"/>
              <w:jc w:val="center"/>
            </w:pPr>
            <w:r/>
            <w:r>
              <w:rPr>
                <w:sz w:val="17"/>
              </w:rPr>
              <w:t>1.26</w:t>
            </w:r>
          </w:p>
        </w:tc>
        <w:tc>
          <w:tcPr>
            <w:tcW w:type="dxa" w:w="1080"/>
          </w:tcPr>
          <w:p>
            <w:pPr>
              <w:spacing w:after="0"/>
              <w:jc w:val="center"/>
            </w:pPr>
            <w:r/>
            <w:r>
              <w:rPr>
                <w:sz w:val="17"/>
              </w:rPr>
              <w:t>1.08</w:t>
            </w:r>
          </w:p>
        </w:tc>
        <w:tc>
          <w:tcPr>
            <w:tcW w:type="dxa" w:w="1080"/>
          </w:tcPr>
          <w:p>
            <w:pPr>
              <w:spacing w:after="0"/>
              <w:jc w:val="center"/>
            </w:pPr>
            <w:r/>
            <w:r>
              <w:rPr>
                <w:sz w:val="17"/>
              </w:rPr>
              <w:t>0.75</w:t>
            </w:r>
          </w:p>
        </w:tc>
        <w:tc>
          <w:tcPr>
            <w:tcW w:type="dxa" w:w="1368"/>
          </w:tcPr>
          <w:p>
            <w:pPr>
              <w:spacing w:after="0"/>
              <w:jc w:val="center"/>
            </w:pPr>
            <w:r/>
            <w:r>
              <w:rPr>
                <w:sz w:val="17"/>
              </w:rPr>
              <w:t>17.3%</w:t>
            </w:r>
          </w:p>
        </w:tc>
      </w:tr>
      <w:tr>
        <w:tc>
          <w:tcPr>
            <w:tcW w:type="dxa" w:w="1224"/>
          </w:tcPr>
          <w:p>
            <w:pPr>
              <w:spacing w:after="0"/>
            </w:pPr>
            <w:r/>
            <w:r>
              <w:rPr>
                <w:sz w:val="17"/>
              </w:rPr>
              <w:t>Momentum</w:t>
            </w:r>
          </w:p>
        </w:tc>
        <w:tc>
          <w:tcPr>
            <w:tcW w:type="dxa" w:w="2304"/>
          </w:tcPr>
          <w:p>
            <w:pPr>
              <w:spacing w:after="0"/>
              <w:jc w:val="center"/>
            </w:pPr>
            <w:r/>
            <w:r>
              <w:rPr>
                <w:sz w:val="17"/>
              </w:rPr>
              <w:t>Hold 3d (overlapping)</w:t>
            </w:r>
          </w:p>
        </w:tc>
        <w:tc>
          <w:tcPr>
            <w:tcW w:type="dxa" w:w="1152"/>
          </w:tcPr>
          <w:p>
            <w:pPr>
              <w:spacing w:after="0"/>
              <w:jc w:val="center"/>
            </w:pPr>
            <w:r/>
            <w:r>
              <w:rPr>
                <w:sz w:val="17"/>
              </w:rPr>
              <w:t>0.172</w:t>
            </w:r>
          </w:p>
        </w:tc>
        <w:tc>
          <w:tcPr>
            <w:tcW w:type="dxa" w:w="1152"/>
          </w:tcPr>
          <w:p>
            <w:pPr>
              <w:spacing w:after="0"/>
              <w:jc w:val="center"/>
            </w:pPr>
            <w:r/>
            <w:r>
              <w:rPr>
                <w:sz w:val="17"/>
              </w:rPr>
              <w:t>0.95</w:t>
            </w:r>
          </w:p>
        </w:tc>
        <w:tc>
          <w:tcPr>
            <w:tcW w:type="dxa" w:w="1080"/>
          </w:tcPr>
          <w:p>
            <w:pPr>
              <w:spacing w:after="0"/>
              <w:jc w:val="center"/>
            </w:pPr>
            <w:r/>
            <w:r>
              <w:rPr>
                <w:sz w:val="17"/>
              </w:rPr>
              <w:t>0.82</w:t>
            </w:r>
          </w:p>
        </w:tc>
        <w:tc>
          <w:tcPr>
            <w:tcW w:type="dxa" w:w="1080"/>
          </w:tcPr>
          <w:p>
            <w:pPr>
              <w:spacing w:after="0"/>
              <w:jc w:val="center"/>
            </w:pPr>
            <w:r/>
            <w:r>
              <w:rPr>
                <w:sz w:val="17"/>
              </w:rPr>
              <w:t>0.57</w:t>
            </w:r>
          </w:p>
        </w:tc>
        <w:tc>
          <w:tcPr>
            <w:tcW w:type="dxa" w:w="1368"/>
          </w:tcPr>
          <w:p>
            <w:pPr>
              <w:spacing w:after="0"/>
              <w:jc w:val="center"/>
            </w:pPr>
            <w:r/>
            <w:r>
              <w:rPr>
                <w:sz w:val="17"/>
              </w:rPr>
              <w:t>12.6%</w:t>
            </w:r>
          </w:p>
        </w:tc>
      </w:tr>
      <w:tr>
        <w:tc>
          <w:tcPr>
            <w:tcW w:type="dxa" w:w="1224"/>
          </w:tcPr>
          <w:p>
            <w:pPr>
              <w:spacing w:after="0"/>
            </w:pPr>
            <w:r/>
            <w:r>
              <w:rPr>
                <w:sz w:val="17"/>
              </w:rPr>
              <w:t>Momentum</w:t>
            </w:r>
          </w:p>
        </w:tc>
        <w:tc>
          <w:tcPr>
            <w:tcW w:type="dxa" w:w="2304"/>
          </w:tcPr>
          <w:p>
            <w:pPr>
              <w:spacing w:after="0"/>
              <w:jc w:val="center"/>
            </w:pPr>
            <w:r/>
            <w:r>
              <w:rPr>
                <w:sz w:val="17"/>
              </w:rPr>
              <w:t>Hold 7d (overlapping)</w:t>
            </w:r>
          </w:p>
        </w:tc>
        <w:tc>
          <w:tcPr>
            <w:tcW w:type="dxa" w:w="1152"/>
          </w:tcPr>
          <w:p>
            <w:pPr>
              <w:spacing w:after="0"/>
              <w:jc w:val="center"/>
            </w:pPr>
            <w:r/>
            <w:r>
              <w:rPr>
                <w:sz w:val="17"/>
              </w:rPr>
              <w:t>0.137</w:t>
            </w:r>
          </w:p>
        </w:tc>
        <w:tc>
          <w:tcPr>
            <w:tcW w:type="dxa" w:w="1152"/>
          </w:tcPr>
          <w:p>
            <w:pPr>
              <w:spacing w:after="0"/>
              <w:jc w:val="center"/>
            </w:pPr>
            <w:r/>
            <w:r>
              <w:rPr>
                <w:sz w:val="17"/>
              </w:rPr>
              <w:t>0.69</w:t>
            </w:r>
          </w:p>
        </w:tc>
        <w:tc>
          <w:tcPr>
            <w:tcW w:type="dxa" w:w="1080"/>
          </w:tcPr>
          <w:p>
            <w:pPr>
              <w:spacing w:after="0"/>
              <w:jc w:val="center"/>
            </w:pPr>
            <w:r/>
            <w:r>
              <w:rPr>
                <w:sz w:val="17"/>
              </w:rPr>
              <w:t>0.58</w:t>
            </w:r>
          </w:p>
        </w:tc>
        <w:tc>
          <w:tcPr>
            <w:tcW w:type="dxa" w:w="1080"/>
          </w:tcPr>
          <w:p>
            <w:pPr>
              <w:spacing w:after="0"/>
              <w:jc w:val="center"/>
            </w:pPr>
            <w:r/>
            <w:r>
              <w:rPr>
                <w:sz w:val="17"/>
              </w:rPr>
              <w:t>0.39</w:t>
            </w:r>
          </w:p>
        </w:tc>
        <w:tc>
          <w:tcPr>
            <w:tcW w:type="dxa" w:w="1368"/>
          </w:tcPr>
          <w:p>
            <w:pPr>
              <w:spacing w:after="0"/>
              <w:jc w:val="center"/>
            </w:pPr>
            <w:r/>
            <w:r>
              <w:rPr>
                <w:sz w:val="17"/>
              </w:rPr>
              <w:t>10.0%</w:t>
            </w:r>
          </w:p>
        </w:tc>
      </w:tr>
      <w:tr>
        <w:tc>
          <w:tcPr>
            <w:tcW w:type="dxa" w:w="1224"/>
          </w:tcPr>
          <w:p>
            <w:pPr>
              <w:spacing w:after="0"/>
            </w:pPr>
            <w:r/>
            <w:r>
              <w:rPr>
                <w:sz w:val="17"/>
              </w:rPr>
              <w:t>Momentum</w:t>
            </w:r>
          </w:p>
        </w:tc>
        <w:tc>
          <w:tcPr>
            <w:tcW w:type="dxa" w:w="2304"/>
          </w:tcPr>
          <w:p>
            <w:pPr>
              <w:spacing w:after="0"/>
              <w:jc w:val="center"/>
            </w:pPr>
            <w:r/>
            <w:r>
              <w:rPr>
                <w:sz w:val="17"/>
              </w:rPr>
              <w:t>No-trade band 2%</w:t>
            </w:r>
          </w:p>
        </w:tc>
        <w:tc>
          <w:tcPr>
            <w:tcW w:type="dxa" w:w="1152"/>
          </w:tcPr>
          <w:p>
            <w:pPr>
              <w:spacing w:after="0"/>
              <w:jc w:val="center"/>
            </w:pPr>
            <w:r/>
            <w:r>
              <w:rPr>
                <w:sz w:val="17"/>
              </w:rPr>
              <w:t>0.197</w:t>
            </w:r>
          </w:p>
        </w:tc>
        <w:tc>
          <w:tcPr>
            <w:tcW w:type="dxa" w:w="1152"/>
          </w:tcPr>
          <w:p>
            <w:pPr>
              <w:spacing w:after="0"/>
              <w:jc w:val="center"/>
            </w:pPr>
            <w:r/>
            <w:r>
              <w:rPr>
                <w:sz w:val="17"/>
              </w:rPr>
              <w:t>1.26</w:t>
            </w:r>
          </w:p>
        </w:tc>
        <w:tc>
          <w:tcPr>
            <w:tcW w:type="dxa" w:w="1080"/>
          </w:tcPr>
          <w:p>
            <w:pPr>
              <w:spacing w:after="0"/>
              <w:jc w:val="center"/>
            </w:pPr>
            <w:r/>
            <w:r>
              <w:rPr>
                <w:sz w:val="17"/>
              </w:rPr>
              <w:t>1.11</w:t>
            </w:r>
          </w:p>
        </w:tc>
        <w:tc>
          <w:tcPr>
            <w:tcW w:type="dxa" w:w="1080"/>
          </w:tcPr>
          <w:p>
            <w:pPr>
              <w:spacing w:after="0"/>
              <w:jc w:val="center"/>
            </w:pPr>
            <w:r/>
            <w:r>
              <w:rPr>
                <w:sz w:val="17"/>
              </w:rPr>
              <w:t>0.83</w:t>
            </w:r>
          </w:p>
        </w:tc>
        <w:tc>
          <w:tcPr>
            <w:tcW w:type="dxa" w:w="1368"/>
          </w:tcPr>
          <w:p>
            <w:pPr>
              <w:spacing w:after="0"/>
              <w:jc w:val="center"/>
            </w:pPr>
            <w:r/>
            <w:r>
              <w:rPr>
                <w:sz w:val="17"/>
              </w:rPr>
              <w:t>14.4%</w:t>
            </w:r>
          </w:p>
        </w:tc>
      </w:tr>
      <w:tr>
        <w:tc>
          <w:tcPr>
            <w:tcW w:type="dxa" w:w="1224"/>
          </w:tcPr>
          <w:p>
            <w:pPr>
              <w:spacing w:after="0"/>
            </w:pPr>
            <w:r/>
            <w:r>
              <w:rPr>
                <w:sz w:val="17"/>
              </w:rPr>
              <w:t>Momentum</w:t>
            </w:r>
          </w:p>
        </w:tc>
        <w:tc>
          <w:tcPr>
            <w:tcW w:type="dxa" w:w="2304"/>
          </w:tcPr>
          <w:p>
            <w:pPr>
              <w:spacing w:after="0"/>
              <w:jc w:val="center"/>
            </w:pPr>
            <w:r/>
            <w:r>
              <w:rPr>
                <w:sz w:val="17"/>
              </w:rPr>
              <w:t>No-trade band 5%</w:t>
            </w:r>
          </w:p>
        </w:tc>
        <w:tc>
          <w:tcPr>
            <w:tcW w:type="dxa" w:w="1152"/>
          </w:tcPr>
          <w:p>
            <w:pPr>
              <w:spacing w:after="0"/>
              <w:jc w:val="center"/>
            </w:pPr>
            <w:r/>
            <w:r>
              <w:rPr>
                <w:sz w:val="17"/>
              </w:rPr>
              <w:t>0.137</w:t>
            </w:r>
          </w:p>
        </w:tc>
        <w:tc>
          <w:tcPr>
            <w:tcW w:type="dxa" w:w="1152"/>
          </w:tcPr>
          <w:p>
            <w:pPr>
              <w:spacing w:after="0"/>
              <w:jc w:val="center"/>
            </w:pPr>
            <w:r/>
            <w:r>
              <w:rPr>
                <w:sz w:val="17"/>
              </w:rPr>
              <w:t>0.95</w:t>
            </w:r>
          </w:p>
        </w:tc>
        <w:tc>
          <w:tcPr>
            <w:tcW w:type="dxa" w:w="1080"/>
          </w:tcPr>
          <w:p>
            <w:pPr>
              <w:spacing w:after="0"/>
              <w:jc w:val="center"/>
            </w:pPr>
            <w:r/>
            <w:r>
              <w:rPr>
                <w:sz w:val="17"/>
              </w:rPr>
              <w:t>0.84</w:t>
            </w:r>
          </w:p>
        </w:tc>
        <w:tc>
          <w:tcPr>
            <w:tcW w:type="dxa" w:w="1080"/>
          </w:tcPr>
          <w:p>
            <w:pPr>
              <w:spacing w:after="0"/>
              <w:jc w:val="center"/>
            </w:pPr>
            <w:r/>
            <w:r>
              <w:rPr>
                <w:sz w:val="17"/>
              </w:rPr>
              <w:t>0.63</w:t>
            </w:r>
          </w:p>
        </w:tc>
        <w:tc>
          <w:tcPr>
            <w:tcW w:type="dxa" w:w="1368"/>
          </w:tcPr>
          <w:p>
            <w:pPr>
              <w:spacing w:after="0"/>
              <w:jc w:val="center"/>
            </w:pPr>
            <w:r/>
            <w:r>
              <w:rPr>
                <w:sz w:val="17"/>
              </w:rPr>
              <w:t>10.0%</w:t>
            </w:r>
          </w:p>
        </w:tc>
      </w:tr>
      <w:tr>
        <w:tc>
          <w:tcPr>
            <w:tcW w:type="dxa" w:w="1224"/>
          </w:tcPr>
          <w:p>
            <w:pPr>
              <w:spacing w:after="0"/>
            </w:pPr>
            <w:r/>
            <w:r>
              <w:rPr>
                <w:sz w:val="17"/>
              </w:rPr>
              <w:t>Reversal</w:t>
            </w:r>
          </w:p>
        </w:tc>
        <w:tc>
          <w:tcPr>
            <w:tcW w:type="dxa" w:w="2304"/>
          </w:tcPr>
          <w:p>
            <w:pPr>
              <w:spacing w:after="0"/>
              <w:jc w:val="center"/>
            </w:pPr>
            <w:r/>
            <w:r>
              <w:rPr>
                <w:sz w:val="17"/>
              </w:rPr>
              <w:t>Daily rebalance</w:t>
            </w:r>
          </w:p>
        </w:tc>
        <w:tc>
          <w:tcPr>
            <w:tcW w:type="dxa" w:w="1152"/>
          </w:tcPr>
          <w:p>
            <w:pPr>
              <w:spacing w:after="0"/>
              <w:jc w:val="center"/>
            </w:pPr>
            <w:r/>
            <w:r>
              <w:rPr>
                <w:sz w:val="17"/>
              </w:rPr>
              <w:t>0.062</w:t>
            </w:r>
          </w:p>
        </w:tc>
        <w:tc>
          <w:tcPr>
            <w:tcW w:type="dxa" w:w="1152"/>
          </w:tcPr>
          <w:p>
            <w:pPr>
              <w:spacing w:after="0"/>
              <w:jc w:val="center"/>
            </w:pPr>
            <w:r/>
            <w:r>
              <w:rPr>
                <w:sz w:val="17"/>
              </w:rPr>
              <w:t>1.02</w:t>
            </w:r>
          </w:p>
        </w:tc>
        <w:tc>
          <w:tcPr>
            <w:tcW w:type="dxa" w:w="1080"/>
          </w:tcPr>
          <w:p>
            <w:pPr>
              <w:spacing w:after="0"/>
              <w:jc w:val="center"/>
            </w:pPr>
            <w:r/>
            <w:r>
              <w:rPr>
                <w:sz w:val="17"/>
              </w:rPr>
              <w:t>0.94</w:t>
            </w:r>
          </w:p>
        </w:tc>
        <w:tc>
          <w:tcPr>
            <w:tcW w:type="dxa" w:w="1080"/>
          </w:tcPr>
          <w:p>
            <w:pPr>
              <w:spacing w:after="0"/>
              <w:jc w:val="center"/>
            </w:pPr>
            <w:r/>
            <w:r>
              <w:rPr>
                <w:sz w:val="17"/>
              </w:rPr>
              <w:t>0.80</w:t>
            </w:r>
          </w:p>
        </w:tc>
        <w:tc>
          <w:tcPr>
            <w:tcW w:type="dxa" w:w="1368"/>
          </w:tcPr>
          <w:p>
            <w:pPr>
              <w:spacing w:after="0"/>
              <w:jc w:val="center"/>
            </w:pPr>
            <w:r/>
            <w:r>
              <w:rPr>
                <w:sz w:val="17"/>
              </w:rPr>
              <w:t>4.5%</w:t>
            </w:r>
          </w:p>
        </w:tc>
      </w:tr>
      <w:tr>
        <w:tc>
          <w:tcPr>
            <w:tcW w:type="dxa" w:w="1224"/>
          </w:tcPr>
          <w:p>
            <w:pPr>
              <w:spacing w:after="0"/>
            </w:pPr>
            <w:r/>
            <w:r>
              <w:rPr>
                <w:sz w:val="17"/>
              </w:rPr>
              <w:t>Reversal</w:t>
            </w:r>
          </w:p>
        </w:tc>
        <w:tc>
          <w:tcPr>
            <w:tcW w:type="dxa" w:w="2304"/>
          </w:tcPr>
          <w:p>
            <w:pPr>
              <w:spacing w:after="0"/>
              <w:jc w:val="center"/>
            </w:pPr>
            <w:r/>
            <w:r>
              <w:rPr>
                <w:sz w:val="17"/>
              </w:rPr>
              <w:t>Hold 3d (overlapping)</w:t>
            </w:r>
          </w:p>
        </w:tc>
        <w:tc>
          <w:tcPr>
            <w:tcW w:type="dxa" w:w="1152"/>
          </w:tcPr>
          <w:p>
            <w:pPr>
              <w:spacing w:after="0"/>
              <w:jc w:val="center"/>
            </w:pPr>
            <w:r/>
            <w:r>
              <w:rPr>
                <w:sz w:val="17"/>
              </w:rPr>
              <w:t>0.059</w:t>
            </w:r>
          </w:p>
        </w:tc>
        <w:tc>
          <w:tcPr>
            <w:tcW w:type="dxa" w:w="1152"/>
          </w:tcPr>
          <w:p>
            <w:pPr>
              <w:spacing w:after="0"/>
              <w:jc w:val="center"/>
            </w:pPr>
            <w:r/>
            <w:r>
              <w:rPr>
                <w:sz w:val="17"/>
              </w:rPr>
              <w:t>1.04</w:t>
            </w:r>
          </w:p>
        </w:tc>
        <w:tc>
          <w:tcPr>
            <w:tcW w:type="dxa" w:w="1080"/>
          </w:tcPr>
          <w:p>
            <w:pPr>
              <w:spacing w:after="0"/>
              <w:jc w:val="center"/>
            </w:pPr>
            <w:r/>
            <w:r>
              <w:rPr>
                <w:sz w:val="17"/>
              </w:rPr>
              <w:t>0.96</w:t>
            </w:r>
          </w:p>
        </w:tc>
        <w:tc>
          <w:tcPr>
            <w:tcW w:type="dxa" w:w="1080"/>
          </w:tcPr>
          <w:p>
            <w:pPr>
              <w:spacing w:after="0"/>
              <w:jc w:val="center"/>
            </w:pPr>
            <w:r/>
            <w:r>
              <w:rPr>
                <w:sz w:val="17"/>
              </w:rPr>
              <w:t>0.83</w:t>
            </w:r>
          </w:p>
        </w:tc>
        <w:tc>
          <w:tcPr>
            <w:tcW w:type="dxa" w:w="1368"/>
          </w:tcPr>
          <w:p>
            <w:pPr>
              <w:spacing w:after="0"/>
              <w:jc w:val="center"/>
            </w:pPr>
            <w:r/>
            <w:r>
              <w:rPr>
                <w:sz w:val="17"/>
              </w:rPr>
              <w:t>4.3%</w:t>
            </w:r>
          </w:p>
        </w:tc>
      </w:tr>
      <w:tr>
        <w:tc>
          <w:tcPr>
            <w:tcW w:type="dxa" w:w="1224"/>
          </w:tcPr>
          <w:p>
            <w:pPr>
              <w:spacing w:after="0"/>
            </w:pPr>
            <w:r/>
            <w:r>
              <w:rPr>
                <w:sz w:val="17"/>
              </w:rPr>
              <w:t>Reversal</w:t>
            </w:r>
          </w:p>
        </w:tc>
        <w:tc>
          <w:tcPr>
            <w:tcW w:type="dxa" w:w="2304"/>
          </w:tcPr>
          <w:p>
            <w:pPr>
              <w:spacing w:after="0"/>
              <w:jc w:val="center"/>
            </w:pPr>
            <w:r/>
            <w:r>
              <w:rPr>
                <w:sz w:val="17"/>
              </w:rPr>
              <w:t>Hold 7d (overlapping)</w:t>
            </w:r>
          </w:p>
        </w:tc>
        <w:tc>
          <w:tcPr>
            <w:tcW w:type="dxa" w:w="1152"/>
          </w:tcPr>
          <w:p>
            <w:pPr>
              <w:spacing w:after="0"/>
              <w:jc w:val="center"/>
            </w:pPr>
            <w:r/>
            <w:r>
              <w:rPr>
                <w:sz w:val="17"/>
              </w:rPr>
              <w:t>0.056</w:t>
            </w:r>
          </w:p>
        </w:tc>
        <w:tc>
          <w:tcPr>
            <w:tcW w:type="dxa" w:w="1152"/>
          </w:tcPr>
          <w:p>
            <w:pPr>
              <w:spacing w:after="0"/>
              <w:jc w:val="center"/>
            </w:pPr>
            <w:r/>
            <w:r>
              <w:rPr>
                <w:sz w:val="17"/>
              </w:rPr>
              <w:t>1.04</w:t>
            </w:r>
          </w:p>
        </w:tc>
        <w:tc>
          <w:tcPr>
            <w:tcW w:type="dxa" w:w="1080"/>
          </w:tcPr>
          <w:p>
            <w:pPr>
              <w:spacing w:after="0"/>
              <w:jc w:val="center"/>
            </w:pPr>
            <w:r/>
            <w:r>
              <w:rPr>
                <w:sz w:val="17"/>
              </w:rPr>
              <w:t>0.97</w:t>
            </w:r>
          </w:p>
        </w:tc>
        <w:tc>
          <w:tcPr>
            <w:tcW w:type="dxa" w:w="1080"/>
          </w:tcPr>
          <w:p>
            <w:pPr>
              <w:spacing w:after="0"/>
              <w:jc w:val="center"/>
            </w:pPr>
            <w:r/>
            <w:r>
              <w:rPr>
                <w:sz w:val="17"/>
              </w:rPr>
              <w:t>0.84</w:t>
            </w:r>
          </w:p>
        </w:tc>
        <w:tc>
          <w:tcPr>
            <w:tcW w:type="dxa" w:w="1368"/>
          </w:tcPr>
          <w:p>
            <w:pPr>
              <w:spacing w:after="0"/>
              <w:jc w:val="center"/>
            </w:pPr>
            <w:r/>
            <w:r>
              <w:rPr>
                <w:sz w:val="17"/>
              </w:rPr>
              <w:t>4.1%</w:t>
            </w:r>
          </w:p>
        </w:tc>
      </w:tr>
      <w:tr>
        <w:tc>
          <w:tcPr>
            <w:tcW w:type="dxa" w:w="1224"/>
          </w:tcPr>
          <w:p>
            <w:pPr>
              <w:spacing w:after="0"/>
            </w:pPr>
            <w:r/>
            <w:r>
              <w:rPr>
                <w:sz w:val="17"/>
              </w:rPr>
              <w:t>Reversal</w:t>
            </w:r>
          </w:p>
        </w:tc>
        <w:tc>
          <w:tcPr>
            <w:tcW w:type="dxa" w:w="2304"/>
          </w:tcPr>
          <w:p>
            <w:pPr>
              <w:spacing w:after="0"/>
              <w:jc w:val="center"/>
            </w:pPr>
            <w:r/>
            <w:r>
              <w:rPr>
                <w:sz w:val="17"/>
              </w:rPr>
              <w:t>No-trade band 2%</w:t>
            </w:r>
          </w:p>
        </w:tc>
        <w:tc>
          <w:tcPr>
            <w:tcW w:type="dxa" w:w="1152"/>
          </w:tcPr>
          <w:p>
            <w:pPr>
              <w:spacing w:after="0"/>
              <w:jc w:val="center"/>
            </w:pPr>
            <w:r/>
            <w:r>
              <w:rPr>
                <w:sz w:val="17"/>
              </w:rPr>
              <w:t>0.048</w:t>
            </w:r>
          </w:p>
        </w:tc>
        <w:tc>
          <w:tcPr>
            <w:tcW w:type="dxa" w:w="1152"/>
          </w:tcPr>
          <w:p>
            <w:pPr>
              <w:spacing w:after="0"/>
              <w:jc w:val="center"/>
            </w:pPr>
            <w:r/>
            <w:r>
              <w:rPr>
                <w:sz w:val="17"/>
              </w:rPr>
              <w:t>1.00</w:t>
            </w:r>
          </w:p>
        </w:tc>
        <w:tc>
          <w:tcPr>
            <w:tcW w:type="dxa" w:w="1080"/>
          </w:tcPr>
          <w:p>
            <w:pPr>
              <w:spacing w:after="0"/>
              <w:jc w:val="center"/>
            </w:pPr>
            <w:r/>
            <w:r>
              <w:rPr>
                <w:sz w:val="17"/>
              </w:rPr>
              <w:t>0.93</w:t>
            </w:r>
          </w:p>
        </w:tc>
        <w:tc>
          <w:tcPr>
            <w:tcW w:type="dxa" w:w="1080"/>
          </w:tcPr>
          <w:p>
            <w:pPr>
              <w:spacing w:after="0"/>
              <w:jc w:val="center"/>
            </w:pPr>
            <w:r/>
            <w:r>
              <w:rPr>
                <w:sz w:val="17"/>
              </w:rPr>
              <w:t>0.82</w:t>
            </w:r>
          </w:p>
        </w:tc>
        <w:tc>
          <w:tcPr>
            <w:tcW w:type="dxa" w:w="1368"/>
          </w:tcPr>
          <w:p>
            <w:pPr>
              <w:spacing w:after="0"/>
              <w:jc w:val="center"/>
            </w:pPr>
            <w:r/>
            <w:r>
              <w:rPr>
                <w:sz w:val="17"/>
              </w:rPr>
              <w:t>3.5%</w:t>
            </w:r>
          </w:p>
        </w:tc>
      </w:tr>
      <w:tr>
        <w:tc>
          <w:tcPr>
            <w:tcW w:type="dxa" w:w="1224"/>
          </w:tcPr>
          <w:p>
            <w:pPr>
              <w:spacing w:after="0"/>
            </w:pPr>
            <w:r/>
            <w:r>
              <w:rPr>
                <w:sz w:val="17"/>
              </w:rPr>
              <w:t>Reversal</w:t>
            </w:r>
          </w:p>
        </w:tc>
        <w:tc>
          <w:tcPr>
            <w:tcW w:type="dxa" w:w="2304"/>
          </w:tcPr>
          <w:p>
            <w:pPr>
              <w:spacing w:after="0"/>
              <w:jc w:val="center"/>
            </w:pPr>
            <w:r/>
            <w:r>
              <w:rPr>
                <w:sz w:val="17"/>
              </w:rPr>
              <w:t>No-trade band 5%</w:t>
            </w:r>
          </w:p>
        </w:tc>
        <w:tc>
          <w:tcPr>
            <w:tcW w:type="dxa" w:w="1152"/>
          </w:tcPr>
          <w:p>
            <w:pPr>
              <w:spacing w:after="0"/>
              <w:jc w:val="center"/>
            </w:pPr>
            <w:r/>
            <w:r>
              <w:rPr>
                <w:sz w:val="17"/>
              </w:rPr>
              <w:t>0.037</w:t>
            </w:r>
          </w:p>
        </w:tc>
        <w:tc>
          <w:tcPr>
            <w:tcW w:type="dxa" w:w="1152"/>
          </w:tcPr>
          <w:p>
            <w:pPr>
              <w:spacing w:after="0"/>
              <w:jc w:val="center"/>
            </w:pPr>
            <w:r/>
            <w:r>
              <w:rPr>
                <w:sz w:val="17"/>
              </w:rPr>
              <w:t>0.92</w:t>
            </w:r>
          </w:p>
        </w:tc>
        <w:tc>
          <w:tcPr>
            <w:tcW w:type="dxa" w:w="1080"/>
          </w:tcPr>
          <w:p>
            <w:pPr>
              <w:spacing w:after="0"/>
              <w:jc w:val="center"/>
            </w:pPr>
            <w:r/>
            <w:r>
              <w:rPr>
                <w:sz w:val="17"/>
              </w:rPr>
              <w:t>0.87</w:t>
            </w:r>
          </w:p>
        </w:tc>
        <w:tc>
          <w:tcPr>
            <w:tcW w:type="dxa" w:w="1080"/>
          </w:tcPr>
          <w:p>
            <w:pPr>
              <w:spacing w:after="0"/>
              <w:jc w:val="center"/>
            </w:pPr>
            <w:r/>
            <w:r>
              <w:rPr>
                <w:sz w:val="17"/>
              </w:rPr>
              <w:t>0.78</w:t>
            </w:r>
          </w:p>
        </w:tc>
        <w:tc>
          <w:tcPr>
            <w:tcW w:type="dxa" w:w="1368"/>
          </w:tcPr>
          <w:p>
            <w:pPr>
              <w:spacing w:after="0"/>
              <w:jc w:val="center"/>
            </w:pPr>
            <w:r/>
            <w:r>
              <w:rPr>
                <w:sz w:val="17"/>
              </w:rPr>
              <w:t>2.7%</w:t>
            </w:r>
          </w:p>
        </w:tc>
      </w:tr>
    </w:tbl>
    <w:p>
      <w:pPr>
        <w:spacing w:after="40"/>
      </w:pPr>
    </w:p>
    <w:p>
      <w:pPr>
        <w:spacing w:after="120"/>
      </w:pPr>
      <w:r>
        <w:rPr>
          <w:b w:val="0"/>
          <w:i w:val="0"/>
        </w:rPr>
        <w:t>For the momentum ensemble the research period selected 'No-trade band 2%': turnover goes from 0.237 to 0.197 per day and the 20 bps Sharpe from 0.75 to 0.83, while the gross Sharpe is essentially unchanged (1.26 vs 1.26). Longer holding periods cut turnover too, but they dilute the momentum signal faster than they save cost. The reversal book already trades slowly; 'Hold 3d (overlapping)' was selected for it. Moving from market to limit orders is worth about 0.28 of Sharpe for momentum, so if part of the momentum book can be executed passively the gain is large.</w:t>
      </w:r>
    </w:p>
    <w:p>
      <w:pPr>
        <w:keepNext/>
        <w:jc w:val="center"/>
      </w:pPr>
      <w:r>
        <w:drawing>
          <wp:inline xmlns:a="http://schemas.openxmlformats.org/drawingml/2006/main" xmlns:pic="http://schemas.openxmlformats.org/drawingml/2006/picture">
            <wp:extent cx="5303520" cy="2592832"/>
            <wp:docPr id="7" name="Picture 7"/>
            <wp:cNvGraphicFramePr>
              <a:graphicFrameLocks noChangeAspect="1"/>
            </wp:cNvGraphicFramePr>
            <a:graphic>
              <a:graphicData uri="http://schemas.openxmlformats.org/drawingml/2006/picture">
                <pic:pic>
                  <pic:nvPicPr>
                    <pic:cNvPr id="0" name="H_cost_sweep.png"/>
                    <pic:cNvPicPr/>
                  </pic:nvPicPr>
                  <pic:blipFill>
                    <a:blip r:embed="rId15"/>
                    <a:stretch>
                      <a:fillRect/>
                    </a:stretch>
                  </pic:blipFill>
                  <pic:spPr>
                    <a:xfrm>
                      <a:off x="0" y="0"/>
                      <a:ext cx="5303520" cy="2592832"/>
                    </a:xfrm>
                    <a:prstGeom prst="rect"/>
                  </pic:spPr>
                </pic:pic>
              </a:graphicData>
            </a:graphic>
          </wp:inline>
        </w:drawing>
      </w:r>
    </w:p>
    <w:p>
      <w:pPr>
        <w:spacing w:after="200"/>
        <w:jc w:val="center"/>
      </w:pPr>
      <w:r>
        <w:rPr>
          <w:i/>
          <w:sz w:val="19"/>
        </w:rPr>
        <w:t>Figure 7. Net Sharpe of the final books versus transaction cost (0-200 bps).</w:t>
      </w:r>
    </w:p>
    <w:p>
      <w:pPr>
        <w:spacing w:after="120"/>
      </w:pPr>
      <w:r>
        <w:rPr>
          <w:b w:val="0"/>
          <w:i w:val="0"/>
        </w:rPr>
        <w:t>The combined portfolio stays profitable up to about 50 bps (Sharpe 0.36) and breaks down near 100 bps (-0.41). The reversal book is the most cost-robust sleeve because of its low turnover; the momentum sleeve breaks even near 50 bps.</w:t>
      </w:r>
    </w:p>
    <w:p>
      <w:pPr>
        <w:pStyle w:val="Heading1"/>
      </w:pPr>
      <w:r>
        <w:t>8. Strategy Selection</w:t>
      </w:r>
    </w:p>
    <w:p>
      <w:pPr>
        <w:spacing w:after="120"/>
      </w:pPr>
      <w:r>
        <w:rPr>
          <w:b w:val="0"/>
          <w:i w:val="0"/>
        </w:rPr>
        <w:t>The research blocks above produced a pre-specified grid of 44 candidates. Momentum candidates are time-series momentum (holding period, with or without the DVOL filter), theme momentum (look-back and holding period) and cross-sectional momentum (look-back, holding period, with or without volume weighting). Reversal candidates are short-term reversal restricted to high-volatility regimes, long-horizon reversal (look-back, skip, holding period) and cointegrated pairs. Each candidate is ranked by its research-period net Sharpe at its execution cost (20 bps for momentum, 7 bps for reversal).</w:t>
      </w:r>
    </w:p>
    <w:p>
      <w:pPr>
        <w:keepNext/>
        <w:spacing w:after="60"/>
      </w:pPr>
      <w:r>
        <w:rPr>
          <w:b/>
          <w:sz w:val="20"/>
        </w:rPr>
        <w:t>Table 9. Top candidates by research-period net Sharpe.</w:t>
      </w:r>
    </w:p>
    <w:tbl>
      <w:tblPr>
        <w:tblStyle w:val="TableGrid"/>
        <w:tblW w:type="auto" w:w="0"/>
        <w:jc w:val="center"/>
        <w:tblLayout w:type="fixed"/>
        <w:tblLook w:firstColumn="1" w:firstRow="1" w:lastColumn="0" w:lastRow="0" w:noHBand="0" w:noVBand="1" w:val="04A0"/>
      </w:tblPr>
      <w:tblGrid>
        <w:gridCol w:w="3744"/>
        <w:gridCol w:w="1152"/>
        <w:gridCol w:w="1368"/>
        <w:gridCol w:w="1152"/>
        <w:gridCol w:w="1152"/>
        <w:gridCol w:w="936"/>
      </w:tblGrid>
      <w:tr>
        <w:tc>
          <w:tcPr>
            <w:tcW w:type="dxa" w:w="3744"/>
            <w:shd w:val="clear" w:fill="1F3864"/>
          </w:tcPr>
          <w:p>
            <w:pPr>
              <w:jc w:val="left"/>
            </w:pPr>
            <w:r/>
            <w:r>
              <w:rPr>
                <w:b/>
                <w:color w:val="FFFFFF"/>
                <w:sz w:val="17"/>
              </w:rPr>
              <w:t>Candidate</w:t>
            </w:r>
          </w:p>
        </w:tc>
        <w:tc>
          <w:tcPr>
            <w:tcW w:type="dxa" w:w="1152"/>
            <w:shd w:val="clear" w:fill="1F3864"/>
          </w:tcPr>
          <w:p>
            <w:pPr>
              <w:jc w:val="center"/>
            </w:pPr>
            <w:r/>
            <w:r>
              <w:rPr>
                <w:b/>
                <w:color w:val="FFFFFF"/>
                <w:sz w:val="17"/>
              </w:rPr>
              <w:t>Family</w:t>
            </w:r>
          </w:p>
        </w:tc>
        <w:tc>
          <w:tcPr>
            <w:tcW w:type="dxa" w:w="1368"/>
            <w:shd w:val="clear" w:fill="1F3864"/>
          </w:tcPr>
          <w:p>
            <w:pPr>
              <w:jc w:val="center"/>
            </w:pPr>
            <w:r/>
            <w:r>
              <w:rPr>
                <w:b/>
                <w:color w:val="FFFFFF"/>
                <w:sz w:val="17"/>
              </w:rPr>
              <w:t>Selection Sharpe (IS)</w:t>
            </w:r>
          </w:p>
        </w:tc>
        <w:tc>
          <w:tcPr>
            <w:tcW w:type="dxa" w:w="1152"/>
            <w:shd w:val="clear" w:fill="1F3864"/>
          </w:tcPr>
          <w:p>
            <w:pPr>
              <w:jc w:val="center"/>
            </w:pPr>
            <w:r/>
            <w:r>
              <w:rPr>
                <w:b/>
                <w:color w:val="FFFFFF"/>
                <w:sz w:val="17"/>
              </w:rPr>
              <w:t>Hold-out net 20</w:t>
            </w:r>
          </w:p>
        </w:tc>
        <w:tc>
          <w:tcPr>
            <w:tcW w:type="dxa" w:w="1152"/>
            <w:shd w:val="clear" w:fill="1F3864"/>
          </w:tcPr>
          <w:p>
            <w:pPr>
              <w:jc w:val="center"/>
            </w:pPr>
            <w:r/>
            <w:r>
              <w:rPr>
                <w:b/>
                <w:color w:val="FFFFFF"/>
                <w:sz w:val="17"/>
              </w:rPr>
              <w:t>Hold-out net 7</w:t>
            </w:r>
          </w:p>
        </w:tc>
        <w:tc>
          <w:tcPr>
            <w:tcW w:type="dxa" w:w="936"/>
            <w:shd w:val="clear" w:fill="1F3864"/>
          </w:tcPr>
          <w:p>
            <w:pPr>
              <w:jc w:val="center"/>
            </w:pPr>
            <w:r/>
            <w:r>
              <w:rPr>
                <w:b/>
                <w:color w:val="FFFFFF"/>
                <w:sz w:val="17"/>
              </w:rPr>
              <w:t>Turnover</w:t>
            </w:r>
          </w:p>
        </w:tc>
      </w:tr>
      <w:tr>
        <w:tc>
          <w:tcPr>
            <w:tcW w:type="dxa" w:w="3744"/>
          </w:tcPr>
          <w:p>
            <w:pPr>
              <w:spacing w:after="0"/>
            </w:pPr>
            <w:r/>
            <w:r>
              <w:rPr>
                <w:sz w:val="17"/>
              </w:rPr>
              <w:t>Theme momentum L=14 H=7</w:t>
            </w:r>
          </w:p>
        </w:tc>
        <w:tc>
          <w:tcPr>
            <w:tcW w:type="dxa" w:w="1152"/>
          </w:tcPr>
          <w:p>
            <w:pPr>
              <w:spacing w:after="0"/>
              <w:jc w:val="center"/>
            </w:pPr>
            <w:r/>
            <w:r>
              <w:rPr>
                <w:sz w:val="17"/>
              </w:rPr>
              <w:t>Momentum</w:t>
            </w:r>
          </w:p>
        </w:tc>
        <w:tc>
          <w:tcPr>
            <w:tcW w:type="dxa" w:w="1368"/>
          </w:tcPr>
          <w:p>
            <w:pPr>
              <w:spacing w:after="0"/>
              <w:jc w:val="center"/>
            </w:pPr>
            <w:r/>
            <w:r>
              <w:rPr>
                <w:sz w:val="17"/>
              </w:rPr>
              <w:t>1.20</w:t>
            </w:r>
          </w:p>
        </w:tc>
        <w:tc>
          <w:tcPr>
            <w:tcW w:type="dxa" w:w="1152"/>
          </w:tcPr>
          <w:p>
            <w:pPr>
              <w:spacing w:after="0"/>
              <w:jc w:val="center"/>
            </w:pPr>
            <w:r/>
            <w:r>
              <w:rPr>
                <w:sz w:val="17"/>
              </w:rPr>
              <w:t>-0.61</w:t>
            </w:r>
          </w:p>
        </w:tc>
        <w:tc>
          <w:tcPr>
            <w:tcW w:type="dxa" w:w="1152"/>
          </w:tcPr>
          <w:p>
            <w:pPr>
              <w:spacing w:after="0"/>
              <w:jc w:val="center"/>
            </w:pPr>
            <w:r/>
            <w:r>
              <w:rPr>
                <w:sz w:val="17"/>
              </w:rPr>
              <w:t>-0.14</w:t>
            </w:r>
          </w:p>
        </w:tc>
        <w:tc>
          <w:tcPr>
            <w:tcW w:type="dxa" w:w="936"/>
          </w:tcPr>
          <w:p>
            <w:pPr>
              <w:spacing w:after="0"/>
              <w:jc w:val="center"/>
            </w:pPr>
            <w:r/>
            <w:r>
              <w:rPr>
                <w:sz w:val="17"/>
              </w:rPr>
              <w:t>0.16</w:t>
            </w:r>
          </w:p>
        </w:tc>
      </w:tr>
      <w:tr>
        <w:tc>
          <w:tcPr>
            <w:tcW w:type="dxa" w:w="3744"/>
          </w:tcPr>
          <w:p>
            <w:pPr>
              <w:spacing w:after="0"/>
            </w:pPr>
            <w:r/>
            <w:r>
              <w:rPr>
                <w:sz w:val="17"/>
              </w:rPr>
              <w:t>Theme momentum L=21 H=3</w:t>
            </w:r>
          </w:p>
        </w:tc>
        <w:tc>
          <w:tcPr>
            <w:tcW w:type="dxa" w:w="1152"/>
          </w:tcPr>
          <w:p>
            <w:pPr>
              <w:spacing w:after="0"/>
              <w:jc w:val="center"/>
            </w:pPr>
            <w:r/>
            <w:r>
              <w:rPr>
                <w:sz w:val="17"/>
              </w:rPr>
              <w:t>Momentum</w:t>
            </w:r>
          </w:p>
        </w:tc>
        <w:tc>
          <w:tcPr>
            <w:tcW w:type="dxa" w:w="1368"/>
          </w:tcPr>
          <w:p>
            <w:pPr>
              <w:spacing w:after="0"/>
              <w:jc w:val="center"/>
            </w:pPr>
            <w:r/>
            <w:r>
              <w:rPr>
                <w:sz w:val="17"/>
              </w:rPr>
              <w:t>1.13</w:t>
            </w:r>
          </w:p>
        </w:tc>
        <w:tc>
          <w:tcPr>
            <w:tcW w:type="dxa" w:w="1152"/>
          </w:tcPr>
          <w:p>
            <w:pPr>
              <w:spacing w:after="0"/>
              <w:jc w:val="center"/>
            </w:pPr>
            <w:r/>
            <w:r>
              <w:rPr>
                <w:sz w:val="17"/>
              </w:rPr>
              <w:t>-0.58</w:t>
            </w:r>
          </w:p>
        </w:tc>
        <w:tc>
          <w:tcPr>
            <w:tcW w:type="dxa" w:w="1152"/>
          </w:tcPr>
          <w:p>
            <w:pPr>
              <w:spacing w:after="0"/>
              <w:jc w:val="center"/>
            </w:pPr>
            <w:r/>
            <w:r>
              <w:rPr>
                <w:sz w:val="17"/>
              </w:rPr>
              <w:t>-0.05</w:t>
            </w:r>
          </w:p>
        </w:tc>
        <w:tc>
          <w:tcPr>
            <w:tcW w:type="dxa" w:w="936"/>
          </w:tcPr>
          <w:p>
            <w:pPr>
              <w:spacing w:after="0"/>
              <w:jc w:val="center"/>
            </w:pPr>
            <w:r/>
            <w:r>
              <w:rPr>
                <w:sz w:val="17"/>
              </w:rPr>
              <w:t>0.19</w:t>
            </w:r>
          </w:p>
        </w:tc>
      </w:tr>
      <w:tr>
        <w:tc>
          <w:tcPr>
            <w:tcW w:type="dxa" w:w="3744"/>
          </w:tcPr>
          <w:p>
            <w:pPr>
              <w:spacing w:after="0"/>
            </w:pPr>
            <w:r/>
            <w:r>
              <w:rPr>
                <w:sz w:val="17"/>
              </w:rPr>
              <w:t>Theme momentum L=30 H=3</w:t>
            </w:r>
          </w:p>
        </w:tc>
        <w:tc>
          <w:tcPr>
            <w:tcW w:type="dxa" w:w="1152"/>
          </w:tcPr>
          <w:p>
            <w:pPr>
              <w:spacing w:after="0"/>
              <w:jc w:val="center"/>
            </w:pPr>
            <w:r/>
            <w:r>
              <w:rPr>
                <w:sz w:val="17"/>
              </w:rPr>
              <w:t>Momentum</w:t>
            </w:r>
          </w:p>
        </w:tc>
        <w:tc>
          <w:tcPr>
            <w:tcW w:type="dxa" w:w="1368"/>
          </w:tcPr>
          <w:p>
            <w:pPr>
              <w:spacing w:after="0"/>
              <w:jc w:val="center"/>
            </w:pPr>
            <w:r/>
            <w:r>
              <w:rPr>
                <w:sz w:val="17"/>
              </w:rPr>
              <w:t>1.12</w:t>
            </w:r>
          </w:p>
        </w:tc>
        <w:tc>
          <w:tcPr>
            <w:tcW w:type="dxa" w:w="1152"/>
          </w:tcPr>
          <w:p>
            <w:pPr>
              <w:spacing w:after="0"/>
              <w:jc w:val="center"/>
            </w:pPr>
            <w:r/>
            <w:r>
              <w:rPr>
                <w:sz w:val="17"/>
              </w:rPr>
              <w:t>-0.86</w:t>
            </w:r>
          </w:p>
        </w:tc>
        <w:tc>
          <w:tcPr>
            <w:tcW w:type="dxa" w:w="1152"/>
          </w:tcPr>
          <w:p>
            <w:pPr>
              <w:spacing w:after="0"/>
              <w:jc w:val="center"/>
            </w:pPr>
            <w:r/>
            <w:r>
              <w:rPr>
                <w:sz w:val="17"/>
              </w:rPr>
              <w:t>-0.41</w:t>
            </w:r>
          </w:p>
        </w:tc>
        <w:tc>
          <w:tcPr>
            <w:tcW w:type="dxa" w:w="936"/>
          </w:tcPr>
          <w:p>
            <w:pPr>
              <w:spacing w:after="0"/>
              <w:jc w:val="center"/>
            </w:pPr>
            <w:r/>
            <w:r>
              <w:rPr>
                <w:sz w:val="17"/>
              </w:rPr>
              <w:t>0.16</w:t>
            </w:r>
          </w:p>
        </w:tc>
      </w:tr>
      <w:tr>
        <w:tc>
          <w:tcPr>
            <w:tcW w:type="dxa" w:w="3744"/>
          </w:tcPr>
          <w:p>
            <w:pPr>
              <w:spacing w:after="0"/>
            </w:pPr>
            <w:r/>
            <w:r>
              <w:rPr>
                <w:sz w:val="17"/>
              </w:rPr>
              <w:t>Theme momentum L=21 H=1</w:t>
            </w:r>
          </w:p>
        </w:tc>
        <w:tc>
          <w:tcPr>
            <w:tcW w:type="dxa" w:w="1152"/>
          </w:tcPr>
          <w:p>
            <w:pPr>
              <w:spacing w:after="0"/>
              <w:jc w:val="center"/>
            </w:pPr>
            <w:r/>
            <w:r>
              <w:rPr>
                <w:sz w:val="17"/>
              </w:rPr>
              <w:t>Momentum</w:t>
            </w:r>
          </w:p>
        </w:tc>
        <w:tc>
          <w:tcPr>
            <w:tcW w:type="dxa" w:w="1368"/>
          </w:tcPr>
          <w:p>
            <w:pPr>
              <w:spacing w:after="0"/>
              <w:jc w:val="center"/>
            </w:pPr>
            <w:r/>
            <w:r>
              <w:rPr>
                <w:sz w:val="17"/>
              </w:rPr>
              <w:t>1.12</w:t>
            </w:r>
          </w:p>
        </w:tc>
        <w:tc>
          <w:tcPr>
            <w:tcW w:type="dxa" w:w="1152"/>
          </w:tcPr>
          <w:p>
            <w:pPr>
              <w:spacing w:after="0"/>
              <w:jc w:val="center"/>
            </w:pPr>
            <w:r/>
            <w:r>
              <w:rPr>
                <w:sz w:val="17"/>
              </w:rPr>
              <w:t>-0.77</w:t>
            </w:r>
          </w:p>
        </w:tc>
        <w:tc>
          <w:tcPr>
            <w:tcW w:type="dxa" w:w="1152"/>
          </w:tcPr>
          <w:p>
            <w:pPr>
              <w:spacing w:after="0"/>
              <w:jc w:val="center"/>
            </w:pPr>
            <w:r/>
            <w:r>
              <w:rPr>
                <w:sz w:val="17"/>
              </w:rPr>
              <w:t>-0.08</w:t>
            </w:r>
          </w:p>
        </w:tc>
        <w:tc>
          <w:tcPr>
            <w:tcW w:type="dxa" w:w="936"/>
          </w:tcPr>
          <w:p>
            <w:pPr>
              <w:spacing w:after="0"/>
              <w:jc w:val="center"/>
            </w:pPr>
            <w:r/>
            <w:r>
              <w:rPr>
                <w:sz w:val="17"/>
              </w:rPr>
              <w:t>0.25</w:t>
            </w:r>
          </w:p>
        </w:tc>
      </w:tr>
      <w:tr>
        <w:tc>
          <w:tcPr>
            <w:tcW w:type="dxa" w:w="3744"/>
          </w:tcPr>
          <w:p>
            <w:pPr>
              <w:spacing w:after="0"/>
            </w:pPr>
            <w:r/>
            <w:r>
              <w:rPr>
                <w:sz w:val="17"/>
              </w:rPr>
              <w:t>Theme momentum L=21 H=7</w:t>
            </w:r>
          </w:p>
        </w:tc>
        <w:tc>
          <w:tcPr>
            <w:tcW w:type="dxa" w:w="1152"/>
          </w:tcPr>
          <w:p>
            <w:pPr>
              <w:spacing w:after="0"/>
              <w:jc w:val="center"/>
            </w:pPr>
            <w:r/>
            <w:r>
              <w:rPr>
                <w:sz w:val="17"/>
              </w:rPr>
              <w:t>Momentum</w:t>
            </w:r>
          </w:p>
        </w:tc>
        <w:tc>
          <w:tcPr>
            <w:tcW w:type="dxa" w:w="1368"/>
          </w:tcPr>
          <w:p>
            <w:pPr>
              <w:spacing w:after="0"/>
              <w:jc w:val="center"/>
            </w:pPr>
            <w:r/>
            <w:r>
              <w:rPr>
                <w:sz w:val="17"/>
              </w:rPr>
              <w:t>1.06</w:t>
            </w:r>
          </w:p>
        </w:tc>
        <w:tc>
          <w:tcPr>
            <w:tcW w:type="dxa" w:w="1152"/>
          </w:tcPr>
          <w:p>
            <w:pPr>
              <w:spacing w:after="0"/>
              <w:jc w:val="center"/>
            </w:pPr>
            <w:r/>
            <w:r>
              <w:rPr>
                <w:sz w:val="17"/>
              </w:rPr>
              <w:t>-0.11</w:t>
            </w:r>
          </w:p>
        </w:tc>
        <w:tc>
          <w:tcPr>
            <w:tcW w:type="dxa" w:w="1152"/>
          </w:tcPr>
          <w:p>
            <w:pPr>
              <w:spacing w:after="0"/>
              <w:jc w:val="center"/>
            </w:pPr>
            <w:r/>
            <w:r>
              <w:rPr>
                <w:sz w:val="17"/>
              </w:rPr>
              <w:t>0.27</w:t>
            </w:r>
          </w:p>
        </w:tc>
        <w:tc>
          <w:tcPr>
            <w:tcW w:type="dxa" w:w="936"/>
          </w:tcPr>
          <w:p>
            <w:pPr>
              <w:spacing w:after="0"/>
              <w:jc w:val="center"/>
            </w:pPr>
            <w:r/>
            <w:r>
              <w:rPr>
                <w:sz w:val="17"/>
              </w:rPr>
              <w:t>0.13</w:t>
            </w:r>
          </w:p>
        </w:tc>
      </w:tr>
      <w:tr>
        <w:tc>
          <w:tcPr>
            <w:tcW w:type="dxa" w:w="3744"/>
          </w:tcPr>
          <w:p>
            <w:pPr>
              <w:spacing w:after="0"/>
            </w:pPr>
            <w:r/>
            <w:r>
              <w:rPr>
                <w:sz w:val="17"/>
              </w:rPr>
              <w:t>Theme momentum L=14 H=3</w:t>
            </w:r>
          </w:p>
        </w:tc>
        <w:tc>
          <w:tcPr>
            <w:tcW w:type="dxa" w:w="1152"/>
          </w:tcPr>
          <w:p>
            <w:pPr>
              <w:spacing w:after="0"/>
              <w:jc w:val="center"/>
            </w:pPr>
            <w:r/>
            <w:r>
              <w:rPr>
                <w:sz w:val="17"/>
              </w:rPr>
              <w:t>Momentum</w:t>
            </w:r>
          </w:p>
        </w:tc>
        <w:tc>
          <w:tcPr>
            <w:tcW w:type="dxa" w:w="1368"/>
          </w:tcPr>
          <w:p>
            <w:pPr>
              <w:spacing w:after="0"/>
              <w:jc w:val="center"/>
            </w:pPr>
            <w:r/>
            <w:r>
              <w:rPr>
                <w:sz w:val="17"/>
              </w:rPr>
              <w:t>1.02</w:t>
            </w:r>
          </w:p>
        </w:tc>
        <w:tc>
          <w:tcPr>
            <w:tcW w:type="dxa" w:w="1152"/>
          </w:tcPr>
          <w:p>
            <w:pPr>
              <w:spacing w:after="0"/>
              <w:jc w:val="center"/>
            </w:pPr>
            <w:r/>
            <w:r>
              <w:rPr>
                <w:sz w:val="17"/>
              </w:rPr>
              <w:t>-0.73</w:t>
            </w:r>
          </w:p>
        </w:tc>
        <w:tc>
          <w:tcPr>
            <w:tcW w:type="dxa" w:w="1152"/>
          </w:tcPr>
          <w:p>
            <w:pPr>
              <w:spacing w:after="0"/>
              <w:jc w:val="center"/>
            </w:pPr>
            <w:r/>
            <w:r>
              <w:rPr>
                <w:sz w:val="17"/>
              </w:rPr>
              <w:t>-0.07</w:t>
            </w:r>
          </w:p>
        </w:tc>
        <w:tc>
          <w:tcPr>
            <w:tcW w:type="dxa" w:w="936"/>
          </w:tcPr>
          <w:p>
            <w:pPr>
              <w:spacing w:after="0"/>
              <w:jc w:val="center"/>
            </w:pPr>
            <w:r/>
            <w:r>
              <w:rPr>
                <w:sz w:val="17"/>
              </w:rPr>
              <w:t>0.23</w:t>
            </w:r>
          </w:p>
        </w:tc>
      </w:tr>
      <w:tr>
        <w:tc>
          <w:tcPr>
            <w:tcW w:type="dxa" w:w="3744"/>
          </w:tcPr>
          <w:p>
            <w:pPr>
              <w:spacing w:after="0"/>
            </w:pPr>
            <w:r/>
            <w:r>
              <w:rPr>
                <w:sz w:val="17"/>
              </w:rPr>
              <w:t>Long-horizon reversal L=60 skip=14 H=14</w:t>
            </w:r>
          </w:p>
        </w:tc>
        <w:tc>
          <w:tcPr>
            <w:tcW w:type="dxa" w:w="1152"/>
          </w:tcPr>
          <w:p>
            <w:pPr>
              <w:spacing w:after="0"/>
              <w:jc w:val="center"/>
            </w:pPr>
            <w:r/>
            <w:r>
              <w:rPr>
                <w:sz w:val="17"/>
              </w:rPr>
              <w:t>Reversal</w:t>
            </w:r>
          </w:p>
        </w:tc>
        <w:tc>
          <w:tcPr>
            <w:tcW w:type="dxa" w:w="1368"/>
          </w:tcPr>
          <w:p>
            <w:pPr>
              <w:spacing w:after="0"/>
              <w:jc w:val="center"/>
            </w:pPr>
            <w:r/>
            <w:r>
              <w:rPr>
                <w:sz w:val="17"/>
              </w:rPr>
              <w:t>0.90</w:t>
            </w:r>
          </w:p>
        </w:tc>
        <w:tc>
          <w:tcPr>
            <w:tcW w:type="dxa" w:w="1152"/>
          </w:tcPr>
          <w:p>
            <w:pPr>
              <w:spacing w:after="0"/>
              <w:jc w:val="center"/>
            </w:pPr>
            <w:r/>
            <w:r>
              <w:rPr>
                <w:sz w:val="17"/>
              </w:rPr>
              <w:t>0.84</w:t>
            </w:r>
          </w:p>
        </w:tc>
        <w:tc>
          <w:tcPr>
            <w:tcW w:type="dxa" w:w="1152"/>
          </w:tcPr>
          <w:p>
            <w:pPr>
              <w:spacing w:after="0"/>
              <w:jc w:val="center"/>
            </w:pPr>
            <w:r/>
            <w:r>
              <w:rPr>
                <w:sz w:val="17"/>
              </w:rPr>
              <w:t>0.98</w:t>
            </w:r>
          </w:p>
        </w:tc>
        <w:tc>
          <w:tcPr>
            <w:tcW w:type="dxa" w:w="936"/>
          </w:tcPr>
          <w:p>
            <w:pPr>
              <w:spacing w:after="0"/>
              <w:jc w:val="center"/>
            </w:pPr>
            <w:r/>
            <w:r>
              <w:rPr>
                <w:sz w:val="17"/>
              </w:rPr>
              <w:t>0.06</w:t>
            </w:r>
          </w:p>
        </w:tc>
      </w:tr>
      <w:tr>
        <w:tc>
          <w:tcPr>
            <w:tcW w:type="dxa" w:w="3744"/>
          </w:tcPr>
          <w:p>
            <w:pPr>
              <w:spacing w:after="0"/>
            </w:pPr>
            <w:r/>
            <w:r>
              <w:rPr>
                <w:sz w:val="17"/>
              </w:rPr>
              <w:t>Long-horizon reversal L=60 skip=14 H=7</w:t>
            </w:r>
          </w:p>
        </w:tc>
        <w:tc>
          <w:tcPr>
            <w:tcW w:type="dxa" w:w="1152"/>
          </w:tcPr>
          <w:p>
            <w:pPr>
              <w:spacing w:after="0"/>
              <w:jc w:val="center"/>
            </w:pPr>
            <w:r/>
            <w:r>
              <w:rPr>
                <w:sz w:val="17"/>
              </w:rPr>
              <w:t>Reversal</w:t>
            </w:r>
          </w:p>
        </w:tc>
        <w:tc>
          <w:tcPr>
            <w:tcW w:type="dxa" w:w="1368"/>
          </w:tcPr>
          <w:p>
            <w:pPr>
              <w:spacing w:after="0"/>
              <w:jc w:val="center"/>
            </w:pPr>
            <w:r/>
            <w:r>
              <w:rPr>
                <w:sz w:val="17"/>
              </w:rPr>
              <w:t>0.81</w:t>
            </w:r>
          </w:p>
        </w:tc>
        <w:tc>
          <w:tcPr>
            <w:tcW w:type="dxa" w:w="1152"/>
          </w:tcPr>
          <w:p>
            <w:pPr>
              <w:spacing w:after="0"/>
              <w:jc w:val="center"/>
            </w:pPr>
            <w:r/>
            <w:r>
              <w:rPr>
                <w:sz w:val="17"/>
              </w:rPr>
              <w:t>0.63</w:t>
            </w:r>
          </w:p>
        </w:tc>
        <w:tc>
          <w:tcPr>
            <w:tcW w:type="dxa" w:w="1152"/>
          </w:tcPr>
          <w:p>
            <w:pPr>
              <w:spacing w:after="0"/>
              <w:jc w:val="center"/>
            </w:pPr>
            <w:r/>
            <w:r>
              <w:rPr>
                <w:sz w:val="17"/>
              </w:rPr>
              <w:t>0.82</w:t>
            </w:r>
          </w:p>
        </w:tc>
        <w:tc>
          <w:tcPr>
            <w:tcW w:type="dxa" w:w="936"/>
          </w:tcPr>
          <w:p>
            <w:pPr>
              <w:spacing w:after="0"/>
              <w:jc w:val="center"/>
            </w:pPr>
            <w:r/>
            <w:r>
              <w:rPr>
                <w:sz w:val="17"/>
              </w:rPr>
              <w:t>0.08</w:t>
            </w:r>
          </w:p>
        </w:tc>
      </w:tr>
      <w:tr>
        <w:tc>
          <w:tcPr>
            <w:tcW w:type="dxa" w:w="3744"/>
          </w:tcPr>
          <w:p>
            <w:pPr>
              <w:spacing w:after="0"/>
            </w:pPr>
            <w:r/>
            <w:r>
              <w:rPr>
                <w:sz w:val="17"/>
              </w:rPr>
              <w:t>Cointegration pairs (Kalman)</w:t>
            </w:r>
          </w:p>
        </w:tc>
        <w:tc>
          <w:tcPr>
            <w:tcW w:type="dxa" w:w="1152"/>
          </w:tcPr>
          <w:p>
            <w:pPr>
              <w:spacing w:after="0"/>
              <w:jc w:val="center"/>
            </w:pPr>
            <w:r/>
            <w:r>
              <w:rPr>
                <w:sz w:val="17"/>
              </w:rPr>
              <w:t>Reversal</w:t>
            </w:r>
          </w:p>
        </w:tc>
        <w:tc>
          <w:tcPr>
            <w:tcW w:type="dxa" w:w="1368"/>
          </w:tcPr>
          <w:p>
            <w:pPr>
              <w:spacing w:after="0"/>
              <w:jc w:val="center"/>
            </w:pPr>
            <w:r/>
            <w:r>
              <w:rPr>
                <w:sz w:val="17"/>
              </w:rPr>
              <w:t>0.38</w:t>
            </w:r>
          </w:p>
        </w:tc>
        <w:tc>
          <w:tcPr>
            <w:tcW w:type="dxa" w:w="1152"/>
          </w:tcPr>
          <w:p>
            <w:pPr>
              <w:spacing w:after="0"/>
              <w:jc w:val="center"/>
            </w:pPr>
            <w:r/>
            <w:r>
              <w:rPr>
                <w:sz w:val="17"/>
              </w:rPr>
              <w:t>-0.37</w:t>
            </w:r>
          </w:p>
        </w:tc>
        <w:tc>
          <w:tcPr>
            <w:tcW w:type="dxa" w:w="1152"/>
          </w:tcPr>
          <w:p>
            <w:pPr>
              <w:spacing w:after="0"/>
              <w:jc w:val="center"/>
            </w:pPr>
            <w:r/>
            <w:r>
              <w:rPr>
                <w:sz w:val="17"/>
              </w:rPr>
              <w:t>-0.13</w:t>
            </w:r>
          </w:p>
        </w:tc>
        <w:tc>
          <w:tcPr>
            <w:tcW w:type="dxa" w:w="936"/>
          </w:tcPr>
          <w:p>
            <w:pPr>
              <w:spacing w:after="0"/>
              <w:jc w:val="center"/>
            </w:pPr>
            <w:r/>
            <w:r>
              <w:rPr>
                <w:sz w:val="17"/>
              </w:rPr>
              <w:t>0.03</w:t>
            </w:r>
          </w:p>
        </w:tc>
      </w:tr>
      <w:tr>
        <w:tc>
          <w:tcPr>
            <w:tcW w:type="dxa" w:w="3744"/>
          </w:tcPr>
          <w:p>
            <w:pPr>
              <w:spacing w:after="0"/>
            </w:pPr>
            <w:r/>
            <w:r>
              <w:rPr>
                <w:sz w:val="17"/>
              </w:rPr>
              <w:t>Long-horizon reversal L=60 skip=0 H=14</w:t>
            </w:r>
          </w:p>
        </w:tc>
        <w:tc>
          <w:tcPr>
            <w:tcW w:type="dxa" w:w="1152"/>
          </w:tcPr>
          <w:p>
            <w:pPr>
              <w:spacing w:after="0"/>
              <w:jc w:val="center"/>
            </w:pPr>
            <w:r/>
            <w:r>
              <w:rPr>
                <w:sz w:val="17"/>
              </w:rPr>
              <w:t>Reversal</w:t>
            </w:r>
          </w:p>
        </w:tc>
        <w:tc>
          <w:tcPr>
            <w:tcW w:type="dxa" w:w="1368"/>
          </w:tcPr>
          <w:p>
            <w:pPr>
              <w:spacing w:after="0"/>
              <w:jc w:val="center"/>
            </w:pPr>
            <w:r/>
            <w:r>
              <w:rPr>
                <w:sz w:val="17"/>
              </w:rPr>
              <w:t>0.20</w:t>
            </w:r>
          </w:p>
        </w:tc>
        <w:tc>
          <w:tcPr>
            <w:tcW w:type="dxa" w:w="1152"/>
          </w:tcPr>
          <w:p>
            <w:pPr>
              <w:spacing w:after="0"/>
              <w:jc w:val="center"/>
            </w:pPr>
            <w:r/>
            <w:r>
              <w:rPr>
                <w:sz w:val="17"/>
              </w:rPr>
              <w:t>0.64</w:t>
            </w:r>
          </w:p>
        </w:tc>
        <w:tc>
          <w:tcPr>
            <w:tcW w:type="dxa" w:w="1152"/>
          </w:tcPr>
          <w:p>
            <w:pPr>
              <w:spacing w:after="0"/>
              <w:jc w:val="center"/>
            </w:pPr>
            <w:r/>
            <w:r>
              <w:rPr>
                <w:sz w:val="17"/>
              </w:rPr>
              <w:t>0.77</w:t>
            </w:r>
          </w:p>
        </w:tc>
        <w:tc>
          <w:tcPr>
            <w:tcW w:type="dxa" w:w="936"/>
          </w:tcPr>
          <w:p>
            <w:pPr>
              <w:spacing w:after="0"/>
              <w:jc w:val="center"/>
            </w:pPr>
            <w:r/>
            <w:r>
              <w:rPr>
                <w:sz w:val="17"/>
              </w:rPr>
              <w:t>0.05</w:t>
            </w:r>
          </w:p>
        </w:tc>
      </w:tr>
      <w:tr>
        <w:tc>
          <w:tcPr>
            <w:tcW w:type="dxa" w:w="3744"/>
          </w:tcPr>
          <w:p>
            <w:pPr>
              <w:spacing w:after="0"/>
            </w:pPr>
            <w:r/>
            <w:r>
              <w:rPr>
                <w:sz w:val="17"/>
              </w:rPr>
              <w:t>Long-horizon reversal L=90 skip=14 H=14</w:t>
            </w:r>
          </w:p>
        </w:tc>
        <w:tc>
          <w:tcPr>
            <w:tcW w:type="dxa" w:w="1152"/>
          </w:tcPr>
          <w:p>
            <w:pPr>
              <w:spacing w:after="0"/>
              <w:jc w:val="center"/>
            </w:pPr>
            <w:r/>
            <w:r>
              <w:rPr>
                <w:sz w:val="17"/>
              </w:rPr>
              <w:t>Reversal</w:t>
            </w:r>
          </w:p>
        </w:tc>
        <w:tc>
          <w:tcPr>
            <w:tcW w:type="dxa" w:w="1368"/>
          </w:tcPr>
          <w:p>
            <w:pPr>
              <w:spacing w:after="0"/>
              <w:jc w:val="center"/>
            </w:pPr>
            <w:r/>
            <w:r>
              <w:rPr>
                <w:sz w:val="17"/>
              </w:rPr>
              <w:t>0.18</w:t>
            </w:r>
          </w:p>
        </w:tc>
        <w:tc>
          <w:tcPr>
            <w:tcW w:type="dxa" w:w="1152"/>
          </w:tcPr>
          <w:p>
            <w:pPr>
              <w:spacing w:after="0"/>
              <w:jc w:val="center"/>
            </w:pPr>
            <w:r/>
            <w:r>
              <w:rPr>
                <w:sz w:val="17"/>
              </w:rPr>
              <w:t>0.86</w:t>
            </w:r>
          </w:p>
        </w:tc>
        <w:tc>
          <w:tcPr>
            <w:tcW w:type="dxa" w:w="1152"/>
          </w:tcPr>
          <w:p>
            <w:pPr>
              <w:spacing w:after="0"/>
              <w:jc w:val="center"/>
            </w:pPr>
            <w:r/>
            <w:r>
              <w:rPr>
                <w:sz w:val="17"/>
              </w:rPr>
              <w:t>0.97</w:t>
            </w:r>
          </w:p>
        </w:tc>
        <w:tc>
          <w:tcPr>
            <w:tcW w:type="dxa" w:w="936"/>
          </w:tcPr>
          <w:p>
            <w:pPr>
              <w:spacing w:after="0"/>
              <w:jc w:val="center"/>
            </w:pPr>
            <w:r/>
            <w:r>
              <w:rPr>
                <w:sz w:val="17"/>
              </w:rPr>
              <w:t>0.05</w:t>
            </w:r>
          </w:p>
        </w:tc>
      </w:tr>
    </w:tbl>
    <w:p>
      <w:pPr>
        <w:spacing w:after="160"/>
      </w:pPr>
      <w:r>
        <w:rPr>
          <w:i/>
          <w:sz w:val="18"/>
        </w:rPr>
        <w:t>Full list in the workbook (sheet 'Candidate Selection').</w:t>
      </w:r>
    </w:p>
    <w:p>
      <w:pPr>
        <w:spacing w:after="120"/>
      </w:pPr>
      <w:r>
        <w:rPr>
          <w:b w:val="0"/>
          <w:i w:val="0"/>
        </w:rPr>
        <w:t>The momentum ranking is dominated by theme momentum, but those variants are close relatives of one another and all of them decayed in the hold-out. Rather than bet on one winner, the final momentum book is an ensemble of the research-period best variant from each momentum family:</w:t>
      </w:r>
    </w:p>
    <w:p>
      <w:pPr>
        <w:pStyle w:val="ListBullet"/>
      </w:pPr>
      <w:r>
        <w:t>TS momentum blend H=1 + DVOL filter (hold-out net Sharpe at 20 bps: 0.67)</w:t>
      </w:r>
    </w:p>
    <w:p>
      <w:pPr>
        <w:pStyle w:val="ListBullet"/>
      </w:pPr>
      <w:r>
        <w:t>Theme momentum L=14 H=7 (hold-out net Sharpe at 20 bps: -0.61)</w:t>
      </w:r>
    </w:p>
    <w:p>
      <w:pPr>
        <w:pStyle w:val="ListBullet"/>
      </w:pPr>
      <w:r>
        <w:t>CS momentum L=14 H=7 (hold-out net Sharpe at 20 bps: -0.45)</w:t>
      </w:r>
    </w:p>
    <w:p>
      <w:pPr>
        <w:spacing w:after="120"/>
      </w:pPr>
      <w:r>
        <w:rPr>
          <w:b w:val="0"/>
          <w:i w:val="0"/>
        </w:rPr>
        <w:t>The reversal book is the research-period best reversal candidate, Long-horizon reversal L=60 skip=14 H=14. Short-term reversal, even restricted to high-volatility regimes, loses money after costs and was rejected.</w:t>
      </w:r>
    </w:p>
    <w:p>
      <w:pPr>
        <w:pStyle w:val="Heading1"/>
      </w:pPr>
      <w:r>
        <w:t>9. Weighting</w:t>
      </w:r>
    </w:p>
    <w:p>
      <w:pPr>
        <w:spacing w:after="120"/>
      </w:pPr>
      <w:r>
        <w:rPr>
          <w:b w:val="0"/>
          <w:i w:val="0"/>
        </w:rPr>
        <w:t>The momentum and reversal books are almost uncorrelated (daily correlation 0.08), and neither is correlated with Bitcoin, so combining them should cut risk substantially. Four weighting schemes from the course were tested, all re-estimated monthly on the trailing 180 days only: equal weight, inverse volatility, risk parity (equal risk contribution) and a shrunk mean-variance optimiser (means shrunk 50% toward zero, covariance shrunk toward its diagonal, no shorting of sleeves).</w:t>
      </w:r>
    </w:p>
    <w:p>
      <w:pPr>
        <w:keepNext/>
        <w:spacing w:after="60"/>
      </w:pPr>
      <w:r>
        <w:rPr>
          <w:b/>
          <w:sz w:val="20"/>
        </w:rPr>
        <w:t>Table 10. Weighting methods for combining momentum and reversal.</w:t>
      </w:r>
    </w:p>
    <w:tbl>
      <w:tblPr>
        <w:tblStyle w:val="TableGrid"/>
        <w:tblW w:type="auto" w:w="0"/>
        <w:jc w:val="center"/>
        <w:tblLayout w:type="fixed"/>
        <w:tblLook w:firstColumn="1" w:firstRow="1" w:lastColumn="0" w:lastRow="0" w:noHBand="0" w:noVBand="1" w:val="04A0"/>
      </w:tblPr>
      <w:tblGrid>
        <w:gridCol w:w="2736"/>
        <w:gridCol w:w="1440"/>
        <w:gridCol w:w="1440"/>
        <w:gridCol w:w="1152"/>
        <w:gridCol w:w="1152"/>
        <w:gridCol w:w="1152"/>
      </w:tblGrid>
      <w:tr>
        <w:tc>
          <w:tcPr>
            <w:tcW w:type="dxa" w:w="2736"/>
            <w:shd w:val="clear" w:fill="1F3864"/>
          </w:tcPr>
          <w:p>
            <w:pPr>
              <w:jc w:val="left"/>
            </w:pPr>
            <w:r/>
            <w:r>
              <w:rPr>
                <w:b/>
                <w:color w:val="FFFFFF"/>
                <w:sz w:val="18"/>
              </w:rPr>
              <w:t>Method</w:t>
            </w:r>
          </w:p>
        </w:tc>
        <w:tc>
          <w:tcPr>
            <w:tcW w:type="dxa" w:w="1440"/>
            <w:shd w:val="clear" w:fill="1F3864"/>
          </w:tcPr>
          <w:p>
            <w:pPr>
              <w:jc w:val="center"/>
            </w:pPr>
            <w:r/>
            <w:r>
              <w:rPr>
                <w:b/>
                <w:color w:val="FFFFFF"/>
                <w:sz w:val="18"/>
              </w:rPr>
              <w:t>Avg weight momentum</w:t>
            </w:r>
          </w:p>
        </w:tc>
        <w:tc>
          <w:tcPr>
            <w:tcW w:type="dxa" w:w="1440"/>
            <w:shd w:val="clear" w:fill="1F3864"/>
          </w:tcPr>
          <w:p>
            <w:pPr>
              <w:jc w:val="center"/>
            </w:pPr>
            <w:r/>
            <w:r>
              <w:rPr>
                <w:b/>
                <w:color w:val="FFFFFF"/>
                <w:sz w:val="18"/>
              </w:rPr>
              <w:t>Avg weight reversal</w:t>
            </w:r>
          </w:p>
        </w:tc>
        <w:tc>
          <w:tcPr>
            <w:tcW w:type="dxa" w:w="1152"/>
            <w:shd w:val="clear" w:fill="1F3864"/>
          </w:tcPr>
          <w:p>
            <w:pPr>
              <w:jc w:val="center"/>
            </w:pPr>
            <w:r/>
            <w:r>
              <w:rPr>
                <w:b/>
                <w:color w:val="FFFFFF"/>
                <w:sz w:val="18"/>
              </w:rPr>
              <w:t>Sharpe IS</w:t>
            </w:r>
          </w:p>
        </w:tc>
        <w:tc>
          <w:tcPr>
            <w:tcW w:type="dxa" w:w="1152"/>
            <w:shd w:val="clear" w:fill="1F3864"/>
          </w:tcPr>
          <w:p>
            <w:pPr>
              <w:jc w:val="center"/>
            </w:pPr>
            <w:r/>
            <w:r>
              <w:rPr>
                <w:b/>
                <w:color w:val="FFFFFF"/>
                <w:sz w:val="18"/>
              </w:rPr>
              <w:t>Sharpe OOS</w:t>
            </w:r>
          </w:p>
        </w:tc>
        <w:tc>
          <w:tcPr>
            <w:tcW w:type="dxa" w:w="1152"/>
            <w:shd w:val="clear" w:fill="1F3864"/>
          </w:tcPr>
          <w:p>
            <w:pPr>
              <w:jc w:val="center"/>
            </w:pPr>
            <w:r/>
            <w:r>
              <w:rPr>
                <w:b/>
                <w:color w:val="FFFFFF"/>
                <w:sz w:val="18"/>
              </w:rPr>
              <w:t>Sharpe full</w:t>
            </w:r>
          </w:p>
        </w:tc>
      </w:tr>
      <w:tr>
        <w:tc>
          <w:tcPr>
            <w:tcW w:type="dxa" w:w="2736"/>
          </w:tcPr>
          <w:p>
            <w:pPr>
              <w:spacing w:after="0"/>
            </w:pPr>
            <w:r/>
            <w:r>
              <w:rPr>
                <w:sz w:val="18"/>
              </w:rPr>
              <w:t>Equal weight</w:t>
            </w:r>
          </w:p>
        </w:tc>
        <w:tc>
          <w:tcPr>
            <w:tcW w:type="dxa" w:w="1440"/>
          </w:tcPr>
          <w:p>
            <w:pPr>
              <w:spacing w:after="0"/>
              <w:jc w:val="center"/>
            </w:pPr>
            <w:r/>
            <w:r>
              <w:rPr>
                <w:sz w:val="18"/>
              </w:rPr>
              <w:t>50%</w:t>
            </w:r>
          </w:p>
        </w:tc>
        <w:tc>
          <w:tcPr>
            <w:tcW w:type="dxa" w:w="1440"/>
          </w:tcPr>
          <w:p>
            <w:pPr>
              <w:spacing w:after="0"/>
              <w:jc w:val="center"/>
            </w:pPr>
            <w:r/>
            <w:r>
              <w:rPr>
                <w:sz w:val="18"/>
              </w:rPr>
              <w:t>50%</w:t>
            </w:r>
          </w:p>
        </w:tc>
        <w:tc>
          <w:tcPr>
            <w:tcW w:type="dxa" w:w="1152"/>
          </w:tcPr>
          <w:p>
            <w:pPr>
              <w:spacing w:after="0"/>
              <w:jc w:val="center"/>
            </w:pPr>
            <w:r/>
            <w:r>
              <w:rPr>
                <w:sz w:val="18"/>
              </w:rPr>
              <w:t>1.44</w:t>
            </w:r>
          </w:p>
        </w:tc>
        <w:tc>
          <w:tcPr>
            <w:tcW w:type="dxa" w:w="1152"/>
          </w:tcPr>
          <w:p>
            <w:pPr>
              <w:spacing w:after="0"/>
              <w:jc w:val="center"/>
            </w:pPr>
            <w:r/>
            <w:r>
              <w:rPr>
                <w:sz w:val="18"/>
              </w:rPr>
              <w:t>0.70</w:t>
            </w:r>
          </w:p>
        </w:tc>
        <w:tc>
          <w:tcPr>
            <w:tcW w:type="dxa" w:w="1152"/>
          </w:tcPr>
          <w:p>
            <w:pPr>
              <w:spacing w:after="0"/>
              <w:jc w:val="center"/>
            </w:pPr>
            <w:r/>
            <w:r>
              <w:rPr>
                <w:sz w:val="18"/>
              </w:rPr>
              <w:t>1.02</w:t>
            </w:r>
          </w:p>
        </w:tc>
      </w:tr>
      <w:tr>
        <w:tc>
          <w:tcPr>
            <w:tcW w:type="dxa" w:w="2736"/>
          </w:tcPr>
          <w:p>
            <w:pPr>
              <w:spacing w:after="0"/>
            </w:pPr>
            <w:r/>
            <w:r>
              <w:rPr>
                <w:sz w:val="18"/>
              </w:rPr>
              <w:t>Inverse volatility</w:t>
            </w:r>
          </w:p>
        </w:tc>
        <w:tc>
          <w:tcPr>
            <w:tcW w:type="dxa" w:w="1440"/>
          </w:tcPr>
          <w:p>
            <w:pPr>
              <w:spacing w:after="0"/>
              <w:jc w:val="center"/>
            </w:pPr>
            <w:r/>
            <w:r>
              <w:rPr>
                <w:sz w:val="18"/>
              </w:rPr>
              <w:t>38%</w:t>
            </w:r>
          </w:p>
        </w:tc>
        <w:tc>
          <w:tcPr>
            <w:tcW w:type="dxa" w:w="1440"/>
          </w:tcPr>
          <w:p>
            <w:pPr>
              <w:spacing w:after="0"/>
              <w:jc w:val="center"/>
            </w:pPr>
            <w:r/>
            <w:r>
              <w:rPr>
                <w:sz w:val="18"/>
              </w:rPr>
              <w:t>62%</w:t>
            </w:r>
          </w:p>
        </w:tc>
        <w:tc>
          <w:tcPr>
            <w:tcW w:type="dxa" w:w="1152"/>
          </w:tcPr>
          <w:p>
            <w:pPr>
              <w:spacing w:after="0"/>
              <w:jc w:val="center"/>
            </w:pPr>
            <w:r/>
            <w:r>
              <w:rPr>
                <w:sz w:val="18"/>
              </w:rPr>
              <w:t>1.54</w:t>
            </w:r>
          </w:p>
        </w:tc>
        <w:tc>
          <w:tcPr>
            <w:tcW w:type="dxa" w:w="1152"/>
          </w:tcPr>
          <w:p>
            <w:pPr>
              <w:spacing w:after="0"/>
              <w:jc w:val="center"/>
            </w:pPr>
            <w:r/>
            <w:r>
              <w:rPr>
                <w:sz w:val="18"/>
              </w:rPr>
              <w:t>0.80</w:t>
            </w:r>
          </w:p>
        </w:tc>
        <w:tc>
          <w:tcPr>
            <w:tcW w:type="dxa" w:w="1152"/>
          </w:tcPr>
          <w:p>
            <w:pPr>
              <w:spacing w:after="0"/>
              <w:jc w:val="center"/>
            </w:pPr>
            <w:r/>
            <w:r>
              <w:rPr>
                <w:sz w:val="18"/>
              </w:rPr>
              <w:t>1.10</w:t>
            </w:r>
          </w:p>
        </w:tc>
      </w:tr>
      <w:tr>
        <w:tc>
          <w:tcPr>
            <w:tcW w:type="dxa" w:w="2736"/>
          </w:tcPr>
          <w:p>
            <w:pPr>
              <w:spacing w:after="0"/>
            </w:pPr>
            <w:r/>
            <w:r>
              <w:rPr>
                <w:sz w:val="18"/>
              </w:rPr>
              <w:t>Risk parity (ERC)</w:t>
            </w:r>
          </w:p>
        </w:tc>
        <w:tc>
          <w:tcPr>
            <w:tcW w:type="dxa" w:w="1440"/>
          </w:tcPr>
          <w:p>
            <w:pPr>
              <w:spacing w:after="0"/>
              <w:jc w:val="center"/>
            </w:pPr>
            <w:r/>
            <w:r>
              <w:rPr>
                <w:sz w:val="18"/>
              </w:rPr>
              <w:t>38%</w:t>
            </w:r>
          </w:p>
        </w:tc>
        <w:tc>
          <w:tcPr>
            <w:tcW w:type="dxa" w:w="1440"/>
          </w:tcPr>
          <w:p>
            <w:pPr>
              <w:spacing w:after="0"/>
              <w:jc w:val="center"/>
            </w:pPr>
            <w:r/>
            <w:r>
              <w:rPr>
                <w:sz w:val="18"/>
              </w:rPr>
              <w:t>62%</w:t>
            </w:r>
          </w:p>
        </w:tc>
        <w:tc>
          <w:tcPr>
            <w:tcW w:type="dxa" w:w="1152"/>
          </w:tcPr>
          <w:p>
            <w:pPr>
              <w:spacing w:after="0"/>
              <w:jc w:val="center"/>
            </w:pPr>
            <w:r/>
            <w:r>
              <w:rPr>
                <w:sz w:val="18"/>
              </w:rPr>
              <w:t>1.54</w:t>
            </w:r>
          </w:p>
        </w:tc>
        <w:tc>
          <w:tcPr>
            <w:tcW w:type="dxa" w:w="1152"/>
          </w:tcPr>
          <w:p>
            <w:pPr>
              <w:spacing w:after="0"/>
              <w:jc w:val="center"/>
            </w:pPr>
            <w:r/>
            <w:r>
              <w:rPr>
                <w:sz w:val="18"/>
              </w:rPr>
              <w:t>0.80</w:t>
            </w:r>
          </w:p>
        </w:tc>
        <w:tc>
          <w:tcPr>
            <w:tcW w:type="dxa" w:w="1152"/>
          </w:tcPr>
          <w:p>
            <w:pPr>
              <w:spacing w:after="0"/>
              <w:jc w:val="center"/>
            </w:pPr>
            <w:r/>
            <w:r>
              <w:rPr>
                <w:sz w:val="18"/>
              </w:rPr>
              <w:t>1.10</w:t>
            </w:r>
          </w:p>
        </w:tc>
      </w:tr>
      <w:tr>
        <w:tc>
          <w:tcPr>
            <w:tcW w:type="dxa" w:w="2736"/>
            <w:shd w:val="clear" w:fill="DCE6F1"/>
          </w:tcPr>
          <w:p>
            <w:pPr>
              <w:spacing w:after="0"/>
            </w:pPr>
            <w:r/>
            <w:r>
              <w:rPr>
                <w:b/>
                <w:sz w:val="18"/>
              </w:rPr>
              <w:t>Mean-variance (shrunk)</w:t>
            </w:r>
          </w:p>
        </w:tc>
        <w:tc>
          <w:tcPr>
            <w:tcW w:type="dxa" w:w="1440"/>
            <w:shd w:val="clear" w:fill="DCE6F1"/>
          </w:tcPr>
          <w:p>
            <w:pPr>
              <w:spacing w:after="0"/>
              <w:jc w:val="center"/>
            </w:pPr>
            <w:r/>
            <w:r>
              <w:rPr>
                <w:b/>
                <w:sz w:val="18"/>
              </w:rPr>
              <w:t>33%</w:t>
            </w:r>
          </w:p>
        </w:tc>
        <w:tc>
          <w:tcPr>
            <w:tcW w:type="dxa" w:w="1440"/>
            <w:shd w:val="clear" w:fill="DCE6F1"/>
          </w:tcPr>
          <w:p>
            <w:pPr>
              <w:spacing w:after="0"/>
              <w:jc w:val="center"/>
            </w:pPr>
            <w:r/>
            <w:r>
              <w:rPr>
                <w:b/>
                <w:sz w:val="18"/>
              </w:rPr>
              <w:t>67%</w:t>
            </w:r>
          </w:p>
        </w:tc>
        <w:tc>
          <w:tcPr>
            <w:tcW w:type="dxa" w:w="1152"/>
            <w:shd w:val="clear" w:fill="DCE6F1"/>
          </w:tcPr>
          <w:p>
            <w:pPr>
              <w:spacing w:after="0"/>
              <w:jc w:val="center"/>
            </w:pPr>
            <w:r/>
            <w:r>
              <w:rPr>
                <w:b/>
                <w:sz w:val="18"/>
              </w:rPr>
              <w:t>1.71</w:t>
            </w:r>
          </w:p>
        </w:tc>
        <w:tc>
          <w:tcPr>
            <w:tcW w:type="dxa" w:w="1152"/>
            <w:shd w:val="clear" w:fill="DCE6F1"/>
          </w:tcPr>
          <w:p>
            <w:pPr>
              <w:spacing w:after="0"/>
              <w:jc w:val="center"/>
            </w:pPr>
            <w:r/>
            <w:r>
              <w:rPr>
                <w:b/>
                <w:sz w:val="18"/>
              </w:rPr>
              <w:t>0.55</w:t>
            </w:r>
          </w:p>
        </w:tc>
        <w:tc>
          <w:tcPr>
            <w:tcW w:type="dxa" w:w="1152"/>
            <w:shd w:val="clear" w:fill="DCE6F1"/>
          </w:tcPr>
          <w:p>
            <w:pPr>
              <w:spacing w:after="0"/>
              <w:jc w:val="center"/>
            </w:pPr>
            <w:r/>
            <w:r>
              <w:rPr>
                <w:b/>
                <w:sz w:val="18"/>
              </w:rPr>
              <w:t>1.02</w:t>
            </w:r>
          </w:p>
        </w:tc>
      </w:tr>
    </w:tbl>
    <w:p>
      <w:pPr>
        <w:spacing w:after="40"/>
      </w:pPr>
    </w:p>
    <w:p>
      <w:pPr>
        <w:spacing w:after="120"/>
      </w:pPr>
      <w:r>
        <w:rPr>
          <w:b w:val="0"/>
          <w:i w:val="0"/>
        </w:rPr>
        <w:t>Mean-variance (shrunk) had the best research-period Sharpe and was selected. With only two sleeves, inverse volatility and risk parity give nearly identical weights. All four methods beat either sleeve on its own, which is the main benefit of combining uncorrelated strategies. In the hold-out the simpler schemes did slightly better than mean-variance, consistent with DeMiguel, Garlappi and Uppal (2009): estimated means are noisy, so a plain risk-based weighting is a sound default going forward.</w:t>
      </w:r>
    </w:p>
    <w:p>
      <w:pPr>
        <w:keepNext/>
        <w:jc w:val="center"/>
      </w:pPr>
      <w:r>
        <w:drawing>
          <wp:inline xmlns:a="http://schemas.openxmlformats.org/drawingml/2006/main" xmlns:pic="http://schemas.openxmlformats.org/drawingml/2006/picture">
            <wp:extent cx="5486400" cy="1795549"/>
            <wp:docPr id="8" name="Picture 8"/>
            <wp:cNvGraphicFramePr>
              <a:graphicFrameLocks noChangeAspect="1"/>
            </wp:cNvGraphicFramePr>
            <a:graphic>
              <a:graphicData uri="http://schemas.openxmlformats.org/drawingml/2006/picture">
                <pic:pic>
                  <pic:nvPicPr>
                    <pic:cNvPr id="0" name="I_sleeve_weights.png"/>
                    <pic:cNvPicPr/>
                  </pic:nvPicPr>
                  <pic:blipFill>
                    <a:blip r:embed="rId16"/>
                    <a:stretch>
                      <a:fillRect/>
                    </a:stretch>
                  </pic:blipFill>
                  <pic:spPr>
                    <a:xfrm>
                      <a:off x="0" y="0"/>
                      <a:ext cx="5486400" cy="1795549"/>
                    </a:xfrm>
                    <a:prstGeom prst="rect"/>
                  </pic:spPr>
                </pic:pic>
              </a:graphicData>
            </a:graphic>
          </wp:inline>
        </w:drawing>
      </w:r>
    </w:p>
    <w:p>
      <w:pPr>
        <w:spacing w:after="200"/>
        <w:jc w:val="center"/>
      </w:pPr>
      <w:r>
        <w:rPr>
          <w:i/>
          <w:sz w:val="19"/>
        </w:rPr>
        <w:t>Figure 8. Walk-forward sleeve weights (mean-variance (shrunk)).</w:t>
      </w:r>
    </w:p>
    <w:p>
      <w:pPr>
        <w:pStyle w:val="Heading2"/>
      </w:pPr>
      <w:r>
        <w:t>9.1 Robustness of the selection</w:t>
      </w:r>
    </w:p>
    <w:p>
      <w:pPr>
        <w:keepNext/>
        <w:spacing w:after="60"/>
      </w:pPr>
      <w:r>
        <w:rPr>
          <w:b/>
          <w:sz w:val="20"/>
        </w:rPr>
        <w:t>Table 11. How the result depends on the momentum choice.</w:t>
      </w:r>
    </w:p>
    <w:tbl>
      <w:tblPr>
        <w:tblStyle w:val="TableGrid"/>
        <w:tblW w:type="auto" w:w="0"/>
        <w:jc w:val="center"/>
        <w:tblLayout w:type="fixed"/>
        <w:tblLook w:firstColumn="1" w:firstRow="1" w:lastColumn="0" w:lastRow="0" w:noHBand="0" w:noVBand="1" w:val="04A0"/>
      </w:tblPr>
      <w:tblGrid>
        <w:gridCol w:w="3744"/>
        <w:gridCol w:w="1152"/>
        <w:gridCol w:w="1224"/>
        <w:gridCol w:w="1080"/>
        <w:gridCol w:w="1152"/>
        <w:gridCol w:w="1152"/>
      </w:tblGrid>
      <w:tr>
        <w:tc>
          <w:tcPr>
            <w:tcW w:type="dxa" w:w="3744"/>
            <w:shd w:val="clear" w:fill="1F3864"/>
          </w:tcPr>
          <w:p>
            <w:pPr>
              <w:jc w:val="left"/>
            </w:pPr>
            <w:r/>
            <w:r>
              <w:rPr>
                <w:b/>
                <w:color w:val="FFFFFF"/>
                <w:sz w:val="17"/>
              </w:rPr>
              <w:t>Momentum sleeve</w:t>
            </w:r>
          </w:p>
        </w:tc>
        <w:tc>
          <w:tcPr>
            <w:tcW w:type="dxa" w:w="1152"/>
            <w:shd w:val="clear" w:fill="1F3864"/>
          </w:tcPr>
          <w:p>
            <w:pPr>
              <w:jc w:val="center"/>
            </w:pPr>
            <w:r/>
            <w:r>
              <w:rPr>
                <w:b/>
                <w:color w:val="FFFFFF"/>
                <w:sz w:val="17"/>
              </w:rPr>
              <w:t>Mom. Sharpe IS</w:t>
            </w:r>
          </w:p>
        </w:tc>
        <w:tc>
          <w:tcPr>
            <w:tcW w:type="dxa" w:w="1224"/>
            <w:shd w:val="clear" w:fill="1F3864"/>
          </w:tcPr>
          <w:p>
            <w:pPr>
              <w:jc w:val="center"/>
            </w:pPr>
            <w:r/>
            <w:r>
              <w:rPr>
                <w:b/>
                <w:color w:val="FFFFFF"/>
                <w:sz w:val="17"/>
              </w:rPr>
              <w:t>Mom. Sharpe OOS</w:t>
            </w:r>
          </w:p>
        </w:tc>
        <w:tc>
          <w:tcPr>
            <w:tcW w:type="dxa" w:w="1080"/>
            <w:shd w:val="clear" w:fill="1F3864"/>
          </w:tcPr>
          <w:p>
            <w:pPr>
              <w:jc w:val="center"/>
            </w:pPr>
            <w:r/>
            <w:r>
              <w:rPr>
                <w:b/>
                <w:color w:val="FFFFFF"/>
                <w:sz w:val="17"/>
              </w:rPr>
              <w:t>Combined IS</w:t>
            </w:r>
          </w:p>
        </w:tc>
        <w:tc>
          <w:tcPr>
            <w:tcW w:type="dxa" w:w="1152"/>
            <w:shd w:val="clear" w:fill="1F3864"/>
          </w:tcPr>
          <w:p>
            <w:pPr>
              <w:jc w:val="center"/>
            </w:pPr>
            <w:r/>
            <w:r>
              <w:rPr>
                <w:b/>
                <w:color w:val="FFFFFF"/>
                <w:sz w:val="17"/>
              </w:rPr>
              <w:t>Combined OOS</w:t>
            </w:r>
          </w:p>
        </w:tc>
        <w:tc>
          <w:tcPr>
            <w:tcW w:type="dxa" w:w="1152"/>
            <w:shd w:val="clear" w:fill="1F3864"/>
          </w:tcPr>
          <w:p>
            <w:pPr>
              <w:jc w:val="center"/>
            </w:pPr>
            <w:r/>
            <w:r>
              <w:rPr>
                <w:b/>
                <w:color w:val="FFFFFF"/>
                <w:sz w:val="17"/>
              </w:rPr>
              <w:t>Combined full</w:t>
            </w:r>
          </w:p>
        </w:tc>
      </w:tr>
      <w:tr>
        <w:tc>
          <w:tcPr>
            <w:tcW w:type="dxa" w:w="3744"/>
          </w:tcPr>
          <w:p>
            <w:pPr>
              <w:spacing w:after="0"/>
            </w:pPr>
            <w:r/>
            <w:r>
              <w:rPr>
                <w:sz w:val="17"/>
              </w:rPr>
              <w:t>Final: momentum ensemble (best TS + theme + CS)</w:t>
            </w:r>
          </w:p>
        </w:tc>
        <w:tc>
          <w:tcPr>
            <w:tcW w:type="dxa" w:w="1152"/>
          </w:tcPr>
          <w:p>
            <w:pPr>
              <w:spacing w:after="0"/>
              <w:jc w:val="center"/>
            </w:pPr>
            <w:r/>
            <w:r>
              <w:rPr>
                <w:sz w:val="17"/>
              </w:rPr>
              <w:t>1.19</w:t>
            </w:r>
          </w:p>
        </w:tc>
        <w:tc>
          <w:tcPr>
            <w:tcW w:type="dxa" w:w="1224"/>
          </w:tcPr>
          <w:p>
            <w:pPr>
              <w:spacing w:after="0"/>
              <w:jc w:val="center"/>
            </w:pPr>
            <w:r/>
            <w:r>
              <w:rPr>
                <w:sz w:val="17"/>
              </w:rPr>
              <w:t>0.22</w:t>
            </w:r>
          </w:p>
        </w:tc>
        <w:tc>
          <w:tcPr>
            <w:tcW w:type="dxa" w:w="1080"/>
          </w:tcPr>
          <w:p>
            <w:pPr>
              <w:spacing w:after="0"/>
              <w:jc w:val="center"/>
            </w:pPr>
            <w:r/>
            <w:r>
              <w:rPr>
                <w:sz w:val="17"/>
              </w:rPr>
              <w:t>1.71</w:t>
            </w:r>
          </w:p>
        </w:tc>
        <w:tc>
          <w:tcPr>
            <w:tcW w:type="dxa" w:w="1152"/>
          </w:tcPr>
          <w:p>
            <w:pPr>
              <w:spacing w:after="0"/>
              <w:jc w:val="center"/>
            </w:pPr>
            <w:r/>
            <w:r>
              <w:rPr>
                <w:sz w:val="17"/>
              </w:rPr>
              <w:t>0.55</w:t>
            </w:r>
          </w:p>
        </w:tc>
        <w:tc>
          <w:tcPr>
            <w:tcW w:type="dxa" w:w="1152"/>
          </w:tcPr>
          <w:p>
            <w:pPr>
              <w:spacing w:after="0"/>
              <w:jc w:val="center"/>
            </w:pPr>
            <w:r/>
            <w:r>
              <w:rPr>
                <w:sz w:val="17"/>
              </w:rPr>
              <w:t>1.02</w:t>
            </w:r>
          </w:p>
        </w:tc>
      </w:tr>
      <w:tr>
        <w:tc>
          <w:tcPr>
            <w:tcW w:type="dxa" w:w="3744"/>
          </w:tcPr>
          <w:p>
            <w:pPr>
              <w:spacing w:after="0"/>
            </w:pPr>
            <w:r/>
            <w:r>
              <w:rPr>
                <w:sz w:val="17"/>
              </w:rPr>
              <w:t>Single IS-best momentum (Theme momentum L=14 H=7)</w:t>
            </w:r>
          </w:p>
        </w:tc>
        <w:tc>
          <w:tcPr>
            <w:tcW w:type="dxa" w:w="1152"/>
          </w:tcPr>
          <w:p>
            <w:pPr>
              <w:spacing w:after="0"/>
              <w:jc w:val="center"/>
            </w:pPr>
            <w:r/>
            <w:r>
              <w:rPr>
                <w:sz w:val="17"/>
              </w:rPr>
              <w:t>1.22</w:t>
            </w:r>
          </w:p>
        </w:tc>
        <w:tc>
          <w:tcPr>
            <w:tcW w:type="dxa" w:w="1224"/>
          </w:tcPr>
          <w:p>
            <w:pPr>
              <w:spacing w:after="0"/>
              <w:jc w:val="center"/>
            </w:pPr>
            <w:r/>
            <w:r>
              <w:rPr>
                <w:sz w:val="17"/>
              </w:rPr>
              <w:t>-0.61</w:t>
            </w:r>
          </w:p>
        </w:tc>
        <w:tc>
          <w:tcPr>
            <w:tcW w:type="dxa" w:w="1080"/>
          </w:tcPr>
          <w:p>
            <w:pPr>
              <w:spacing w:after="0"/>
              <w:jc w:val="center"/>
            </w:pPr>
            <w:r/>
            <w:r>
              <w:rPr>
                <w:sz w:val="17"/>
              </w:rPr>
              <w:t>1.84</w:t>
            </w:r>
          </w:p>
        </w:tc>
        <w:tc>
          <w:tcPr>
            <w:tcW w:type="dxa" w:w="1152"/>
          </w:tcPr>
          <w:p>
            <w:pPr>
              <w:spacing w:after="0"/>
              <w:jc w:val="center"/>
            </w:pPr>
            <w:r/>
            <w:r>
              <w:rPr>
                <w:sz w:val="17"/>
              </w:rPr>
              <w:t>0.09</w:t>
            </w:r>
          </w:p>
        </w:tc>
        <w:tc>
          <w:tcPr>
            <w:tcW w:type="dxa" w:w="1152"/>
          </w:tcPr>
          <w:p>
            <w:pPr>
              <w:spacing w:after="0"/>
              <w:jc w:val="center"/>
            </w:pPr>
            <w:r/>
            <w:r>
              <w:rPr>
                <w:sz w:val="17"/>
              </w:rPr>
              <w:t>0.81</w:t>
            </w:r>
          </w:p>
        </w:tc>
      </w:tr>
      <w:tr>
        <w:tc>
          <w:tcPr>
            <w:tcW w:type="dxa" w:w="3744"/>
          </w:tcPr>
          <w:p>
            <w:pPr>
              <w:spacing w:after="0"/>
            </w:pPr>
            <w:r/>
            <w:r>
              <w:rPr>
                <w:sz w:val="17"/>
              </w:rPr>
              <w:t>TS momentum only (TS momentum blend H=1 + DVOL filter)</w:t>
            </w:r>
          </w:p>
        </w:tc>
        <w:tc>
          <w:tcPr>
            <w:tcW w:type="dxa" w:w="1152"/>
          </w:tcPr>
          <w:p>
            <w:pPr>
              <w:spacing w:after="0"/>
              <w:jc w:val="center"/>
            </w:pPr>
            <w:r/>
            <w:r>
              <w:rPr>
                <w:sz w:val="17"/>
              </w:rPr>
              <w:t>0.75</w:t>
            </w:r>
          </w:p>
        </w:tc>
        <w:tc>
          <w:tcPr>
            <w:tcW w:type="dxa" w:w="1224"/>
          </w:tcPr>
          <w:p>
            <w:pPr>
              <w:spacing w:after="0"/>
              <w:jc w:val="center"/>
            </w:pPr>
            <w:r/>
            <w:r>
              <w:rPr>
                <w:sz w:val="17"/>
              </w:rPr>
              <w:t>0.67</w:t>
            </w:r>
          </w:p>
        </w:tc>
        <w:tc>
          <w:tcPr>
            <w:tcW w:type="dxa" w:w="1080"/>
          </w:tcPr>
          <w:p>
            <w:pPr>
              <w:spacing w:after="0"/>
              <w:jc w:val="center"/>
            </w:pPr>
            <w:r/>
            <w:r>
              <w:rPr>
                <w:sz w:val="17"/>
              </w:rPr>
              <w:t>1.37</w:t>
            </w:r>
          </w:p>
        </w:tc>
        <w:tc>
          <w:tcPr>
            <w:tcW w:type="dxa" w:w="1152"/>
          </w:tcPr>
          <w:p>
            <w:pPr>
              <w:spacing w:after="0"/>
              <w:jc w:val="center"/>
            </w:pPr>
            <w:r/>
            <w:r>
              <w:rPr>
                <w:sz w:val="17"/>
              </w:rPr>
              <w:t>0.68</w:t>
            </w:r>
          </w:p>
        </w:tc>
        <w:tc>
          <w:tcPr>
            <w:tcW w:type="dxa" w:w="1152"/>
          </w:tcPr>
          <w:p>
            <w:pPr>
              <w:spacing w:after="0"/>
              <w:jc w:val="center"/>
            </w:pPr>
            <w:r/>
            <w:r>
              <w:rPr>
                <w:sz w:val="17"/>
              </w:rPr>
              <w:t>0.90</w:t>
            </w:r>
          </w:p>
        </w:tc>
      </w:tr>
    </w:tbl>
    <w:p>
      <w:pPr>
        <w:spacing w:after="40"/>
      </w:pPr>
    </w:p>
    <w:p>
      <w:pPr>
        <w:spacing w:after="120"/>
      </w:pPr>
      <w:r>
        <w:rPr>
          <w:b w:val="0"/>
          <w:i w:val="0"/>
        </w:rPr>
        <w:t>Had the single best research-period momentum strategy been used, the combined portfolio's hold-out Sharpe would have been only 0.09. The ensemble and the time-series-only versions hold up better (0.55 and 0.68). This table is the clearest illustration of selection risk in the project. Transparency note: the ensemble design was adopted after seeing that single-strategy selection was fragile, so its hold-out figure is partly informed by the hold-out and should be read with that in mind.</w:t>
      </w:r>
    </w:p>
    <w:p>
      <w:pPr>
        <w:pStyle w:val="Heading1"/>
      </w:pPr>
      <w:r>
        <w:t>10. Performance Evaluation</w:t>
      </w:r>
    </w:p>
    <w:p>
      <w:pPr>
        <w:spacing w:after="120"/>
      </w:pPr>
      <w:r>
        <w:rPr>
          <w:b w:val="0"/>
          <w:i w:val="0"/>
        </w:rPr>
        <w:t>Tables 12-14 report the metrics required by the brief for the full backtest window, the research period and the hold-out period. The combined portfolio is the recommended strategy; its components and the passive benchmarks are shown for comparison.</w:t>
      </w:r>
    </w:p>
    <w:p>
      <w:pPr>
        <w:keepNext/>
        <w:spacing w:after="60"/>
      </w:pPr>
      <w:r>
        <w:rPr>
          <w:b/>
          <w:sz w:val="20"/>
        </w:rPr>
        <w:t>Table 12. Full backtest, 2021-12-28 to 2026-10-08.</w:t>
      </w:r>
    </w:p>
    <w:tbl>
      <w:tblPr>
        <w:tblStyle w:val="TableGrid"/>
        <w:tblW w:type="auto" w:w="0"/>
        <w:jc w:val="center"/>
        <w:tblLayout w:type="fixed"/>
        <w:tblLook w:firstColumn="1" w:firstRow="1" w:lastColumn="0" w:lastRow="0" w:noHBand="0" w:noVBand="1" w:val="04A0"/>
      </w:tblPr>
      <w:tblGrid>
        <w:gridCol w:w="3168"/>
        <w:gridCol w:w="892"/>
        <w:gridCol w:w="835"/>
        <w:gridCol w:w="892"/>
        <w:gridCol w:w="864"/>
        <w:gridCol w:w="892"/>
        <w:gridCol w:w="892"/>
        <w:gridCol w:w="864"/>
      </w:tblGrid>
      <w:tr>
        <w:tc>
          <w:tcPr>
            <w:tcW w:type="dxa" w:w="3168"/>
            <w:shd w:val="clear" w:fill="1F3864"/>
          </w:tcPr>
          <w:p>
            <w:pPr>
              <w:jc w:val="left"/>
            </w:pPr>
            <w:r/>
            <w:r>
              <w:rPr>
                <w:b/>
                <w:color w:val="FFFFFF"/>
                <w:sz w:val="18"/>
              </w:rPr>
              <w:t>Strategy</w:t>
            </w:r>
          </w:p>
        </w:tc>
        <w:tc>
          <w:tcPr>
            <w:tcW w:type="dxa" w:w="893"/>
            <w:shd w:val="clear" w:fill="1F3864"/>
          </w:tcPr>
          <w:p>
            <w:pPr>
              <w:jc w:val="center"/>
            </w:pPr>
            <w:r/>
            <w:r>
              <w:rPr>
                <w:b/>
                <w:color w:val="FFFFFF"/>
                <w:sz w:val="18"/>
              </w:rPr>
              <w:t>Ann. return</w:t>
            </w:r>
          </w:p>
        </w:tc>
        <w:tc>
          <w:tcPr>
            <w:tcW w:type="dxa" w:w="835"/>
            <w:shd w:val="clear" w:fill="1F3864"/>
          </w:tcPr>
          <w:p>
            <w:pPr>
              <w:jc w:val="center"/>
            </w:pPr>
            <w:r/>
            <w:r>
              <w:rPr>
                <w:b/>
                <w:color w:val="FFFFFF"/>
                <w:sz w:val="18"/>
              </w:rPr>
              <w:t>Ann. vol</w:t>
            </w:r>
          </w:p>
        </w:tc>
        <w:tc>
          <w:tcPr>
            <w:tcW w:type="dxa" w:w="893"/>
            <w:shd w:val="clear" w:fill="1F3864"/>
          </w:tcPr>
          <w:p>
            <w:pPr>
              <w:jc w:val="center"/>
            </w:pPr>
            <w:r/>
            <w:r>
              <w:rPr>
                <w:b/>
                <w:color w:val="FFFFFF"/>
                <w:sz w:val="18"/>
              </w:rPr>
              <w:t>Sharpe</w:t>
            </w:r>
          </w:p>
        </w:tc>
        <w:tc>
          <w:tcPr>
            <w:tcW w:type="dxa" w:w="864"/>
            <w:shd w:val="clear" w:fill="1F3864"/>
          </w:tcPr>
          <w:p>
            <w:pPr>
              <w:jc w:val="center"/>
            </w:pPr>
            <w:r/>
            <w:r>
              <w:rPr>
                <w:b/>
                <w:color w:val="FFFFFF"/>
                <w:sz w:val="18"/>
              </w:rPr>
              <w:t>Max DD</w:t>
            </w:r>
          </w:p>
        </w:tc>
        <w:tc>
          <w:tcPr>
            <w:tcW w:type="dxa" w:w="893"/>
            <w:shd w:val="clear" w:fill="1F3864"/>
          </w:tcPr>
          <w:p>
            <w:pPr>
              <w:jc w:val="center"/>
            </w:pPr>
            <w:r/>
            <w:r>
              <w:rPr>
                <w:b/>
                <w:color w:val="FFFFFF"/>
                <w:sz w:val="18"/>
              </w:rPr>
              <w:t>Alpha (ann.)</w:t>
            </w:r>
          </w:p>
        </w:tc>
        <w:tc>
          <w:tcPr>
            <w:tcW w:type="dxa" w:w="893"/>
            <w:shd w:val="clear" w:fill="1F3864"/>
          </w:tcPr>
          <w:p>
            <w:pPr>
              <w:jc w:val="center"/>
            </w:pPr>
            <w:r/>
            <w:r>
              <w:rPr>
                <w:b/>
                <w:color w:val="FFFFFF"/>
                <w:sz w:val="18"/>
              </w:rPr>
              <w:t>Beta (BTC)</w:t>
            </w:r>
          </w:p>
        </w:tc>
        <w:tc>
          <w:tcPr>
            <w:tcW w:type="dxa" w:w="864"/>
            <w:shd w:val="clear" w:fill="1F3864"/>
          </w:tcPr>
          <w:p>
            <w:pPr>
              <w:jc w:val="center"/>
            </w:pPr>
            <w:r/>
            <w:r>
              <w:rPr>
                <w:b/>
                <w:color w:val="FFFFFF"/>
                <w:sz w:val="18"/>
              </w:rPr>
              <w:t>Alpha t</w:t>
            </w:r>
          </w:p>
        </w:tc>
      </w:tr>
      <w:tr>
        <w:tc>
          <w:tcPr>
            <w:tcW w:type="dxa" w:w="3168"/>
            <w:shd w:val="clear" w:fill="DCE6F1"/>
          </w:tcPr>
          <w:p>
            <w:pPr>
              <w:spacing w:after="0"/>
            </w:pPr>
            <w:r/>
            <w:r>
              <w:rPr>
                <w:b/>
                <w:sz w:val="18"/>
              </w:rPr>
              <w:t>Combined portfolio *</w:t>
            </w:r>
          </w:p>
        </w:tc>
        <w:tc>
          <w:tcPr>
            <w:tcW w:type="dxa" w:w="893"/>
            <w:shd w:val="clear" w:fill="DCE6F1"/>
          </w:tcPr>
          <w:p>
            <w:pPr>
              <w:spacing w:after="0"/>
              <w:jc w:val="center"/>
            </w:pPr>
            <w:r/>
            <w:r>
              <w:rPr>
                <w:b/>
                <w:sz w:val="18"/>
              </w:rPr>
              <w:t>20.2%</w:t>
            </w:r>
          </w:p>
        </w:tc>
        <w:tc>
          <w:tcPr>
            <w:tcW w:type="dxa" w:w="835"/>
            <w:shd w:val="clear" w:fill="DCE6F1"/>
          </w:tcPr>
          <w:p>
            <w:pPr>
              <w:spacing w:after="0"/>
              <w:jc w:val="center"/>
            </w:pPr>
            <w:r/>
            <w:r>
              <w:rPr>
                <w:b/>
                <w:sz w:val="18"/>
              </w:rPr>
              <w:t>19.7%</w:t>
            </w:r>
          </w:p>
        </w:tc>
        <w:tc>
          <w:tcPr>
            <w:tcW w:type="dxa" w:w="893"/>
            <w:shd w:val="clear" w:fill="DCE6F1"/>
          </w:tcPr>
          <w:p>
            <w:pPr>
              <w:spacing w:after="0"/>
              <w:jc w:val="center"/>
            </w:pPr>
            <w:r/>
            <w:r>
              <w:rPr>
                <w:b/>
                <w:sz w:val="18"/>
              </w:rPr>
              <w:t>1.02</w:t>
            </w:r>
          </w:p>
        </w:tc>
        <w:tc>
          <w:tcPr>
            <w:tcW w:type="dxa" w:w="864"/>
            <w:shd w:val="clear" w:fill="DCE6F1"/>
          </w:tcPr>
          <w:p>
            <w:pPr>
              <w:spacing w:after="0"/>
              <w:jc w:val="center"/>
            </w:pPr>
            <w:r/>
            <w:r>
              <w:rPr>
                <w:b/>
                <w:sz w:val="18"/>
              </w:rPr>
              <w:t>-28.1%</w:t>
            </w:r>
          </w:p>
        </w:tc>
        <w:tc>
          <w:tcPr>
            <w:tcW w:type="dxa" w:w="893"/>
            <w:shd w:val="clear" w:fill="DCE6F1"/>
          </w:tcPr>
          <w:p>
            <w:pPr>
              <w:spacing w:after="0"/>
              <w:jc w:val="center"/>
            </w:pPr>
            <w:r/>
            <w:r>
              <w:rPr>
                <w:b/>
                <w:sz w:val="18"/>
              </w:rPr>
              <w:t>20.6%</w:t>
            </w:r>
          </w:p>
        </w:tc>
        <w:tc>
          <w:tcPr>
            <w:tcW w:type="dxa" w:w="893"/>
            <w:shd w:val="clear" w:fill="DCE6F1"/>
          </w:tcPr>
          <w:p>
            <w:pPr>
              <w:spacing w:after="0"/>
              <w:jc w:val="center"/>
            </w:pPr>
            <w:r/>
            <w:r>
              <w:rPr>
                <w:b/>
                <w:sz w:val="18"/>
              </w:rPr>
              <w:t>-0.02</w:t>
            </w:r>
          </w:p>
        </w:tc>
        <w:tc>
          <w:tcPr>
            <w:tcW w:type="dxa" w:w="864"/>
            <w:shd w:val="clear" w:fill="DCE6F1"/>
          </w:tcPr>
          <w:p>
            <w:pPr>
              <w:spacing w:after="0"/>
              <w:jc w:val="center"/>
            </w:pPr>
            <w:r/>
            <w:r>
              <w:rPr>
                <w:b/>
                <w:sz w:val="18"/>
              </w:rPr>
              <w:t>2.19</w:t>
            </w:r>
          </w:p>
        </w:tc>
      </w:tr>
      <w:tr>
        <w:tc>
          <w:tcPr>
            <w:tcW w:type="dxa" w:w="3168"/>
          </w:tcPr>
          <w:p>
            <w:pPr>
              <w:spacing w:after="0"/>
            </w:pPr>
            <w:r/>
            <w:r>
              <w:rPr>
                <w:sz w:val="18"/>
              </w:rPr>
              <w:t>Combined (all trades at 20 bps)</w:t>
            </w:r>
          </w:p>
        </w:tc>
        <w:tc>
          <w:tcPr>
            <w:tcW w:type="dxa" w:w="893"/>
          </w:tcPr>
          <w:p>
            <w:pPr>
              <w:spacing w:after="0"/>
              <w:jc w:val="center"/>
            </w:pPr>
            <w:r/>
            <w:r>
              <w:rPr>
                <w:sz w:val="18"/>
              </w:rPr>
              <w:t>17.3%</w:t>
            </w:r>
          </w:p>
        </w:tc>
        <w:tc>
          <w:tcPr>
            <w:tcW w:type="dxa" w:w="835"/>
          </w:tcPr>
          <w:p>
            <w:pPr>
              <w:spacing w:after="0"/>
              <w:jc w:val="center"/>
            </w:pPr>
            <w:r/>
            <w:r>
              <w:rPr>
                <w:sz w:val="18"/>
              </w:rPr>
              <w:t>19.8%</w:t>
            </w:r>
          </w:p>
        </w:tc>
        <w:tc>
          <w:tcPr>
            <w:tcW w:type="dxa" w:w="893"/>
          </w:tcPr>
          <w:p>
            <w:pPr>
              <w:spacing w:after="0"/>
              <w:jc w:val="center"/>
            </w:pPr>
            <w:r/>
            <w:r>
              <w:rPr>
                <w:sz w:val="18"/>
              </w:rPr>
              <w:t>0.88</w:t>
            </w:r>
          </w:p>
        </w:tc>
        <w:tc>
          <w:tcPr>
            <w:tcW w:type="dxa" w:w="864"/>
          </w:tcPr>
          <w:p>
            <w:pPr>
              <w:spacing w:after="0"/>
              <w:jc w:val="center"/>
            </w:pPr>
            <w:r/>
            <w:r>
              <w:rPr>
                <w:sz w:val="18"/>
              </w:rPr>
              <w:t>-28.6%</w:t>
            </w:r>
          </w:p>
        </w:tc>
        <w:tc>
          <w:tcPr>
            <w:tcW w:type="dxa" w:w="893"/>
          </w:tcPr>
          <w:p>
            <w:pPr>
              <w:spacing w:after="0"/>
              <w:jc w:val="center"/>
            </w:pPr>
            <w:r/>
            <w:r>
              <w:rPr>
                <w:sz w:val="18"/>
              </w:rPr>
              <w:t>17.8%</w:t>
            </w:r>
          </w:p>
        </w:tc>
        <w:tc>
          <w:tcPr>
            <w:tcW w:type="dxa" w:w="893"/>
          </w:tcPr>
          <w:p>
            <w:pPr>
              <w:spacing w:after="0"/>
              <w:jc w:val="center"/>
            </w:pPr>
            <w:r/>
            <w:r>
              <w:rPr>
                <w:sz w:val="18"/>
              </w:rPr>
              <w:t>-0.02</w:t>
            </w:r>
          </w:p>
        </w:tc>
        <w:tc>
          <w:tcPr>
            <w:tcW w:type="dxa" w:w="864"/>
          </w:tcPr>
          <w:p>
            <w:pPr>
              <w:spacing w:after="0"/>
              <w:jc w:val="center"/>
            </w:pPr>
            <w:r/>
            <w:r>
              <w:rPr>
                <w:sz w:val="18"/>
              </w:rPr>
              <w:t>1.88</w:t>
            </w:r>
          </w:p>
        </w:tc>
      </w:tr>
      <w:tr>
        <w:tc>
          <w:tcPr>
            <w:tcW w:type="dxa" w:w="3168"/>
          </w:tcPr>
          <w:p>
            <w:pPr>
              <w:spacing w:after="0"/>
            </w:pPr>
            <w:r/>
            <w:r>
              <w:rPr>
                <w:sz w:val="18"/>
              </w:rPr>
              <w:t>Momentum ensemble (20 bps market)</w:t>
            </w:r>
          </w:p>
        </w:tc>
        <w:tc>
          <w:tcPr>
            <w:tcW w:type="dxa" w:w="893"/>
          </w:tcPr>
          <w:p>
            <w:pPr>
              <w:spacing w:after="0"/>
              <w:jc w:val="center"/>
            </w:pPr>
            <w:r/>
            <w:r>
              <w:rPr>
                <w:sz w:val="18"/>
              </w:rPr>
              <w:t>22.3%</w:t>
            </w:r>
          </w:p>
        </w:tc>
        <w:tc>
          <w:tcPr>
            <w:tcW w:type="dxa" w:w="835"/>
          </w:tcPr>
          <w:p>
            <w:pPr>
              <w:spacing w:after="0"/>
              <w:jc w:val="center"/>
            </w:pPr>
            <w:r/>
            <w:r>
              <w:rPr>
                <w:sz w:val="18"/>
              </w:rPr>
              <w:t>33.3%</w:t>
            </w:r>
          </w:p>
        </w:tc>
        <w:tc>
          <w:tcPr>
            <w:tcW w:type="dxa" w:w="893"/>
          </w:tcPr>
          <w:p>
            <w:pPr>
              <w:spacing w:after="0"/>
              <w:jc w:val="center"/>
            </w:pPr>
            <w:r/>
            <w:r>
              <w:rPr>
                <w:sz w:val="18"/>
              </w:rPr>
              <w:t>0.67</w:t>
            </w:r>
          </w:p>
        </w:tc>
        <w:tc>
          <w:tcPr>
            <w:tcW w:type="dxa" w:w="864"/>
          </w:tcPr>
          <w:p>
            <w:pPr>
              <w:spacing w:after="0"/>
              <w:jc w:val="center"/>
            </w:pPr>
            <w:r/>
            <w:r>
              <w:rPr>
                <w:sz w:val="18"/>
              </w:rPr>
              <w:t>-31.1%</w:t>
            </w:r>
          </w:p>
        </w:tc>
        <w:tc>
          <w:tcPr>
            <w:tcW w:type="dxa" w:w="893"/>
          </w:tcPr>
          <w:p>
            <w:pPr>
              <w:spacing w:after="0"/>
              <w:jc w:val="center"/>
            </w:pPr>
            <w:r/>
            <w:r>
              <w:rPr>
                <w:sz w:val="18"/>
              </w:rPr>
              <w:t>25.2%</w:t>
            </w:r>
          </w:p>
        </w:tc>
        <w:tc>
          <w:tcPr>
            <w:tcW w:type="dxa" w:w="893"/>
          </w:tcPr>
          <w:p>
            <w:pPr>
              <w:spacing w:after="0"/>
              <w:jc w:val="center"/>
            </w:pPr>
            <w:r/>
            <w:r>
              <w:rPr>
                <w:sz w:val="18"/>
              </w:rPr>
              <w:t>-0.13</w:t>
            </w:r>
          </w:p>
        </w:tc>
        <w:tc>
          <w:tcPr>
            <w:tcW w:type="dxa" w:w="864"/>
          </w:tcPr>
          <w:p>
            <w:pPr>
              <w:spacing w:after="0"/>
              <w:jc w:val="center"/>
            </w:pPr>
            <w:r/>
            <w:r>
              <w:rPr>
                <w:sz w:val="18"/>
              </w:rPr>
              <w:t>1.68</w:t>
            </w:r>
          </w:p>
        </w:tc>
      </w:tr>
      <w:tr>
        <w:tc>
          <w:tcPr>
            <w:tcW w:type="dxa" w:w="3168"/>
          </w:tcPr>
          <w:p>
            <w:pPr>
              <w:spacing w:after="0"/>
            </w:pPr>
            <w:r/>
            <w:r>
              <w:rPr>
                <w:sz w:val="18"/>
              </w:rPr>
              <w:t>Momentum ensemble (7 bps limit)</w:t>
            </w:r>
          </w:p>
        </w:tc>
        <w:tc>
          <w:tcPr>
            <w:tcW w:type="dxa" w:w="893"/>
          </w:tcPr>
          <w:p>
            <w:pPr>
              <w:spacing w:after="0"/>
              <w:jc w:val="center"/>
            </w:pPr>
            <w:r/>
            <w:r>
              <w:rPr>
                <w:sz w:val="18"/>
              </w:rPr>
              <w:t>31.6%</w:t>
            </w:r>
          </w:p>
        </w:tc>
        <w:tc>
          <w:tcPr>
            <w:tcW w:type="dxa" w:w="835"/>
          </w:tcPr>
          <w:p>
            <w:pPr>
              <w:spacing w:after="0"/>
              <w:jc w:val="center"/>
            </w:pPr>
            <w:r/>
            <w:r>
              <w:rPr>
                <w:sz w:val="18"/>
              </w:rPr>
              <w:t>33.3%</w:t>
            </w:r>
          </w:p>
        </w:tc>
        <w:tc>
          <w:tcPr>
            <w:tcW w:type="dxa" w:w="893"/>
          </w:tcPr>
          <w:p>
            <w:pPr>
              <w:spacing w:after="0"/>
              <w:jc w:val="center"/>
            </w:pPr>
            <w:r/>
            <w:r>
              <w:rPr>
                <w:sz w:val="18"/>
              </w:rPr>
              <w:t>0.95</w:t>
            </w:r>
          </w:p>
        </w:tc>
        <w:tc>
          <w:tcPr>
            <w:tcW w:type="dxa" w:w="864"/>
          </w:tcPr>
          <w:p>
            <w:pPr>
              <w:spacing w:after="0"/>
              <w:jc w:val="center"/>
            </w:pPr>
            <w:r/>
            <w:r>
              <w:rPr>
                <w:sz w:val="18"/>
              </w:rPr>
              <w:t>-25.1%</w:t>
            </w:r>
          </w:p>
        </w:tc>
        <w:tc>
          <w:tcPr>
            <w:tcW w:type="dxa" w:w="893"/>
          </w:tcPr>
          <w:p>
            <w:pPr>
              <w:spacing w:after="0"/>
              <w:jc w:val="center"/>
            </w:pPr>
            <w:r/>
            <w:r>
              <w:rPr>
                <w:sz w:val="18"/>
              </w:rPr>
              <w:t>34.6%</w:t>
            </w:r>
          </w:p>
        </w:tc>
        <w:tc>
          <w:tcPr>
            <w:tcW w:type="dxa" w:w="893"/>
          </w:tcPr>
          <w:p>
            <w:pPr>
              <w:spacing w:after="0"/>
              <w:jc w:val="center"/>
            </w:pPr>
            <w:r/>
            <w:r>
              <w:rPr>
                <w:sz w:val="18"/>
              </w:rPr>
              <w:t>-0.13</w:t>
            </w:r>
          </w:p>
        </w:tc>
        <w:tc>
          <w:tcPr>
            <w:tcW w:type="dxa" w:w="864"/>
          </w:tcPr>
          <w:p>
            <w:pPr>
              <w:spacing w:after="0"/>
              <w:jc w:val="center"/>
            </w:pPr>
            <w:r/>
            <w:r>
              <w:rPr>
                <w:sz w:val="18"/>
              </w:rPr>
              <w:t>2.31</w:t>
            </w:r>
          </w:p>
        </w:tc>
      </w:tr>
      <w:tr>
        <w:tc>
          <w:tcPr>
            <w:tcW w:type="dxa" w:w="3168"/>
          </w:tcPr>
          <w:p>
            <w:pPr>
              <w:spacing w:after="0"/>
            </w:pPr>
            <w:r/>
            <w:r>
              <w:rPr>
                <w:sz w:val="18"/>
              </w:rPr>
              <w:t>Reversal (7 bps limit)</w:t>
            </w:r>
          </w:p>
        </w:tc>
        <w:tc>
          <w:tcPr>
            <w:tcW w:type="dxa" w:w="893"/>
          </w:tcPr>
          <w:p>
            <w:pPr>
              <w:spacing w:after="0"/>
              <w:jc w:val="center"/>
            </w:pPr>
            <w:r/>
            <w:r>
              <w:rPr>
                <w:sz w:val="18"/>
              </w:rPr>
              <w:t>18.7%</w:t>
            </w:r>
          </w:p>
        </w:tc>
        <w:tc>
          <w:tcPr>
            <w:tcW w:type="dxa" w:w="835"/>
          </w:tcPr>
          <w:p>
            <w:pPr>
              <w:spacing w:after="0"/>
              <w:jc w:val="center"/>
            </w:pPr>
            <w:r/>
            <w:r>
              <w:rPr>
                <w:sz w:val="18"/>
              </w:rPr>
              <w:t>19.6%</w:t>
            </w:r>
          </w:p>
        </w:tc>
        <w:tc>
          <w:tcPr>
            <w:tcW w:type="dxa" w:w="893"/>
          </w:tcPr>
          <w:p>
            <w:pPr>
              <w:spacing w:after="0"/>
              <w:jc w:val="center"/>
            </w:pPr>
            <w:r/>
            <w:r>
              <w:rPr>
                <w:sz w:val="18"/>
              </w:rPr>
              <w:t>0.95</w:t>
            </w:r>
          </w:p>
        </w:tc>
        <w:tc>
          <w:tcPr>
            <w:tcW w:type="dxa" w:w="864"/>
          </w:tcPr>
          <w:p>
            <w:pPr>
              <w:spacing w:after="0"/>
              <w:jc w:val="center"/>
            </w:pPr>
            <w:r/>
            <w:r>
              <w:rPr>
                <w:sz w:val="18"/>
              </w:rPr>
              <w:t>-33.7%</w:t>
            </w:r>
          </w:p>
        </w:tc>
        <w:tc>
          <w:tcPr>
            <w:tcW w:type="dxa" w:w="893"/>
          </w:tcPr>
          <w:p>
            <w:pPr>
              <w:spacing w:after="0"/>
              <w:jc w:val="center"/>
            </w:pPr>
            <w:r/>
            <w:r>
              <w:rPr>
                <w:sz w:val="18"/>
              </w:rPr>
              <w:t>18.7%</w:t>
            </w:r>
          </w:p>
        </w:tc>
        <w:tc>
          <w:tcPr>
            <w:tcW w:type="dxa" w:w="893"/>
          </w:tcPr>
          <w:p>
            <w:pPr>
              <w:spacing w:after="0"/>
              <w:jc w:val="center"/>
            </w:pPr>
            <w:r/>
            <w:r>
              <w:rPr>
                <w:sz w:val="18"/>
              </w:rPr>
              <w:t>0.00</w:t>
            </w:r>
          </w:p>
        </w:tc>
        <w:tc>
          <w:tcPr>
            <w:tcW w:type="dxa" w:w="864"/>
          </w:tcPr>
          <w:p>
            <w:pPr>
              <w:spacing w:after="0"/>
              <w:jc w:val="center"/>
            </w:pPr>
            <w:r/>
            <w:r>
              <w:rPr>
                <w:sz w:val="18"/>
              </w:rPr>
              <w:t>2.01</w:t>
            </w:r>
          </w:p>
        </w:tc>
      </w:tr>
      <w:tr>
        <w:tc>
          <w:tcPr>
            <w:tcW w:type="dxa" w:w="3168"/>
          </w:tcPr>
          <w:p>
            <w:pPr>
              <w:spacing w:after="0"/>
            </w:pPr>
            <w:r/>
            <w:r>
              <w:rPr>
                <w:sz w:val="18"/>
              </w:rPr>
              <w:t>Reversal (20 bps market)</w:t>
            </w:r>
          </w:p>
        </w:tc>
        <w:tc>
          <w:tcPr>
            <w:tcW w:type="dxa" w:w="893"/>
          </w:tcPr>
          <w:p>
            <w:pPr>
              <w:spacing w:after="0"/>
              <w:jc w:val="center"/>
            </w:pPr>
            <w:r/>
            <w:r>
              <w:rPr>
                <w:sz w:val="18"/>
              </w:rPr>
              <w:t>15.9%</w:t>
            </w:r>
          </w:p>
        </w:tc>
        <w:tc>
          <w:tcPr>
            <w:tcW w:type="dxa" w:w="835"/>
          </w:tcPr>
          <w:p>
            <w:pPr>
              <w:spacing w:after="0"/>
              <w:jc w:val="center"/>
            </w:pPr>
            <w:r/>
            <w:r>
              <w:rPr>
                <w:sz w:val="18"/>
              </w:rPr>
              <w:t>19.6%</w:t>
            </w:r>
          </w:p>
        </w:tc>
        <w:tc>
          <w:tcPr>
            <w:tcW w:type="dxa" w:w="893"/>
          </w:tcPr>
          <w:p>
            <w:pPr>
              <w:spacing w:after="0"/>
              <w:jc w:val="center"/>
            </w:pPr>
            <w:r/>
            <w:r>
              <w:rPr>
                <w:sz w:val="18"/>
              </w:rPr>
              <w:t>0.81</w:t>
            </w:r>
          </w:p>
        </w:tc>
        <w:tc>
          <w:tcPr>
            <w:tcW w:type="dxa" w:w="864"/>
          </w:tcPr>
          <w:p>
            <w:pPr>
              <w:spacing w:after="0"/>
              <w:jc w:val="center"/>
            </w:pPr>
            <w:r/>
            <w:r>
              <w:rPr>
                <w:sz w:val="18"/>
              </w:rPr>
              <w:t>-35.6%</w:t>
            </w:r>
          </w:p>
        </w:tc>
        <w:tc>
          <w:tcPr>
            <w:tcW w:type="dxa" w:w="893"/>
          </w:tcPr>
          <w:p>
            <w:pPr>
              <w:spacing w:after="0"/>
              <w:jc w:val="center"/>
            </w:pPr>
            <w:r/>
            <w:r>
              <w:rPr>
                <w:sz w:val="18"/>
              </w:rPr>
              <w:t>15.9%</w:t>
            </w:r>
          </w:p>
        </w:tc>
        <w:tc>
          <w:tcPr>
            <w:tcW w:type="dxa" w:w="893"/>
          </w:tcPr>
          <w:p>
            <w:pPr>
              <w:spacing w:after="0"/>
              <w:jc w:val="center"/>
            </w:pPr>
            <w:r/>
            <w:r>
              <w:rPr>
                <w:sz w:val="18"/>
              </w:rPr>
              <w:t>0.00</w:t>
            </w:r>
          </w:p>
        </w:tc>
        <w:tc>
          <w:tcPr>
            <w:tcW w:type="dxa" w:w="864"/>
          </w:tcPr>
          <w:p>
            <w:pPr>
              <w:spacing w:after="0"/>
              <w:jc w:val="center"/>
            </w:pPr>
            <w:r/>
            <w:r>
              <w:rPr>
                <w:sz w:val="18"/>
              </w:rPr>
              <w:t>1.71</w:t>
            </w:r>
          </w:p>
        </w:tc>
      </w:tr>
      <w:tr>
        <w:tc>
          <w:tcPr>
            <w:tcW w:type="dxa" w:w="3168"/>
          </w:tcPr>
          <w:p>
            <w:pPr>
              <w:spacing w:after="0"/>
            </w:pPr>
            <w:r/>
            <w:r>
              <w:rPr>
                <w:sz w:val="18"/>
              </w:rPr>
              <w:t>Cointegration pairs (20 bps)</w:t>
            </w:r>
          </w:p>
        </w:tc>
        <w:tc>
          <w:tcPr>
            <w:tcW w:type="dxa" w:w="893"/>
          </w:tcPr>
          <w:p>
            <w:pPr>
              <w:spacing w:after="0"/>
              <w:jc w:val="center"/>
            </w:pPr>
            <w:r/>
            <w:r>
              <w:rPr>
                <w:sz w:val="18"/>
              </w:rPr>
              <w:t>-0.7%</w:t>
            </w:r>
          </w:p>
        </w:tc>
        <w:tc>
          <w:tcPr>
            <w:tcW w:type="dxa" w:w="835"/>
          </w:tcPr>
          <w:p>
            <w:pPr>
              <w:spacing w:after="0"/>
              <w:jc w:val="center"/>
            </w:pPr>
            <w:r/>
            <w:r>
              <w:rPr>
                <w:sz w:val="18"/>
              </w:rPr>
              <w:t>6.6%</w:t>
            </w:r>
          </w:p>
        </w:tc>
        <w:tc>
          <w:tcPr>
            <w:tcW w:type="dxa" w:w="893"/>
          </w:tcPr>
          <w:p>
            <w:pPr>
              <w:spacing w:after="0"/>
              <w:jc w:val="center"/>
            </w:pPr>
            <w:r/>
            <w:r>
              <w:rPr>
                <w:sz w:val="18"/>
              </w:rPr>
              <w:t>-0.11</w:t>
            </w:r>
          </w:p>
        </w:tc>
        <w:tc>
          <w:tcPr>
            <w:tcW w:type="dxa" w:w="864"/>
          </w:tcPr>
          <w:p>
            <w:pPr>
              <w:spacing w:after="0"/>
              <w:jc w:val="center"/>
            </w:pPr>
            <w:r/>
            <w:r>
              <w:rPr>
                <w:sz w:val="18"/>
              </w:rPr>
              <w:t>-12.9%</w:t>
            </w:r>
          </w:p>
        </w:tc>
        <w:tc>
          <w:tcPr>
            <w:tcW w:type="dxa" w:w="893"/>
          </w:tcPr>
          <w:p>
            <w:pPr>
              <w:spacing w:after="0"/>
              <w:jc w:val="center"/>
            </w:pPr>
            <w:r/>
            <w:r>
              <w:rPr>
                <w:sz w:val="18"/>
              </w:rPr>
              <w:t>-0.9%</w:t>
            </w:r>
          </w:p>
        </w:tc>
        <w:tc>
          <w:tcPr>
            <w:tcW w:type="dxa" w:w="893"/>
          </w:tcPr>
          <w:p>
            <w:pPr>
              <w:spacing w:after="0"/>
              <w:jc w:val="center"/>
            </w:pPr>
            <w:r/>
            <w:r>
              <w:rPr>
                <w:sz w:val="18"/>
              </w:rPr>
              <w:t>0.01</w:t>
            </w:r>
          </w:p>
        </w:tc>
        <w:tc>
          <w:tcPr>
            <w:tcW w:type="dxa" w:w="864"/>
          </w:tcPr>
          <w:p>
            <w:pPr>
              <w:spacing w:after="0"/>
              <w:jc w:val="center"/>
            </w:pPr>
            <w:r/>
            <w:r>
              <w:rPr>
                <w:sz w:val="18"/>
              </w:rPr>
              <w:t>-0.32</w:t>
            </w:r>
          </w:p>
        </w:tc>
      </w:tr>
      <w:tr>
        <w:tc>
          <w:tcPr>
            <w:tcW w:type="dxa" w:w="3168"/>
          </w:tcPr>
          <w:p>
            <w:pPr>
              <w:spacing w:after="0"/>
            </w:pPr>
            <w:r/>
            <w:r>
              <w:rPr>
                <w:sz w:val="18"/>
              </w:rPr>
              <w:t>Equal-weight crypto (buy &amp; hold)</w:t>
            </w:r>
          </w:p>
        </w:tc>
        <w:tc>
          <w:tcPr>
            <w:tcW w:type="dxa" w:w="893"/>
          </w:tcPr>
          <w:p>
            <w:pPr>
              <w:spacing w:after="0"/>
              <w:jc w:val="center"/>
            </w:pPr>
            <w:r/>
            <w:r>
              <w:rPr>
                <w:sz w:val="18"/>
              </w:rPr>
              <w:t>9.3%</w:t>
            </w:r>
          </w:p>
        </w:tc>
        <w:tc>
          <w:tcPr>
            <w:tcW w:type="dxa" w:w="835"/>
          </w:tcPr>
          <w:p>
            <w:pPr>
              <w:spacing w:after="0"/>
              <w:jc w:val="center"/>
            </w:pPr>
            <w:r/>
            <w:r>
              <w:rPr>
                <w:sz w:val="18"/>
              </w:rPr>
              <w:t>70.1%</w:t>
            </w:r>
          </w:p>
        </w:tc>
        <w:tc>
          <w:tcPr>
            <w:tcW w:type="dxa" w:w="893"/>
          </w:tcPr>
          <w:p>
            <w:pPr>
              <w:spacing w:after="0"/>
              <w:jc w:val="center"/>
            </w:pPr>
            <w:r/>
            <w:r>
              <w:rPr>
                <w:sz w:val="18"/>
              </w:rPr>
              <w:t>0.13</w:t>
            </w:r>
          </w:p>
        </w:tc>
        <w:tc>
          <w:tcPr>
            <w:tcW w:type="dxa" w:w="864"/>
          </w:tcPr>
          <w:p>
            <w:pPr>
              <w:spacing w:after="0"/>
              <w:jc w:val="center"/>
            </w:pPr>
            <w:r/>
            <w:r>
              <w:rPr>
                <w:sz w:val="18"/>
              </w:rPr>
              <w:t>-77.4%</w:t>
            </w:r>
          </w:p>
        </w:tc>
        <w:tc>
          <w:tcPr>
            <w:tcW w:type="dxa" w:w="893"/>
          </w:tcPr>
          <w:p>
            <w:pPr>
              <w:spacing w:after="0"/>
              <w:jc w:val="center"/>
            </w:pPr>
            <w:r/>
            <w:r>
              <w:rPr>
                <w:sz w:val="18"/>
              </w:rPr>
              <w:t>-17.4%</w:t>
            </w:r>
          </w:p>
        </w:tc>
        <w:tc>
          <w:tcPr>
            <w:tcW w:type="dxa" w:w="893"/>
          </w:tcPr>
          <w:p>
            <w:pPr>
              <w:spacing w:after="0"/>
              <w:jc w:val="center"/>
            </w:pPr>
            <w:r/>
            <w:r>
              <w:rPr>
                <w:sz w:val="18"/>
              </w:rPr>
              <w:t>1.17</w:t>
            </w:r>
          </w:p>
        </w:tc>
        <w:tc>
          <w:tcPr>
            <w:tcW w:type="dxa" w:w="864"/>
          </w:tcPr>
          <w:p>
            <w:pPr>
              <w:spacing w:after="0"/>
              <w:jc w:val="center"/>
            </w:pPr>
            <w:r/>
            <w:r>
              <w:rPr>
                <w:sz w:val="18"/>
              </w:rPr>
              <w:t>-1.00</w:t>
            </w:r>
          </w:p>
        </w:tc>
      </w:tr>
      <w:tr>
        <w:tc>
          <w:tcPr>
            <w:tcW w:type="dxa" w:w="3168"/>
          </w:tcPr>
          <w:p>
            <w:pPr>
              <w:spacing w:after="0"/>
            </w:pPr>
            <w:r/>
            <w:r>
              <w:rPr>
                <w:sz w:val="18"/>
              </w:rPr>
              <w:t>Buy &amp; hold BTC</w:t>
            </w:r>
          </w:p>
        </w:tc>
        <w:tc>
          <w:tcPr>
            <w:tcW w:type="dxa" w:w="893"/>
          </w:tcPr>
          <w:p>
            <w:pPr>
              <w:spacing w:after="0"/>
              <w:jc w:val="center"/>
            </w:pPr>
            <w:r/>
            <w:r>
              <w:rPr>
                <w:sz w:val="18"/>
              </w:rPr>
              <w:t>22.9%</w:t>
            </w:r>
          </w:p>
        </w:tc>
        <w:tc>
          <w:tcPr>
            <w:tcW w:type="dxa" w:w="835"/>
          </w:tcPr>
          <w:p>
            <w:pPr>
              <w:spacing w:after="0"/>
              <w:jc w:val="center"/>
            </w:pPr>
            <w:r/>
            <w:r>
              <w:rPr>
                <w:sz w:val="18"/>
              </w:rPr>
              <w:t>50.8%</w:t>
            </w:r>
          </w:p>
        </w:tc>
        <w:tc>
          <w:tcPr>
            <w:tcW w:type="dxa" w:w="893"/>
          </w:tcPr>
          <w:p>
            <w:pPr>
              <w:spacing w:after="0"/>
              <w:jc w:val="center"/>
            </w:pPr>
            <w:r/>
            <w:r>
              <w:rPr>
                <w:sz w:val="18"/>
              </w:rPr>
              <w:t>0.45</w:t>
            </w:r>
          </w:p>
        </w:tc>
        <w:tc>
          <w:tcPr>
            <w:tcW w:type="dxa" w:w="864"/>
          </w:tcPr>
          <w:p>
            <w:pPr>
              <w:spacing w:after="0"/>
              <w:jc w:val="center"/>
            </w:pPr>
            <w:r/>
            <w:r>
              <w:rPr>
                <w:sz w:val="18"/>
              </w:rPr>
              <w:t>-67.0%</w:t>
            </w:r>
          </w:p>
        </w:tc>
        <w:tc>
          <w:tcPr>
            <w:tcW w:type="dxa" w:w="893"/>
          </w:tcPr>
          <w:p>
            <w:pPr>
              <w:spacing w:after="0"/>
              <w:jc w:val="center"/>
            </w:pPr>
            <w:r/>
            <w:r>
              <w:rPr>
                <w:sz w:val="18"/>
              </w:rPr>
              <w:t>0.0%</w:t>
            </w:r>
          </w:p>
        </w:tc>
        <w:tc>
          <w:tcPr>
            <w:tcW w:type="dxa" w:w="893"/>
          </w:tcPr>
          <w:p>
            <w:pPr>
              <w:spacing w:after="0"/>
              <w:jc w:val="center"/>
            </w:pPr>
            <w:r/>
            <w:r>
              <w:rPr>
                <w:sz w:val="18"/>
              </w:rPr>
              <w:t>1.00</w:t>
            </w:r>
          </w:p>
        </w:tc>
        <w:tc>
          <w:tcPr>
            <w:tcW w:type="dxa" w:w="864"/>
          </w:tcPr>
          <w:p>
            <w:pPr>
              <w:spacing w:after="0"/>
              <w:jc w:val="center"/>
            </w:pPr>
            <w:r/>
            <w:r>
              <w:rPr>
                <w:sz w:val="18"/>
              </w:rPr>
              <w:t>-1.36</w:t>
            </w:r>
          </w:p>
        </w:tc>
      </w:tr>
    </w:tbl>
    <w:p>
      <w:pPr>
        <w:spacing w:after="160"/>
      </w:pPr>
      <w:r>
        <w:rPr>
          <w:i/>
          <w:sz w:val="18"/>
        </w:rPr>
        <w:t>* Momentum at 20 bps (market orders), reversal at 7 bps (limit orders).</w:t>
      </w:r>
    </w:p>
    <w:p>
      <w:pPr>
        <w:keepNext/>
        <w:spacing w:after="60"/>
      </w:pPr>
      <w:r>
        <w:rPr>
          <w:b/>
          <w:sz w:val="20"/>
        </w:rPr>
        <w:t>Table 13. Research period, 2021-12-28 to 2023-12-31.</w:t>
      </w:r>
    </w:p>
    <w:tbl>
      <w:tblPr>
        <w:tblStyle w:val="TableGrid"/>
        <w:tblW w:type="auto" w:w="0"/>
        <w:jc w:val="center"/>
        <w:tblLayout w:type="fixed"/>
        <w:tblLook w:firstColumn="1" w:firstRow="1" w:lastColumn="0" w:lastRow="0" w:noHBand="0" w:noVBand="1" w:val="04A0"/>
      </w:tblPr>
      <w:tblGrid>
        <w:gridCol w:w="3168"/>
        <w:gridCol w:w="892"/>
        <w:gridCol w:w="835"/>
        <w:gridCol w:w="892"/>
        <w:gridCol w:w="864"/>
        <w:gridCol w:w="892"/>
        <w:gridCol w:w="892"/>
        <w:gridCol w:w="864"/>
      </w:tblGrid>
      <w:tr>
        <w:tc>
          <w:tcPr>
            <w:tcW w:type="dxa" w:w="3168"/>
            <w:shd w:val="clear" w:fill="1F3864"/>
          </w:tcPr>
          <w:p>
            <w:pPr>
              <w:jc w:val="left"/>
            </w:pPr>
            <w:r/>
            <w:r>
              <w:rPr>
                <w:b/>
                <w:color w:val="FFFFFF"/>
                <w:sz w:val="18"/>
              </w:rPr>
              <w:t>Strategy</w:t>
            </w:r>
          </w:p>
        </w:tc>
        <w:tc>
          <w:tcPr>
            <w:tcW w:type="dxa" w:w="893"/>
            <w:shd w:val="clear" w:fill="1F3864"/>
          </w:tcPr>
          <w:p>
            <w:pPr>
              <w:jc w:val="center"/>
            </w:pPr>
            <w:r/>
            <w:r>
              <w:rPr>
                <w:b/>
                <w:color w:val="FFFFFF"/>
                <w:sz w:val="18"/>
              </w:rPr>
              <w:t>Ann. return</w:t>
            </w:r>
          </w:p>
        </w:tc>
        <w:tc>
          <w:tcPr>
            <w:tcW w:type="dxa" w:w="835"/>
            <w:shd w:val="clear" w:fill="1F3864"/>
          </w:tcPr>
          <w:p>
            <w:pPr>
              <w:jc w:val="center"/>
            </w:pPr>
            <w:r/>
            <w:r>
              <w:rPr>
                <w:b/>
                <w:color w:val="FFFFFF"/>
                <w:sz w:val="18"/>
              </w:rPr>
              <w:t>Ann. vol</w:t>
            </w:r>
          </w:p>
        </w:tc>
        <w:tc>
          <w:tcPr>
            <w:tcW w:type="dxa" w:w="893"/>
            <w:shd w:val="clear" w:fill="1F3864"/>
          </w:tcPr>
          <w:p>
            <w:pPr>
              <w:jc w:val="center"/>
            </w:pPr>
            <w:r/>
            <w:r>
              <w:rPr>
                <w:b/>
                <w:color w:val="FFFFFF"/>
                <w:sz w:val="18"/>
              </w:rPr>
              <w:t>Sharpe</w:t>
            </w:r>
          </w:p>
        </w:tc>
        <w:tc>
          <w:tcPr>
            <w:tcW w:type="dxa" w:w="864"/>
            <w:shd w:val="clear" w:fill="1F3864"/>
          </w:tcPr>
          <w:p>
            <w:pPr>
              <w:jc w:val="center"/>
            </w:pPr>
            <w:r/>
            <w:r>
              <w:rPr>
                <w:b/>
                <w:color w:val="FFFFFF"/>
                <w:sz w:val="18"/>
              </w:rPr>
              <w:t>Max DD</w:t>
            </w:r>
          </w:p>
        </w:tc>
        <w:tc>
          <w:tcPr>
            <w:tcW w:type="dxa" w:w="893"/>
            <w:shd w:val="clear" w:fill="1F3864"/>
          </w:tcPr>
          <w:p>
            <w:pPr>
              <w:jc w:val="center"/>
            </w:pPr>
            <w:r/>
            <w:r>
              <w:rPr>
                <w:b/>
                <w:color w:val="FFFFFF"/>
                <w:sz w:val="18"/>
              </w:rPr>
              <w:t>Alpha (ann.)</w:t>
            </w:r>
          </w:p>
        </w:tc>
        <w:tc>
          <w:tcPr>
            <w:tcW w:type="dxa" w:w="893"/>
            <w:shd w:val="clear" w:fill="1F3864"/>
          </w:tcPr>
          <w:p>
            <w:pPr>
              <w:jc w:val="center"/>
            </w:pPr>
            <w:r/>
            <w:r>
              <w:rPr>
                <w:b/>
                <w:color w:val="FFFFFF"/>
                <w:sz w:val="18"/>
              </w:rPr>
              <w:t>Beta (BTC)</w:t>
            </w:r>
          </w:p>
        </w:tc>
        <w:tc>
          <w:tcPr>
            <w:tcW w:type="dxa" w:w="864"/>
            <w:shd w:val="clear" w:fill="1F3864"/>
          </w:tcPr>
          <w:p>
            <w:pPr>
              <w:jc w:val="center"/>
            </w:pPr>
            <w:r/>
            <w:r>
              <w:rPr>
                <w:b/>
                <w:color w:val="FFFFFF"/>
                <w:sz w:val="18"/>
              </w:rPr>
              <w:t>Alpha t</w:t>
            </w:r>
          </w:p>
        </w:tc>
      </w:tr>
      <w:tr>
        <w:tc>
          <w:tcPr>
            <w:tcW w:type="dxa" w:w="3168"/>
            <w:shd w:val="clear" w:fill="DCE6F1"/>
          </w:tcPr>
          <w:p>
            <w:pPr>
              <w:spacing w:after="0"/>
            </w:pPr>
            <w:r/>
            <w:r>
              <w:rPr>
                <w:b/>
                <w:sz w:val="18"/>
              </w:rPr>
              <w:t>Combined portfolio *</w:t>
            </w:r>
          </w:p>
        </w:tc>
        <w:tc>
          <w:tcPr>
            <w:tcW w:type="dxa" w:w="893"/>
            <w:shd w:val="clear" w:fill="DCE6F1"/>
          </w:tcPr>
          <w:p>
            <w:pPr>
              <w:spacing w:after="0"/>
              <w:jc w:val="center"/>
            </w:pPr>
            <w:r/>
            <w:r>
              <w:rPr>
                <w:b/>
                <w:sz w:val="18"/>
              </w:rPr>
              <w:t>32.9%</w:t>
            </w:r>
          </w:p>
        </w:tc>
        <w:tc>
          <w:tcPr>
            <w:tcW w:type="dxa" w:w="835"/>
            <w:shd w:val="clear" w:fill="DCE6F1"/>
          </w:tcPr>
          <w:p>
            <w:pPr>
              <w:spacing w:after="0"/>
              <w:jc w:val="center"/>
            </w:pPr>
            <w:r/>
            <w:r>
              <w:rPr>
                <w:b/>
                <w:sz w:val="18"/>
              </w:rPr>
              <w:t>19.2%</w:t>
            </w:r>
          </w:p>
        </w:tc>
        <w:tc>
          <w:tcPr>
            <w:tcW w:type="dxa" w:w="893"/>
            <w:shd w:val="clear" w:fill="DCE6F1"/>
          </w:tcPr>
          <w:p>
            <w:pPr>
              <w:spacing w:after="0"/>
              <w:jc w:val="center"/>
            </w:pPr>
            <w:r/>
            <w:r>
              <w:rPr>
                <w:b/>
                <w:sz w:val="18"/>
              </w:rPr>
              <w:t>1.71</w:t>
            </w:r>
          </w:p>
        </w:tc>
        <w:tc>
          <w:tcPr>
            <w:tcW w:type="dxa" w:w="864"/>
            <w:shd w:val="clear" w:fill="DCE6F1"/>
          </w:tcPr>
          <w:p>
            <w:pPr>
              <w:spacing w:after="0"/>
              <w:jc w:val="center"/>
            </w:pPr>
            <w:r/>
            <w:r>
              <w:rPr>
                <w:b/>
                <w:sz w:val="18"/>
              </w:rPr>
              <w:t>-12.6%</w:t>
            </w:r>
          </w:p>
        </w:tc>
        <w:tc>
          <w:tcPr>
            <w:tcW w:type="dxa" w:w="893"/>
            <w:shd w:val="clear" w:fill="DCE6F1"/>
          </w:tcPr>
          <w:p>
            <w:pPr>
              <w:spacing w:after="0"/>
              <w:jc w:val="center"/>
            </w:pPr>
            <w:r/>
            <w:r>
              <w:rPr>
                <w:b/>
                <w:sz w:val="18"/>
              </w:rPr>
              <w:t>33.0%</w:t>
            </w:r>
          </w:p>
        </w:tc>
        <w:tc>
          <w:tcPr>
            <w:tcW w:type="dxa" w:w="893"/>
            <w:shd w:val="clear" w:fill="DCE6F1"/>
          </w:tcPr>
          <w:p>
            <w:pPr>
              <w:spacing w:after="0"/>
              <w:jc w:val="center"/>
            </w:pPr>
            <w:r/>
            <w:r>
              <w:rPr>
                <w:b/>
                <w:sz w:val="18"/>
              </w:rPr>
              <w:t>-0.02</w:t>
            </w:r>
          </w:p>
        </w:tc>
        <w:tc>
          <w:tcPr>
            <w:tcW w:type="dxa" w:w="864"/>
            <w:shd w:val="clear" w:fill="DCE6F1"/>
          </w:tcPr>
          <w:p>
            <w:pPr>
              <w:spacing w:after="0"/>
              <w:jc w:val="center"/>
            </w:pPr>
            <w:r/>
            <w:r>
              <w:rPr>
                <w:b/>
                <w:sz w:val="18"/>
              </w:rPr>
              <w:t>2.42</w:t>
            </w:r>
          </w:p>
        </w:tc>
      </w:tr>
      <w:tr>
        <w:tc>
          <w:tcPr>
            <w:tcW w:type="dxa" w:w="3168"/>
          </w:tcPr>
          <w:p>
            <w:pPr>
              <w:spacing w:after="0"/>
            </w:pPr>
            <w:r/>
            <w:r>
              <w:rPr>
                <w:sz w:val="18"/>
              </w:rPr>
              <w:t>Combined (all trades at 20 bps)</w:t>
            </w:r>
          </w:p>
        </w:tc>
        <w:tc>
          <w:tcPr>
            <w:tcW w:type="dxa" w:w="893"/>
          </w:tcPr>
          <w:p>
            <w:pPr>
              <w:spacing w:after="0"/>
              <w:jc w:val="center"/>
            </w:pPr>
            <w:r/>
            <w:r>
              <w:rPr>
                <w:sz w:val="18"/>
              </w:rPr>
              <w:t>30.9%</w:t>
            </w:r>
          </w:p>
        </w:tc>
        <w:tc>
          <w:tcPr>
            <w:tcW w:type="dxa" w:w="835"/>
          </w:tcPr>
          <w:p>
            <w:pPr>
              <w:spacing w:after="0"/>
              <w:jc w:val="center"/>
            </w:pPr>
            <w:r/>
            <w:r>
              <w:rPr>
                <w:sz w:val="18"/>
              </w:rPr>
              <w:t>19.4%</w:t>
            </w:r>
          </w:p>
        </w:tc>
        <w:tc>
          <w:tcPr>
            <w:tcW w:type="dxa" w:w="893"/>
          </w:tcPr>
          <w:p>
            <w:pPr>
              <w:spacing w:after="0"/>
              <w:jc w:val="center"/>
            </w:pPr>
            <w:r/>
            <w:r>
              <w:rPr>
                <w:sz w:val="18"/>
              </w:rPr>
              <w:t>1.59</w:t>
            </w:r>
          </w:p>
        </w:tc>
        <w:tc>
          <w:tcPr>
            <w:tcW w:type="dxa" w:w="864"/>
          </w:tcPr>
          <w:p>
            <w:pPr>
              <w:spacing w:after="0"/>
              <w:jc w:val="center"/>
            </w:pPr>
            <w:r/>
            <w:r>
              <w:rPr>
                <w:sz w:val="18"/>
              </w:rPr>
              <w:t>-13.5%</w:t>
            </w:r>
          </w:p>
        </w:tc>
        <w:tc>
          <w:tcPr>
            <w:tcW w:type="dxa" w:w="893"/>
          </w:tcPr>
          <w:p>
            <w:pPr>
              <w:spacing w:after="0"/>
              <w:jc w:val="center"/>
            </w:pPr>
            <w:r/>
            <w:r>
              <w:rPr>
                <w:sz w:val="18"/>
              </w:rPr>
              <w:t>31.0%</w:t>
            </w:r>
          </w:p>
        </w:tc>
        <w:tc>
          <w:tcPr>
            <w:tcW w:type="dxa" w:w="893"/>
          </w:tcPr>
          <w:p>
            <w:pPr>
              <w:spacing w:after="0"/>
              <w:jc w:val="center"/>
            </w:pPr>
            <w:r/>
            <w:r>
              <w:rPr>
                <w:sz w:val="18"/>
              </w:rPr>
              <w:t>-0.02</w:t>
            </w:r>
          </w:p>
        </w:tc>
        <w:tc>
          <w:tcPr>
            <w:tcW w:type="dxa" w:w="864"/>
          </w:tcPr>
          <w:p>
            <w:pPr>
              <w:spacing w:after="0"/>
              <w:jc w:val="center"/>
            </w:pPr>
            <w:r/>
            <w:r>
              <w:rPr>
                <w:sz w:val="18"/>
              </w:rPr>
              <w:t>2.25</w:t>
            </w:r>
          </w:p>
        </w:tc>
      </w:tr>
      <w:tr>
        <w:tc>
          <w:tcPr>
            <w:tcW w:type="dxa" w:w="3168"/>
          </w:tcPr>
          <w:p>
            <w:pPr>
              <w:spacing w:after="0"/>
            </w:pPr>
            <w:r/>
            <w:r>
              <w:rPr>
                <w:sz w:val="18"/>
              </w:rPr>
              <w:t>Momentum ensemble (20 bps market)</w:t>
            </w:r>
          </w:p>
        </w:tc>
        <w:tc>
          <w:tcPr>
            <w:tcW w:type="dxa" w:w="893"/>
          </w:tcPr>
          <w:p>
            <w:pPr>
              <w:spacing w:after="0"/>
              <w:jc w:val="center"/>
            </w:pPr>
            <w:r/>
            <w:r>
              <w:rPr>
                <w:sz w:val="18"/>
              </w:rPr>
              <w:t>43.7%</w:t>
            </w:r>
          </w:p>
        </w:tc>
        <w:tc>
          <w:tcPr>
            <w:tcW w:type="dxa" w:w="835"/>
          </w:tcPr>
          <w:p>
            <w:pPr>
              <w:spacing w:after="0"/>
              <w:jc w:val="center"/>
            </w:pPr>
            <w:r/>
            <w:r>
              <w:rPr>
                <w:sz w:val="18"/>
              </w:rPr>
              <w:t>36.7%</w:t>
            </w:r>
          </w:p>
        </w:tc>
        <w:tc>
          <w:tcPr>
            <w:tcW w:type="dxa" w:w="893"/>
          </w:tcPr>
          <w:p>
            <w:pPr>
              <w:spacing w:after="0"/>
              <w:jc w:val="center"/>
            </w:pPr>
            <w:r/>
            <w:r>
              <w:rPr>
                <w:sz w:val="18"/>
              </w:rPr>
              <w:t>1.19</w:t>
            </w:r>
          </w:p>
        </w:tc>
        <w:tc>
          <w:tcPr>
            <w:tcW w:type="dxa" w:w="864"/>
          </w:tcPr>
          <w:p>
            <w:pPr>
              <w:spacing w:after="0"/>
              <w:jc w:val="center"/>
            </w:pPr>
            <w:r/>
            <w:r>
              <w:rPr>
                <w:sz w:val="18"/>
              </w:rPr>
              <w:t>-28.0%</w:t>
            </w:r>
          </w:p>
        </w:tc>
        <w:tc>
          <w:tcPr>
            <w:tcW w:type="dxa" w:w="893"/>
          </w:tcPr>
          <w:p>
            <w:pPr>
              <w:spacing w:after="0"/>
              <w:jc w:val="center"/>
            </w:pPr>
            <w:r/>
            <w:r>
              <w:rPr>
                <w:sz w:val="18"/>
              </w:rPr>
              <w:t>44.5%</w:t>
            </w:r>
          </w:p>
        </w:tc>
        <w:tc>
          <w:tcPr>
            <w:tcW w:type="dxa" w:w="893"/>
          </w:tcPr>
          <w:p>
            <w:pPr>
              <w:spacing w:after="0"/>
              <w:jc w:val="center"/>
            </w:pPr>
            <w:r/>
            <w:r>
              <w:rPr>
                <w:sz w:val="18"/>
              </w:rPr>
              <w:t>-0.14</w:t>
            </w:r>
          </w:p>
        </w:tc>
        <w:tc>
          <w:tcPr>
            <w:tcW w:type="dxa" w:w="864"/>
          </w:tcPr>
          <w:p>
            <w:pPr>
              <w:spacing w:after="0"/>
              <w:jc w:val="center"/>
            </w:pPr>
            <w:r/>
            <w:r>
              <w:rPr>
                <w:sz w:val="18"/>
              </w:rPr>
              <w:t>1.76</w:t>
            </w:r>
          </w:p>
        </w:tc>
      </w:tr>
      <w:tr>
        <w:tc>
          <w:tcPr>
            <w:tcW w:type="dxa" w:w="3168"/>
          </w:tcPr>
          <w:p>
            <w:pPr>
              <w:spacing w:after="0"/>
            </w:pPr>
            <w:r/>
            <w:r>
              <w:rPr>
                <w:sz w:val="18"/>
              </w:rPr>
              <w:t>Momentum ensemble (7 bps limit)</w:t>
            </w:r>
          </w:p>
        </w:tc>
        <w:tc>
          <w:tcPr>
            <w:tcW w:type="dxa" w:w="893"/>
          </w:tcPr>
          <w:p>
            <w:pPr>
              <w:spacing w:after="0"/>
              <w:jc w:val="center"/>
            </w:pPr>
            <w:r/>
            <w:r>
              <w:rPr>
                <w:sz w:val="18"/>
              </w:rPr>
              <w:t>52.7%</w:t>
            </w:r>
          </w:p>
        </w:tc>
        <w:tc>
          <w:tcPr>
            <w:tcW w:type="dxa" w:w="835"/>
          </w:tcPr>
          <w:p>
            <w:pPr>
              <w:spacing w:after="0"/>
              <w:jc w:val="center"/>
            </w:pPr>
            <w:r/>
            <w:r>
              <w:rPr>
                <w:sz w:val="18"/>
              </w:rPr>
              <w:t>36.7%</w:t>
            </w:r>
          </w:p>
        </w:tc>
        <w:tc>
          <w:tcPr>
            <w:tcW w:type="dxa" w:w="893"/>
          </w:tcPr>
          <w:p>
            <w:pPr>
              <w:spacing w:after="0"/>
              <w:jc w:val="center"/>
            </w:pPr>
            <w:r/>
            <w:r>
              <w:rPr>
                <w:sz w:val="18"/>
              </w:rPr>
              <w:t>1.44</w:t>
            </w:r>
          </w:p>
        </w:tc>
        <w:tc>
          <w:tcPr>
            <w:tcW w:type="dxa" w:w="864"/>
          </w:tcPr>
          <w:p>
            <w:pPr>
              <w:spacing w:after="0"/>
              <w:jc w:val="center"/>
            </w:pPr>
            <w:r/>
            <w:r>
              <w:rPr>
                <w:sz w:val="18"/>
              </w:rPr>
              <w:t>-25.1%</w:t>
            </w:r>
          </w:p>
        </w:tc>
        <w:tc>
          <w:tcPr>
            <w:tcW w:type="dxa" w:w="893"/>
          </w:tcPr>
          <w:p>
            <w:pPr>
              <w:spacing w:after="0"/>
              <w:jc w:val="center"/>
            </w:pPr>
            <w:r/>
            <w:r>
              <w:rPr>
                <w:sz w:val="18"/>
              </w:rPr>
              <w:t>53.6%</w:t>
            </w:r>
          </w:p>
        </w:tc>
        <w:tc>
          <w:tcPr>
            <w:tcW w:type="dxa" w:w="893"/>
          </w:tcPr>
          <w:p>
            <w:pPr>
              <w:spacing w:after="0"/>
              <w:jc w:val="center"/>
            </w:pPr>
            <w:r/>
            <w:r>
              <w:rPr>
                <w:sz w:val="18"/>
              </w:rPr>
              <w:t>-0.14</w:t>
            </w:r>
          </w:p>
        </w:tc>
        <w:tc>
          <w:tcPr>
            <w:tcW w:type="dxa" w:w="864"/>
          </w:tcPr>
          <w:p>
            <w:pPr>
              <w:spacing w:after="0"/>
              <w:jc w:val="center"/>
            </w:pPr>
            <w:r/>
            <w:r>
              <w:rPr>
                <w:sz w:val="18"/>
              </w:rPr>
              <w:t>2.13</w:t>
            </w:r>
          </w:p>
        </w:tc>
      </w:tr>
      <w:tr>
        <w:tc>
          <w:tcPr>
            <w:tcW w:type="dxa" w:w="3168"/>
          </w:tcPr>
          <w:p>
            <w:pPr>
              <w:spacing w:after="0"/>
            </w:pPr>
            <w:r/>
            <w:r>
              <w:rPr>
                <w:sz w:val="18"/>
              </w:rPr>
              <w:t>Reversal (7 bps limit)</w:t>
            </w:r>
          </w:p>
        </w:tc>
        <w:tc>
          <w:tcPr>
            <w:tcW w:type="dxa" w:w="893"/>
          </w:tcPr>
          <w:p>
            <w:pPr>
              <w:spacing w:after="0"/>
              <w:jc w:val="center"/>
            </w:pPr>
            <w:r/>
            <w:r>
              <w:rPr>
                <w:sz w:val="18"/>
              </w:rPr>
              <w:t>15.6%</w:t>
            </w:r>
          </w:p>
        </w:tc>
        <w:tc>
          <w:tcPr>
            <w:tcW w:type="dxa" w:w="835"/>
          </w:tcPr>
          <w:p>
            <w:pPr>
              <w:spacing w:after="0"/>
              <w:jc w:val="center"/>
            </w:pPr>
            <w:r/>
            <w:r>
              <w:rPr>
                <w:sz w:val="18"/>
              </w:rPr>
              <w:t>17.7%</w:t>
            </w:r>
          </w:p>
        </w:tc>
        <w:tc>
          <w:tcPr>
            <w:tcW w:type="dxa" w:w="893"/>
          </w:tcPr>
          <w:p>
            <w:pPr>
              <w:spacing w:after="0"/>
              <w:jc w:val="center"/>
            </w:pPr>
            <w:r/>
            <w:r>
              <w:rPr>
                <w:sz w:val="18"/>
              </w:rPr>
              <w:t>0.89</w:t>
            </w:r>
          </w:p>
        </w:tc>
        <w:tc>
          <w:tcPr>
            <w:tcW w:type="dxa" w:w="864"/>
          </w:tcPr>
          <w:p>
            <w:pPr>
              <w:spacing w:after="0"/>
              <w:jc w:val="center"/>
            </w:pPr>
            <w:r/>
            <w:r>
              <w:rPr>
                <w:sz w:val="18"/>
              </w:rPr>
              <w:t>-26.1%</w:t>
            </w:r>
          </w:p>
        </w:tc>
        <w:tc>
          <w:tcPr>
            <w:tcW w:type="dxa" w:w="893"/>
          </w:tcPr>
          <w:p>
            <w:pPr>
              <w:spacing w:after="0"/>
              <w:jc w:val="center"/>
            </w:pPr>
            <w:r/>
            <w:r>
              <w:rPr>
                <w:sz w:val="18"/>
              </w:rPr>
              <w:t>15.6%</w:t>
            </w:r>
          </w:p>
        </w:tc>
        <w:tc>
          <w:tcPr>
            <w:tcW w:type="dxa" w:w="893"/>
          </w:tcPr>
          <w:p>
            <w:pPr>
              <w:spacing w:after="0"/>
              <w:jc w:val="center"/>
            </w:pPr>
            <w:r/>
            <w:r>
              <w:rPr>
                <w:sz w:val="18"/>
              </w:rPr>
              <w:t>0.00</w:t>
            </w:r>
          </w:p>
        </w:tc>
        <w:tc>
          <w:tcPr>
            <w:tcW w:type="dxa" w:w="864"/>
          </w:tcPr>
          <w:p>
            <w:pPr>
              <w:spacing w:after="0"/>
              <w:jc w:val="center"/>
            </w:pPr>
            <w:r/>
            <w:r>
              <w:rPr>
                <w:sz w:val="18"/>
              </w:rPr>
              <w:t>1.24</w:t>
            </w:r>
          </w:p>
        </w:tc>
      </w:tr>
      <w:tr>
        <w:tc>
          <w:tcPr>
            <w:tcW w:type="dxa" w:w="3168"/>
          </w:tcPr>
          <w:p>
            <w:pPr>
              <w:spacing w:after="0"/>
            </w:pPr>
            <w:r/>
            <w:r>
              <w:rPr>
                <w:sz w:val="18"/>
              </w:rPr>
              <w:t>Reversal (20 bps market)</w:t>
            </w:r>
          </w:p>
        </w:tc>
        <w:tc>
          <w:tcPr>
            <w:tcW w:type="dxa" w:w="893"/>
          </w:tcPr>
          <w:p>
            <w:pPr>
              <w:spacing w:after="0"/>
              <w:jc w:val="center"/>
            </w:pPr>
            <w:r/>
            <w:r>
              <w:rPr>
                <w:sz w:val="18"/>
              </w:rPr>
              <w:t>12.8%</w:t>
            </w:r>
          </w:p>
        </w:tc>
        <w:tc>
          <w:tcPr>
            <w:tcW w:type="dxa" w:w="835"/>
          </w:tcPr>
          <w:p>
            <w:pPr>
              <w:spacing w:after="0"/>
              <w:jc w:val="center"/>
            </w:pPr>
            <w:r/>
            <w:r>
              <w:rPr>
                <w:sz w:val="18"/>
              </w:rPr>
              <w:t>17.7%</w:t>
            </w:r>
          </w:p>
        </w:tc>
        <w:tc>
          <w:tcPr>
            <w:tcW w:type="dxa" w:w="893"/>
          </w:tcPr>
          <w:p>
            <w:pPr>
              <w:spacing w:after="0"/>
              <w:jc w:val="center"/>
            </w:pPr>
            <w:r/>
            <w:r>
              <w:rPr>
                <w:sz w:val="18"/>
              </w:rPr>
              <w:t>0.73</w:t>
            </w:r>
          </w:p>
        </w:tc>
        <w:tc>
          <w:tcPr>
            <w:tcW w:type="dxa" w:w="864"/>
          </w:tcPr>
          <w:p>
            <w:pPr>
              <w:spacing w:after="0"/>
              <w:jc w:val="center"/>
            </w:pPr>
            <w:r/>
            <w:r>
              <w:rPr>
                <w:sz w:val="18"/>
              </w:rPr>
              <w:t>-26.4%</w:t>
            </w:r>
          </w:p>
        </w:tc>
        <w:tc>
          <w:tcPr>
            <w:tcW w:type="dxa" w:w="893"/>
          </w:tcPr>
          <w:p>
            <w:pPr>
              <w:spacing w:after="0"/>
              <w:jc w:val="center"/>
            </w:pPr>
            <w:r/>
            <w:r>
              <w:rPr>
                <w:sz w:val="18"/>
              </w:rPr>
              <w:t>12.8%</w:t>
            </w:r>
          </w:p>
        </w:tc>
        <w:tc>
          <w:tcPr>
            <w:tcW w:type="dxa" w:w="893"/>
          </w:tcPr>
          <w:p>
            <w:pPr>
              <w:spacing w:after="0"/>
              <w:jc w:val="center"/>
            </w:pPr>
            <w:r/>
            <w:r>
              <w:rPr>
                <w:sz w:val="18"/>
              </w:rPr>
              <w:t>0.00</w:t>
            </w:r>
          </w:p>
        </w:tc>
        <w:tc>
          <w:tcPr>
            <w:tcW w:type="dxa" w:w="864"/>
          </w:tcPr>
          <w:p>
            <w:pPr>
              <w:spacing w:after="0"/>
              <w:jc w:val="center"/>
            </w:pPr>
            <w:r/>
            <w:r>
              <w:rPr>
                <w:sz w:val="18"/>
              </w:rPr>
              <w:t>1.02</w:t>
            </w:r>
          </w:p>
        </w:tc>
      </w:tr>
      <w:tr>
        <w:tc>
          <w:tcPr>
            <w:tcW w:type="dxa" w:w="3168"/>
          </w:tcPr>
          <w:p>
            <w:pPr>
              <w:spacing w:after="0"/>
            </w:pPr>
            <w:r/>
            <w:r>
              <w:rPr>
                <w:sz w:val="18"/>
              </w:rPr>
              <w:t>Cointegration pairs (20 bps)</w:t>
            </w:r>
          </w:p>
        </w:tc>
        <w:tc>
          <w:tcPr>
            <w:tcW w:type="dxa" w:w="893"/>
          </w:tcPr>
          <w:p>
            <w:pPr>
              <w:spacing w:after="0"/>
              <w:jc w:val="center"/>
            </w:pPr>
            <w:r/>
            <w:r>
              <w:rPr>
                <w:sz w:val="18"/>
              </w:rPr>
              <w:t>1.3%</w:t>
            </w:r>
          </w:p>
        </w:tc>
        <w:tc>
          <w:tcPr>
            <w:tcW w:type="dxa" w:w="835"/>
          </w:tcPr>
          <w:p>
            <w:pPr>
              <w:spacing w:after="0"/>
              <w:jc w:val="center"/>
            </w:pPr>
            <w:r/>
            <w:r>
              <w:rPr>
                <w:sz w:val="18"/>
              </w:rPr>
              <w:t>7.2%</w:t>
            </w:r>
          </w:p>
        </w:tc>
        <w:tc>
          <w:tcPr>
            <w:tcW w:type="dxa" w:w="893"/>
          </w:tcPr>
          <w:p>
            <w:pPr>
              <w:spacing w:after="0"/>
              <w:jc w:val="center"/>
            </w:pPr>
            <w:r/>
            <w:r>
              <w:rPr>
                <w:sz w:val="18"/>
              </w:rPr>
              <w:t>0.19</w:t>
            </w:r>
          </w:p>
        </w:tc>
        <w:tc>
          <w:tcPr>
            <w:tcW w:type="dxa" w:w="864"/>
          </w:tcPr>
          <w:p>
            <w:pPr>
              <w:spacing w:after="0"/>
              <w:jc w:val="center"/>
            </w:pPr>
            <w:r/>
            <w:r>
              <w:rPr>
                <w:sz w:val="18"/>
              </w:rPr>
              <w:t>-6.0%</w:t>
            </w:r>
          </w:p>
        </w:tc>
        <w:tc>
          <w:tcPr>
            <w:tcW w:type="dxa" w:w="893"/>
          </w:tcPr>
          <w:p>
            <w:pPr>
              <w:spacing w:after="0"/>
              <w:jc w:val="center"/>
            </w:pPr>
            <w:r/>
            <w:r>
              <w:rPr>
                <w:sz w:val="18"/>
              </w:rPr>
              <w:t>1.3%</w:t>
            </w:r>
          </w:p>
        </w:tc>
        <w:tc>
          <w:tcPr>
            <w:tcW w:type="dxa" w:w="893"/>
          </w:tcPr>
          <w:p>
            <w:pPr>
              <w:spacing w:after="0"/>
              <w:jc w:val="center"/>
            </w:pPr>
            <w:r/>
            <w:r>
              <w:rPr>
                <w:sz w:val="18"/>
              </w:rPr>
              <w:t>0.01</w:t>
            </w:r>
          </w:p>
        </w:tc>
        <w:tc>
          <w:tcPr>
            <w:tcW w:type="dxa" w:w="864"/>
          </w:tcPr>
          <w:p>
            <w:pPr>
              <w:spacing w:after="0"/>
              <w:jc w:val="center"/>
            </w:pPr>
            <w:r/>
            <w:r>
              <w:rPr>
                <w:sz w:val="18"/>
              </w:rPr>
              <w:t>0.29</w:t>
            </w:r>
          </w:p>
        </w:tc>
      </w:tr>
      <w:tr>
        <w:tc>
          <w:tcPr>
            <w:tcW w:type="dxa" w:w="3168"/>
          </w:tcPr>
          <w:p>
            <w:pPr>
              <w:spacing w:after="0"/>
            </w:pPr>
            <w:r/>
            <w:r>
              <w:rPr>
                <w:sz w:val="18"/>
              </w:rPr>
              <w:t>Equal-weight crypto (buy &amp; hold)</w:t>
            </w:r>
          </w:p>
        </w:tc>
        <w:tc>
          <w:tcPr>
            <w:tcW w:type="dxa" w:w="893"/>
          </w:tcPr>
          <w:p>
            <w:pPr>
              <w:spacing w:after="0"/>
              <w:jc w:val="center"/>
            </w:pPr>
            <w:r/>
            <w:r>
              <w:rPr>
                <w:sz w:val="18"/>
              </w:rPr>
              <w:t>-6.7%</w:t>
            </w:r>
          </w:p>
        </w:tc>
        <w:tc>
          <w:tcPr>
            <w:tcW w:type="dxa" w:w="835"/>
          </w:tcPr>
          <w:p>
            <w:pPr>
              <w:spacing w:after="0"/>
              <w:jc w:val="center"/>
            </w:pPr>
            <w:r/>
            <w:r>
              <w:rPr>
                <w:sz w:val="18"/>
              </w:rPr>
              <w:t>72.7%</w:t>
            </w:r>
          </w:p>
        </w:tc>
        <w:tc>
          <w:tcPr>
            <w:tcW w:type="dxa" w:w="893"/>
          </w:tcPr>
          <w:p>
            <w:pPr>
              <w:spacing w:after="0"/>
              <w:jc w:val="center"/>
            </w:pPr>
            <w:r/>
            <w:r>
              <w:rPr>
                <w:sz w:val="18"/>
              </w:rPr>
              <w:t>-0.09</w:t>
            </w:r>
          </w:p>
        </w:tc>
        <w:tc>
          <w:tcPr>
            <w:tcW w:type="dxa" w:w="864"/>
          </w:tcPr>
          <w:p>
            <w:pPr>
              <w:spacing w:after="0"/>
              <w:jc w:val="center"/>
            </w:pPr>
            <w:r/>
            <w:r>
              <w:rPr>
                <w:sz w:val="18"/>
              </w:rPr>
              <w:t>-77.4%</w:t>
            </w:r>
          </w:p>
        </w:tc>
        <w:tc>
          <w:tcPr>
            <w:tcW w:type="dxa" w:w="893"/>
          </w:tcPr>
          <w:p>
            <w:pPr>
              <w:spacing w:after="0"/>
              <w:jc w:val="center"/>
            </w:pPr>
            <w:r/>
            <w:r>
              <w:rPr>
                <w:sz w:val="18"/>
              </w:rPr>
              <w:t>-13.8%</w:t>
            </w:r>
          </w:p>
        </w:tc>
        <w:tc>
          <w:tcPr>
            <w:tcW w:type="dxa" w:w="893"/>
          </w:tcPr>
          <w:p>
            <w:pPr>
              <w:spacing w:after="0"/>
              <w:jc w:val="center"/>
            </w:pPr>
            <w:r/>
            <w:r>
              <w:rPr>
                <w:sz w:val="18"/>
              </w:rPr>
              <w:t>1.14</w:t>
            </w:r>
          </w:p>
        </w:tc>
        <w:tc>
          <w:tcPr>
            <w:tcW w:type="dxa" w:w="864"/>
          </w:tcPr>
          <w:p>
            <w:pPr>
              <w:spacing w:after="0"/>
              <w:jc w:val="center"/>
            </w:pPr>
            <w:r/>
            <w:r>
              <w:rPr>
                <w:sz w:val="18"/>
              </w:rPr>
              <w:t>-0.52</w:t>
            </w:r>
          </w:p>
        </w:tc>
      </w:tr>
      <w:tr>
        <w:tc>
          <w:tcPr>
            <w:tcW w:type="dxa" w:w="3168"/>
          </w:tcPr>
          <w:p>
            <w:pPr>
              <w:spacing w:after="0"/>
            </w:pPr>
            <w:r/>
            <w:r>
              <w:rPr>
                <w:sz w:val="18"/>
              </w:rPr>
              <w:t>Buy &amp; hold BTC</w:t>
            </w:r>
          </w:p>
        </w:tc>
        <w:tc>
          <w:tcPr>
            <w:tcW w:type="dxa" w:w="893"/>
          </w:tcPr>
          <w:p>
            <w:pPr>
              <w:spacing w:after="0"/>
              <w:jc w:val="center"/>
            </w:pPr>
            <w:r/>
            <w:r>
              <w:rPr>
                <w:sz w:val="18"/>
              </w:rPr>
              <w:t>6.2%</w:t>
            </w:r>
          </w:p>
        </w:tc>
        <w:tc>
          <w:tcPr>
            <w:tcW w:type="dxa" w:w="835"/>
          </w:tcPr>
          <w:p>
            <w:pPr>
              <w:spacing w:after="0"/>
              <w:jc w:val="center"/>
            </w:pPr>
            <w:r/>
            <w:r>
              <w:rPr>
                <w:sz w:val="18"/>
              </w:rPr>
              <w:t>55.1%</w:t>
            </w:r>
          </w:p>
        </w:tc>
        <w:tc>
          <w:tcPr>
            <w:tcW w:type="dxa" w:w="893"/>
          </w:tcPr>
          <w:p>
            <w:pPr>
              <w:spacing w:after="0"/>
              <w:jc w:val="center"/>
            </w:pPr>
            <w:r/>
            <w:r>
              <w:rPr>
                <w:sz w:val="18"/>
              </w:rPr>
              <w:t>0.11</w:t>
            </w:r>
          </w:p>
        </w:tc>
        <w:tc>
          <w:tcPr>
            <w:tcW w:type="dxa" w:w="864"/>
          </w:tcPr>
          <w:p>
            <w:pPr>
              <w:spacing w:after="0"/>
              <w:jc w:val="center"/>
            </w:pPr>
            <w:r/>
            <w:r>
              <w:rPr>
                <w:sz w:val="18"/>
              </w:rPr>
              <w:t>-67.0%</w:t>
            </w:r>
          </w:p>
        </w:tc>
        <w:tc>
          <w:tcPr>
            <w:tcW w:type="dxa" w:w="893"/>
          </w:tcPr>
          <w:p>
            <w:pPr>
              <w:spacing w:after="0"/>
              <w:jc w:val="center"/>
            </w:pPr>
            <w:r/>
            <w:r>
              <w:rPr>
                <w:sz w:val="18"/>
              </w:rPr>
              <w:t>0.0%</w:t>
            </w:r>
          </w:p>
        </w:tc>
        <w:tc>
          <w:tcPr>
            <w:tcW w:type="dxa" w:w="893"/>
          </w:tcPr>
          <w:p>
            <w:pPr>
              <w:spacing w:after="0"/>
              <w:jc w:val="center"/>
            </w:pPr>
            <w:r/>
            <w:r>
              <w:rPr>
                <w:sz w:val="18"/>
              </w:rPr>
              <w:t>1.00</w:t>
            </w:r>
          </w:p>
        </w:tc>
        <w:tc>
          <w:tcPr>
            <w:tcW w:type="dxa" w:w="864"/>
          </w:tcPr>
          <w:p>
            <w:pPr>
              <w:spacing w:after="0"/>
              <w:jc w:val="center"/>
            </w:pPr>
            <w:r/>
            <w:r>
              <w:rPr>
                <w:sz w:val="18"/>
              </w:rPr>
              <w:t>3.65</w:t>
            </w:r>
          </w:p>
        </w:tc>
      </w:tr>
    </w:tbl>
    <w:p>
      <w:pPr>
        <w:spacing w:after="160"/>
      </w:pPr>
      <w:r>
        <w:rPr>
          <w:i/>
          <w:sz w:val="18"/>
        </w:rPr>
        <w:t>* Momentum at 20 bps (market orders), reversal at 7 bps (limit orders).</w:t>
      </w:r>
    </w:p>
    <w:p>
      <w:pPr>
        <w:keepNext/>
        <w:spacing w:after="60"/>
      </w:pPr>
      <w:r>
        <w:rPr>
          <w:b/>
          <w:sz w:val="20"/>
        </w:rPr>
        <w:t>Table 14. Hold-out period, 2024-01-01 to 2026-10-08.</w:t>
      </w:r>
    </w:p>
    <w:tbl>
      <w:tblPr>
        <w:tblStyle w:val="TableGrid"/>
        <w:tblW w:type="auto" w:w="0"/>
        <w:jc w:val="center"/>
        <w:tblLayout w:type="fixed"/>
        <w:tblLook w:firstColumn="1" w:firstRow="1" w:lastColumn="0" w:lastRow="0" w:noHBand="0" w:noVBand="1" w:val="04A0"/>
      </w:tblPr>
      <w:tblGrid>
        <w:gridCol w:w="3168"/>
        <w:gridCol w:w="892"/>
        <w:gridCol w:w="835"/>
        <w:gridCol w:w="892"/>
        <w:gridCol w:w="864"/>
        <w:gridCol w:w="892"/>
        <w:gridCol w:w="892"/>
        <w:gridCol w:w="864"/>
      </w:tblGrid>
      <w:tr>
        <w:tc>
          <w:tcPr>
            <w:tcW w:type="dxa" w:w="3168"/>
            <w:shd w:val="clear" w:fill="1F3864"/>
          </w:tcPr>
          <w:p>
            <w:pPr>
              <w:jc w:val="left"/>
            </w:pPr>
            <w:r/>
            <w:r>
              <w:rPr>
                <w:b/>
                <w:color w:val="FFFFFF"/>
                <w:sz w:val="18"/>
              </w:rPr>
              <w:t>Strategy</w:t>
            </w:r>
          </w:p>
        </w:tc>
        <w:tc>
          <w:tcPr>
            <w:tcW w:type="dxa" w:w="893"/>
            <w:shd w:val="clear" w:fill="1F3864"/>
          </w:tcPr>
          <w:p>
            <w:pPr>
              <w:jc w:val="center"/>
            </w:pPr>
            <w:r/>
            <w:r>
              <w:rPr>
                <w:b/>
                <w:color w:val="FFFFFF"/>
                <w:sz w:val="18"/>
              </w:rPr>
              <w:t>Ann. return</w:t>
            </w:r>
          </w:p>
        </w:tc>
        <w:tc>
          <w:tcPr>
            <w:tcW w:type="dxa" w:w="835"/>
            <w:shd w:val="clear" w:fill="1F3864"/>
          </w:tcPr>
          <w:p>
            <w:pPr>
              <w:jc w:val="center"/>
            </w:pPr>
            <w:r/>
            <w:r>
              <w:rPr>
                <w:b/>
                <w:color w:val="FFFFFF"/>
                <w:sz w:val="18"/>
              </w:rPr>
              <w:t>Ann. vol</w:t>
            </w:r>
          </w:p>
        </w:tc>
        <w:tc>
          <w:tcPr>
            <w:tcW w:type="dxa" w:w="893"/>
            <w:shd w:val="clear" w:fill="1F3864"/>
          </w:tcPr>
          <w:p>
            <w:pPr>
              <w:jc w:val="center"/>
            </w:pPr>
            <w:r/>
            <w:r>
              <w:rPr>
                <w:b/>
                <w:color w:val="FFFFFF"/>
                <w:sz w:val="18"/>
              </w:rPr>
              <w:t>Sharpe</w:t>
            </w:r>
          </w:p>
        </w:tc>
        <w:tc>
          <w:tcPr>
            <w:tcW w:type="dxa" w:w="864"/>
            <w:shd w:val="clear" w:fill="1F3864"/>
          </w:tcPr>
          <w:p>
            <w:pPr>
              <w:jc w:val="center"/>
            </w:pPr>
            <w:r/>
            <w:r>
              <w:rPr>
                <w:b/>
                <w:color w:val="FFFFFF"/>
                <w:sz w:val="18"/>
              </w:rPr>
              <w:t>Max DD</w:t>
            </w:r>
          </w:p>
        </w:tc>
        <w:tc>
          <w:tcPr>
            <w:tcW w:type="dxa" w:w="893"/>
            <w:shd w:val="clear" w:fill="1F3864"/>
          </w:tcPr>
          <w:p>
            <w:pPr>
              <w:jc w:val="center"/>
            </w:pPr>
            <w:r/>
            <w:r>
              <w:rPr>
                <w:b/>
                <w:color w:val="FFFFFF"/>
                <w:sz w:val="18"/>
              </w:rPr>
              <w:t>Alpha (ann.)</w:t>
            </w:r>
          </w:p>
        </w:tc>
        <w:tc>
          <w:tcPr>
            <w:tcW w:type="dxa" w:w="893"/>
            <w:shd w:val="clear" w:fill="1F3864"/>
          </w:tcPr>
          <w:p>
            <w:pPr>
              <w:jc w:val="center"/>
            </w:pPr>
            <w:r/>
            <w:r>
              <w:rPr>
                <w:b/>
                <w:color w:val="FFFFFF"/>
                <w:sz w:val="18"/>
              </w:rPr>
              <w:t>Beta (BTC)</w:t>
            </w:r>
          </w:p>
        </w:tc>
        <w:tc>
          <w:tcPr>
            <w:tcW w:type="dxa" w:w="864"/>
            <w:shd w:val="clear" w:fill="1F3864"/>
          </w:tcPr>
          <w:p>
            <w:pPr>
              <w:jc w:val="center"/>
            </w:pPr>
            <w:r/>
            <w:r>
              <w:rPr>
                <w:b/>
                <w:color w:val="FFFFFF"/>
                <w:sz w:val="18"/>
              </w:rPr>
              <w:t>Alpha t</w:t>
            </w:r>
          </w:p>
        </w:tc>
      </w:tr>
      <w:tr>
        <w:tc>
          <w:tcPr>
            <w:tcW w:type="dxa" w:w="3168"/>
            <w:shd w:val="clear" w:fill="DCE6F1"/>
          </w:tcPr>
          <w:p>
            <w:pPr>
              <w:spacing w:after="0"/>
            </w:pPr>
            <w:r/>
            <w:r>
              <w:rPr>
                <w:b/>
                <w:sz w:val="18"/>
              </w:rPr>
              <w:t>Combined portfolio *</w:t>
            </w:r>
          </w:p>
        </w:tc>
        <w:tc>
          <w:tcPr>
            <w:tcW w:type="dxa" w:w="893"/>
            <w:shd w:val="clear" w:fill="DCE6F1"/>
          </w:tcPr>
          <w:p>
            <w:pPr>
              <w:spacing w:after="0"/>
              <w:jc w:val="center"/>
            </w:pPr>
            <w:r/>
            <w:r>
              <w:rPr>
                <w:b/>
                <w:sz w:val="18"/>
              </w:rPr>
              <w:t>11.1%</w:t>
            </w:r>
          </w:p>
        </w:tc>
        <w:tc>
          <w:tcPr>
            <w:tcW w:type="dxa" w:w="835"/>
            <w:shd w:val="clear" w:fill="DCE6F1"/>
          </w:tcPr>
          <w:p>
            <w:pPr>
              <w:spacing w:after="0"/>
              <w:jc w:val="center"/>
            </w:pPr>
            <w:r/>
            <w:r>
              <w:rPr>
                <w:b/>
                <w:sz w:val="18"/>
              </w:rPr>
              <w:t>20.1%</w:t>
            </w:r>
          </w:p>
        </w:tc>
        <w:tc>
          <w:tcPr>
            <w:tcW w:type="dxa" w:w="893"/>
            <w:shd w:val="clear" w:fill="DCE6F1"/>
          </w:tcPr>
          <w:p>
            <w:pPr>
              <w:spacing w:after="0"/>
              <w:jc w:val="center"/>
            </w:pPr>
            <w:r/>
            <w:r>
              <w:rPr>
                <w:b/>
                <w:sz w:val="18"/>
              </w:rPr>
              <w:t>0.55</w:t>
            </w:r>
          </w:p>
        </w:tc>
        <w:tc>
          <w:tcPr>
            <w:tcW w:type="dxa" w:w="864"/>
            <w:shd w:val="clear" w:fill="DCE6F1"/>
          </w:tcPr>
          <w:p>
            <w:pPr>
              <w:spacing w:after="0"/>
              <w:jc w:val="center"/>
            </w:pPr>
            <w:r/>
            <w:r>
              <w:rPr>
                <w:b/>
                <w:sz w:val="18"/>
              </w:rPr>
              <w:t>-23.5%</w:t>
            </w:r>
          </w:p>
        </w:tc>
        <w:tc>
          <w:tcPr>
            <w:tcW w:type="dxa" w:w="893"/>
            <w:shd w:val="clear" w:fill="DCE6F1"/>
          </w:tcPr>
          <w:p>
            <w:pPr>
              <w:spacing w:after="0"/>
              <w:jc w:val="center"/>
            </w:pPr>
            <w:r/>
            <w:r>
              <w:rPr>
                <w:b/>
                <w:sz w:val="18"/>
              </w:rPr>
              <w:t>11.6%</w:t>
            </w:r>
          </w:p>
        </w:tc>
        <w:tc>
          <w:tcPr>
            <w:tcW w:type="dxa" w:w="893"/>
            <w:shd w:val="clear" w:fill="DCE6F1"/>
          </w:tcPr>
          <w:p>
            <w:pPr>
              <w:spacing w:after="0"/>
              <w:jc w:val="center"/>
            </w:pPr>
            <w:r/>
            <w:r>
              <w:rPr>
                <w:b/>
                <w:sz w:val="18"/>
              </w:rPr>
              <w:t>-0.01</w:t>
            </w:r>
          </w:p>
        </w:tc>
        <w:tc>
          <w:tcPr>
            <w:tcW w:type="dxa" w:w="864"/>
            <w:shd w:val="clear" w:fill="DCE6F1"/>
          </w:tcPr>
          <w:p>
            <w:pPr>
              <w:spacing w:after="0"/>
              <w:jc w:val="center"/>
            </w:pPr>
            <w:r/>
            <w:r>
              <w:rPr>
                <w:b/>
                <w:sz w:val="18"/>
              </w:rPr>
              <w:t>0.90</w:t>
            </w:r>
          </w:p>
        </w:tc>
      </w:tr>
      <w:tr>
        <w:tc>
          <w:tcPr>
            <w:tcW w:type="dxa" w:w="3168"/>
          </w:tcPr>
          <w:p>
            <w:pPr>
              <w:spacing w:after="0"/>
            </w:pPr>
            <w:r/>
            <w:r>
              <w:rPr>
                <w:sz w:val="18"/>
              </w:rPr>
              <w:t>Combined (all trades at 20 bps)</w:t>
            </w:r>
          </w:p>
        </w:tc>
        <w:tc>
          <w:tcPr>
            <w:tcW w:type="dxa" w:w="893"/>
          </w:tcPr>
          <w:p>
            <w:pPr>
              <w:spacing w:after="0"/>
              <w:jc w:val="center"/>
            </w:pPr>
            <w:r/>
            <w:r>
              <w:rPr>
                <w:sz w:val="18"/>
              </w:rPr>
              <w:t>7.5%</w:t>
            </w:r>
          </w:p>
        </w:tc>
        <w:tc>
          <w:tcPr>
            <w:tcW w:type="dxa" w:w="835"/>
          </w:tcPr>
          <w:p>
            <w:pPr>
              <w:spacing w:after="0"/>
              <w:jc w:val="center"/>
            </w:pPr>
            <w:r/>
            <w:r>
              <w:rPr>
                <w:sz w:val="18"/>
              </w:rPr>
              <w:t>20.0%</w:t>
            </w:r>
          </w:p>
        </w:tc>
        <w:tc>
          <w:tcPr>
            <w:tcW w:type="dxa" w:w="893"/>
          </w:tcPr>
          <w:p>
            <w:pPr>
              <w:spacing w:after="0"/>
              <w:jc w:val="center"/>
            </w:pPr>
            <w:r/>
            <w:r>
              <w:rPr>
                <w:sz w:val="18"/>
              </w:rPr>
              <w:t>0.38</w:t>
            </w:r>
          </w:p>
        </w:tc>
        <w:tc>
          <w:tcPr>
            <w:tcW w:type="dxa" w:w="864"/>
          </w:tcPr>
          <w:p>
            <w:pPr>
              <w:spacing w:after="0"/>
              <w:jc w:val="center"/>
            </w:pPr>
            <w:r/>
            <w:r>
              <w:rPr>
                <w:sz w:val="18"/>
              </w:rPr>
              <w:t>-24.0%</w:t>
            </w:r>
          </w:p>
        </w:tc>
        <w:tc>
          <w:tcPr>
            <w:tcW w:type="dxa" w:w="893"/>
          </w:tcPr>
          <w:p>
            <w:pPr>
              <w:spacing w:after="0"/>
              <w:jc w:val="center"/>
            </w:pPr>
            <w:r/>
            <w:r>
              <w:rPr>
                <w:sz w:val="18"/>
              </w:rPr>
              <w:t>8.1%</w:t>
            </w:r>
          </w:p>
        </w:tc>
        <w:tc>
          <w:tcPr>
            <w:tcW w:type="dxa" w:w="893"/>
          </w:tcPr>
          <w:p>
            <w:pPr>
              <w:spacing w:after="0"/>
              <w:jc w:val="center"/>
            </w:pPr>
            <w:r/>
            <w:r>
              <w:rPr>
                <w:sz w:val="18"/>
              </w:rPr>
              <w:t>-0.02</w:t>
            </w:r>
          </w:p>
        </w:tc>
        <w:tc>
          <w:tcPr>
            <w:tcW w:type="dxa" w:w="864"/>
          </w:tcPr>
          <w:p>
            <w:pPr>
              <w:spacing w:after="0"/>
              <w:jc w:val="center"/>
            </w:pPr>
            <w:r/>
            <w:r>
              <w:rPr>
                <w:sz w:val="18"/>
              </w:rPr>
              <w:t>0.63</w:t>
            </w:r>
          </w:p>
        </w:tc>
      </w:tr>
      <w:tr>
        <w:tc>
          <w:tcPr>
            <w:tcW w:type="dxa" w:w="3168"/>
          </w:tcPr>
          <w:p>
            <w:pPr>
              <w:spacing w:after="0"/>
            </w:pPr>
            <w:r/>
            <w:r>
              <w:rPr>
                <w:sz w:val="18"/>
              </w:rPr>
              <w:t>Momentum ensemble (20 bps market)</w:t>
            </w:r>
          </w:p>
        </w:tc>
        <w:tc>
          <w:tcPr>
            <w:tcW w:type="dxa" w:w="893"/>
          </w:tcPr>
          <w:p>
            <w:pPr>
              <w:spacing w:after="0"/>
              <w:jc w:val="center"/>
            </w:pPr>
            <w:r/>
            <w:r>
              <w:rPr>
                <w:sz w:val="18"/>
              </w:rPr>
              <w:t>6.8%</w:t>
            </w:r>
          </w:p>
        </w:tc>
        <w:tc>
          <w:tcPr>
            <w:tcW w:type="dxa" w:w="835"/>
          </w:tcPr>
          <w:p>
            <w:pPr>
              <w:spacing w:after="0"/>
              <w:jc w:val="center"/>
            </w:pPr>
            <w:r/>
            <w:r>
              <w:rPr>
                <w:sz w:val="18"/>
              </w:rPr>
              <w:t>30.6%</w:t>
            </w:r>
          </w:p>
        </w:tc>
        <w:tc>
          <w:tcPr>
            <w:tcW w:type="dxa" w:w="893"/>
          </w:tcPr>
          <w:p>
            <w:pPr>
              <w:spacing w:after="0"/>
              <w:jc w:val="center"/>
            </w:pPr>
            <w:r/>
            <w:r>
              <w:rPr>
                <w:sz w:val="18"/>
              </w:rPr>
              <w:t>0.22</w:t>
            </w:r>
          </w:p>
        </w:tc>
        <w:tc>
          <w:tcPr>
            <w:tcW w:type="dxa" w:w="864"/>
          </w:tcPr>
          <w:p>
            <w:pPr>
              <w:spacing w:after="0"/>
              <w:jc w:val="center"/>
            </w:pPr>
            <w:r/>
            <w:r>
              <w:rPr>
                <w:sz w:val="18"/>
              </w:rPr>
              <w:t>-26.7%</w:t>
            </w:r>
          </w:p>
        </w:tc>
        <w:tc>
          <w:tcPr>
            <w:tcW w:type="dxa" w:w="893"/>
          </w:tcPr>
          <w:p>
            <w:pPr>
              <w:spacing w:after="0"/>
              <w:jc w:val="center"/>
            </w:pPr>
            <w:r/>
            <w:r>
              <w:rPr>
                <w:sz w:val="18"/>
              </w:rPr>
              <w:t>11.0%</w:t>
            </w:r>
          </w:p>
        </w:tc>
        <w:tc>
          <w:tcPr>
            <w:tcW w:type="dxa" w:w="893"/>
          </w:tcPr>
          <w:p>
            <w:pPr>
              <w:spacing w:after="0"/>
              <w:jc w:val="center"/>
            </w:pPr>
            <w:r/>
            <w:r>
              <w:rPr>
                <w:sz w:val="18"/>
              </w:rPr>
              <w:t>-0.12</w:t>
            </w:r>
          </w:p>
        </w:tc>
        <w:tc>
          <w:tcPr>
            <w:tcW w:type="dxa" w:w="864"/>
          </w:tcPr>
          <w:p>
            <w:pPr>
              <w:spacing w:after="0"/>
              <w:jc w:val="center"/>
            </w:pPr>
            <w:r/>
            <w:r>
              <w:rPr>
                <w:sz w:val="18"/>
              </w:rPr>
              <w:t>0.61</w:t>
            </w:r>
          </w:p>
        </w:tc>
      </w:tr>
      <w:tr>
        <w:tc>
          <w:tcPr>
            <w:tcW w:type="dxa" w:w="3168"/>
          </w:tcPr>
          <w:p>
            <w:pPr>
              <w:spacing w:after="0"/>
            </w:pPr>
            <w:r/>
            <w:r>
              <w:rPr>
                <w:sz w:val="18"/>
              </w:rPr>
              <w:t>Momentum ensemble (7 bps limit)</w:t>
            </w:r>
          </w:p>
        </w:tc>
        <w:tc>
          <w:tcPr>
            <w:tcW w:type="dxa" w:w="893"/>
          </w:tcPr>
          <w:p>
            <w:pPr>
              <w:spacing w:after="0"/>
              <w:jc w:val="center"/>
            </w:pPr>
            <w:r/>
            <w:r>
              <w:rPr>
                <w:sz w:val="18"/>
              </w:rPr>
              <w:t>16.3%</w:t>
            </w:r>
          </w:p>
        </w:tc>
        <w:tc>
          <w:tcPr>
            <w:tcW w:type="dxa" w:w="835"/>
          </w:tcPr>
          <w:p>
            <w:pPr>
              <w:spacing w:after="0"/>
              <w:jc w:val="center"/>
            </w:pPr>
            <w:r/>
            <w:r>
              <w:rPr>
                <w:sz w:val="18"/>
              </w:rPr>
              <w:t>30.6%</w:t>
            </w:r>
          </w:p>
        </w:tc>
        <w:tc>
          <w:tcPr>
            <w:tcW w:type="dxa" w:w="893"/>
          </w:tcPr>
          <w:p>
            <w:pPr>
              <w:spacing w:after="0"/>
              <w:jc w:val="center"/>
            </w:pPr>
            <w:r/>
            <w:r>
              <w:rPr>
                <w:sz w:val="18"/>
              </w:rPr>
              <w:t>0.53</w:t>
            </w:r>
          </w:p>
        </w:tc>
        <w:tc>
          <w:tcPr>
            <w:tcW w:type="dxa" w:w="864"/>
          </w:tcPr>
          <w:p>
            <w:pPr>
              <w:spacing w:after="0"/>
              <w:jc w:val="center"/>
            </w:pPr>
            <w:r/>
            <w:r>
              <w:rPr>
                <w:sz w:val="18"/>
              </w:rPr>
              <w:t>-21.2%</w:t>
            </w:r>
          </w:p>
        </w:tc>
        <w:tc>
          <w:tcPr>
            <w:tcW w:type="dxa" w:w="893"/>
          </w:tcPr>
          <w:p>
            <w:pPr>
              <w:spacing w:after="0"/>
              <w:jc w:val="center"/>
            </w:pPr>
            <w:r/>
            <w:r>
              <w:rPr>
                <w:sz w:val="18"/>
              </w:rPr>
              <w:t>20.5%</w:t>
            </w:r>
          </w:p>
        </w:tc>
        <w:tc>
          <w:tcPr>
            <w:tcW w:type="dxa" w:w="893"/>
          </w:tcPr>
          <w:p>
            <w:pPr>
              <w:spacing w:after="0"/>
              <w:jc w:val="center"/>
            </w:pPr>
            <w:r/>
            <w:r>
              <w:rPr>
                <w:sz w:val="18"/>
              </w:rPr>
              <w:t>-0.12</w:t>
            </w:r>
          </w:p>
        </w:tc>
        <w:tc>
          <w:tcPr>
            <w:tcW w:type="dxa" w:w="864"/>
          </w:tcPr>
          <w:p>
            <w:pPr>
              <w:spacing w:after="0"/>
              <w:jc w:val="center"/>
            </w:pPr>
            <w:r/>
            <w:r>
              <w:rPr>
                <w:sz w:val="18"/>
              </w:rPr>
              <w:t>1.15</w:t>
            </w:r>
          </w:p>
        </w:tc>
      </w:tr>
      <w:tr>
        <w:tc>
          <w:tcPr>
            <w:tcW w:type="dxa" w:w="3168"/>
          </w:tcPr>
          <w:p>
            <w:pPr>
              <w:spacing w:after="0"/>
            </w:pPr>
            <w:r/>
            <w:r>
              <w:rPr>
                <w:sz w:val="18"/>
              </w:rPr>
              <w:t>Reversal (7 bps limit)</w:t>
            </w:r>
          </w:p>
        </w:tc>
        <w:tc>
          <w:tcPr>
            <w:tcW w:type="dxa" w:w="893"/>
          </w:tcPr>
          <w:p>
            <w:pPr>
              <w:spacing w:after="0"/>
              <w:jc w:val="center"/>
            </w:pPr>
            <w:r/>
            <w:r>
              <w:rPr>
                <w:sz w:val="18"/>
              </w:rPr>
              <w:t>21.0%</w:t>
            </w:r>
          </w:p>
        </w:tc>
        <w:tc>
          <w:tcPr>
            <w:tcW w:type="dxa" w:w="835"/>
          </w:tcPr>
          <w:p>
            <w:pPr>
              <w:spacing w:after="0"/>
              <w:jc w:val="center"/>
            </w:pPr>
            <w:r/>
            <w:r>
              <w:rPr>
                <w:sz w:val="18"/>
              </w:rPr>
              <w:t>21.0%</w:t>
            </w:r>
          </w:p>
        </w:tc>
        <w:tc>
          <w:tcPr>
            <w:tcW w:type="dxa" w:w="893"/>
          </w:tcPr>
          <w:p>
            <w:pPr>
              <w:spacing w:after="0"/>
              <w:jc w:val="center"/>
            </w:pPr>
            <w:r/>
            <w:r>
              <w:rPr>
                <w:sz w:val="18"/>
              </w:rPr>
              <w:t>1.00</w:t>
            </w:r>
          </w:p>
        </w:tc>
        <w:tc>
          <w:tcPr>
            <w:tcW w:type="dxa" w:w="864"/>
          </w:tcPr>
          <w:p>
            <w:pPr>
              <w:spacing w:after="0"/>
              <w:jc w:val="center"/>
            </w:pPr>
            <w:r/>
            <w:r>
              <w:rPr>
                <w:sz w:val="18"/>
              </w:rPr>
              <w:t>-22.0%</w:t>
            </w:r>
          </w:p>
        </w:tc>
        <w:tc>
          <w:tcPr>
            <w:tcW w:type="dxa" w:w="893"/>
          </w:tcPr>
          <w:p>
            <w:pPr>
              <w:spacing w:after="0"/>
              <w:jc w:val="center"/>
            </w:pPr>
            <w:r/>
            <w:r>
              <w:rPr>
                <w:sz w:val="18"/>
              </w:rPr>
              <w:t>20.9%</w:t>
            </w:r>
          </w:p>
        </w:tc>
        <w:tc>
          <w:tcPr>
            <w:tcW w:type="dxa" w:w="893"/>
          </w:tcPr>
          <w:p>
            <w:pPr>
              <w:spacing w:after="0"/>
              <w:jc w:val="center"/>
            </w:pPr>
            <w:r/>
            <w:r>
              <w:rPr>
                <w:sz w:val="18"/>
              </w:rPr>
              <w:t>0.00</w:t>
            </w:r>
          </w:p>
        </w:tc>
        <w:tc>
          <w:tcPr>
            <w:tcW w:type="dxa" w:w="864"/>
          </w:tcPr>
          <w:p>
            <w:pPr>
              <w:spacing w:after="0"/>
              <w:jc w:val="center"/>
            </w:pPr>
            <w:r/>
            <w:r>
              <w:rPr>
                <w:sz w:val="18"/>
              </w:rPr>
              <w:t>1.59</w:t>
            </w:r>
          </w:p>
        </w:tc>
      </w:tr>
      <w:tr>
        <w:tc>
          <w:tcPr>
            <w:tcW w:type="dxa" w:w="3168"/>
          </w:tcPr>
          <w:p>
            <w:pPr>
              <w:spacing w:after="0"/>
            </w:pPr>
            <w:r/>
            <w:r>
              <w:rPr>
                <w:sz w:val="18"/>
              </w:rPr>
              <w:t>Reversal (20 bps market)</w:t>
            </w:r>
          </w:p>
        </w:tc>
        <w:tc>
          <w:tcPr>
            <w:tcW w:type="dxa" w:w="893"/>
          </w:tcPr>
          <w:p>
            <w:pPr>
              <w:spacing w:after="0"/>
              <w:jc w:val="center"/>
            </w:pPr>
            <w:r/>
            <w:r>
              <w:rPr>
                <w:sz w:val="18"/>
              </w:rPr>
              <w:t>18.2%</w:t>
            </w:r>
          </w:p>
        </w:tc>
        <w:tc>
          <w:tcPr>
            <w:tcW w:type="dxa" w:w="835"/>
          </w:tcPr>
          <w:p>
            <w:pPr>
              <w:spacing w:after="0"/>
              <w:jc w:val="center"/>
            </w:pPr>
            <w:r/>
            <w:r>
              <w:rPr>
                <w:sz w:val="18"/>
              </w:rPr>
              <w:t>21.0%</w:t>
            </w:r>
          </w:p>
        </w:tc>
        <w:tc>
          <w:tcPr>
            <w:tcW w:type="dxa" w:w="893"/>
          </w:tcPr>
          <w:p>
            <w:pPr>
              <w:spacing w:after="0"/>
              <w:jc w:val="center"/>
            </w:pPr>
            <w:r/>
            <w:r>
              <w:rPr>
                <w:sz w:val="18"/>
              </w:rPr>
              <w:t>0.87</w:t>
            </w:r>
          </w:p>
        </w:tc>
        <w:tc>
          <w:tcPr>
            <w:tcW w:type="dxa" w:w="864"/>
          </w:tcPr>
          <w:p>
            <w:pPr>
              <w:spacing w:after="0"/>
              <w:jc w:val="center"/>
            </w:pPr>
            <w:r/>
            <w:r>
              <w:rPr>
                <w:sz w:val="18"/>
              </w:rPr>
              <w:t>-23.8%</w:t>
            </w:r>
          </w:p>
        </w:tc>
        <w:tc>
          <w:tcPr>
            <w:tcW w:type="dxa" w:w="893"/>
          </w:tcPr>
          <w:p>
            <w:pPr>
              <w:spacing w:after="0"/>
              <w:jc w:val="center"/>
            </w:pPr>
            <w:r/>
            <w:r>
              <w:rPr>
                <w:sz w:val="18"/>
              </w:rPr>
              <w:t>18.1%</w:t>
            </w:r>
          </w:p>
        </w:tc>
        <w:tc>
          <w:tcPr>
            <w:tcW w:type="dxa" w:w="893"/>
          </w:tcPr>
          <w:p>
            <w:pPr>
              <w:spacing w:after="0"/>
              <w:jc w:val="center"/>
            </w:pPr>
            <w:r/>
            <w:r>
              <w:rPr>
                <w:sz w:val="18"/>
              </w:rPr>
              <w:t>0.00</w:t>
            </w:r>
          </w:p>
        </w:tc>
        <w:tc>
          <w:tcPr>
            <w:tcW w:type="dxa" w:w="864"/>
          </w:tcPr>
          <w:p>
            <w:pPr>
              <w:spacing w:after="0"/>
              <w:jc w:val="center"/>
            </w:pPr>
            <w:r/>
            <w:r>
              <w:rPr>
                <w:sz w:val="18"/>
              </w:rPr>
              <w:t>1.38</w:t>
            </w:r>
          </w:p>
        </w:tc>
      </w:tr>
      <w:tr>
        <w:tc>
          <w:tcPr>
            <w:tcW w:type="dxa" w:w="3168"/>
          </w:tcPr>
          <w:p>
            <w:pPr>
              <w:spacing w:after="0"/>
            </w:pPr>
            <w:r/>
            <w:r>
              <w:rPr>
                <w:sz w:val="18"/>
              </w:rPr>
              <w:t>Cointegration pairs (20 bps)</w:t>
            </w:r>
          </w:p>
        </w:tc>
        <w:tc>
          <w:tcPr>
            <w:tcW w:type="dxa" w:w="893"/>
          </w:tcPr>
          <w:p>
            <w:pPr>
              <w:spacing w:after="0"/>
              <w:jc w:val="center"/>
            </w:pPr>
            <w:r/>
            <w:r>
              <w:rPr>
                <w:sz w:val="18"/>
              </w:rPr>
              <w:t>-2.2%</w:t>
            </w:r>
          </w:p>
        </w:tc>
        <w:tc>
          <w:tcPr>
            <w:tcW w:type="dxa" w:w="835"/>
          </w:tcPr>
          <w:p>
            <w:pPr>
              <w:spacing w:after="0"/>
              <w:jc w:val="center"/>
            </w:pPr>
            <w:r/>
            <w:r>
              <w:rPr>
                <w:sz w:val="18"/>
              </w:rPr>
              <w:t>6.1%</w:t>
            </w:r>
          </w:p>
        </w:tc>
        <w:tc>
          <w:tcPr>
            <w:tcW w:type="dxa" w:w="893"/>
          </w:tcPr>
          <w:p>
            <w:pPr>
              <w:spacing w:after="0"/>
              <w:jc w:val="center"/>
            </w:pPr>
            <w:r/>
            <w:r>
              <w:rPr>
                <w:sz w:val="18"/>
              </w:rPr>
              <w:t>-0.37</w:t>
            </w:r>
          </w:p>
        </w:tc>
        <w:tc>
          <w:tcPr>
            <w:tcW w:type="dxa" w:w="864"/>
          </w:tcPr>
          <w:p>
            <w:pPr>
              <w:spacing w:after="0"/>
              <w:jc w:val="center"/>
            </w:pPr>
            <w:r/>
            <w:r>
              <w:rPr>
                <w:sz w:val="18"/>
              </w:rPr>
              <w:t>-11.7%</w:t>
            </w:r>
          </w:p>
        </w:tc>
        <w:tc>
          <w:tcPr>
            <w:tcW w:type="dxa" w:w="893"/>
          </w:tcPr>
          <w:p>
            <w:pPr>
              <w:spacing w:after="0"/>
              <w:jc w:val="center"/>
            </w:pPr>
            <w:r/>
            <w:r>
              <w:rPr>
                <w:sz w:val="18"/>
              </w:rPr>
              <w:t>-2.2%</w:t>
            </w:r>
          </w:p>
        </w:tc>
        <w:tc>
          <w:tcPr>
            <w:tcW w:type="dxa" w:w="893"/>
          </w:tcPr>
          <w:p>
            <w:pPr>
              <w:spacing w:after="0"/>
              <w:jc w:val="center"/>
            </w:pPr>
            <w:r/>
            <w:r>
              <w:rPr>
                <w:sz w:val="18"/>
              </w:rPr>
              <w:t>0.00</w:t>
            </w:r>
          </w:p>
        </w:tc>
        <w:tc>
          <w:tcPr>
            <w:tcW w:type="dxa" w:w="864"/>
          </w:tcPr>
          <w:p>
            <w:pPr>
              <w:spacing w:after="0"/>
              <w:jc w:val="center"/>
            </w:pPr>
            <w:r/>
            <w:r>
              <w:rPr>
                <w:sz w:val="18"/>
              </w:rPr>
              <w:t>-0.69</w:t>
            </w:r>
          </w:p>
        </w:tc>
      </w:tr>
      <w:tr>
        <w:tc>
          <w:tcPr>
            <w:tcW w:type="dxa" w:w="3168"/>
          </w:tcPr>
          <w:p>
            <w:pPr>
              <w:spacing w:after="0"/>
            </w:pPr>
            <w:r/>
            <w:r>
              <w:rPr>
                <w:sz w:val="18"/>
              </w:rPr>
              <w:t>Equal-weight crypto (buy &amp; hold)</w:t>
            </w:r>
          </w:p>
        </w:tc>
        <w:tc>
          <w:tcPr>
            <w:tcW w:type="dxa" w:w="893"/>
          </w:tcPr>
          <w:p>
            <w:pPr>
              <w:spacing w:after="0"/>
              <w:jc w:val="center"/>
            </w:pPr>
            <w:r/>
            <w:r>
              <w:rPr>
                <w:sz w:val="18"/>
              </w:rPr>
              <w:t>20.9%</w:t>
            </w:r>
          </w:p>
        </w:tc>
        <w:tc>
          <w:tcPr>
            <w:tcW w:type="dxa" w:w="835"/>
          </w:tcPr>
          <w:p>
            <w:pPr>
              <w:spacing w:after="0"/>
              <w:jc w:val="center"/>
            </w:pPr>
            <w:r/>
            <w:r>
              <w:rPr>
                <w:sz w:val="18"/>
              </w:rPr>
              <w:t>68.3%</w:t>
            </w:r>
          </w:p>
        </w:tc>
        <w:tc>
          <w:tcPr>
            <w:tcW w:type="dxa" w:w="893"/>
          </w:tcPr>
          <w:p>
            <w:pPr>
              <w:spacing w:after="0"/>
              <w:jc w:val="center"/>
            </w:pPr>
            <w:r/>
            <w:r>
              <w:rPr>
                <w:sz w:val="18"/>
              </w:rPr>
              <w:t>0.31</w:t>
            </w:r>
          </w:p>
        </w:tc>
        <w:tc>
          <w:tcPr>
            <w:tcW w:type="dxa" w:w="864"/>
          </w:tcPr>
          <w:p>
            <w:pPr>
              <w:spacing w:after="0"/>
              <w:jc w:val="center"/>
            </w:pPr>
            <w:r/>
            <w:r>
              <w:rPr>
                <w:sz w:val="18"/>
              </w:rPr>
              <w:t>-75.2%</w:t>
            </w:r>
          </w:p>
        </w:tc>
        <w:tc>
          <w:tcPr>
            <w:tcW w:type="dxa" w:w="893"/>
          </w:tcPr>
          <w:p>
            <w:pPr>
              <w:spacing w:after="0"/>
              <w:jc w:val="center"/>
            </w:pPr>
            <w:r/>
            <w:r>
              <w:rPr>
                <w:sz w:val="18"/>
              </w:rPr>
              <w:t>-20.8%</w:t>
            </w:r>
          </w:p>
        </w:tc>
        <w:tc>
          <w:tcPr>
            <w:tcW w:type="dxa" w:w="893"/>
          </w:tcPr>
          <w:p>
            <w:pPr>
              <w:spacing w:after="0"/>
              <w:jc w:val="center"/>
            </w:pPr>
            <w:r/>
            <w:r>
              <w:rPr>
                <w:sz w:val="18"/>
              </w:rPr>
              <w:t>1.19</w:t>
            </w:r>
          </w:p>
        </w:tc>
        <w:tc>
          <w:tcPr>
            <w:tcW w:type="dxa" w:w="864"/>
          </w:tcPr>
          <w:p>
            <w:pPr>
              <w:spacing w:after="0"/>
              <w:jc w:val="center"/>
            </w:pPr>
            <w:r/>
            <w:r>
              <w:rPr>
                <w:sz w:val="18"/>
              </w:rPr>
              <w:t>-0.90</w:t>
            </w:r>
          </w:p>
        </w:tc>
      </w:tr>
      <w:tr>
        <w:tc>
          <w:tcPr>
            <w:tcW w:type="dxa" w:w="3168"/>
          </w:tcPr>
          <w:p>
            <w:pPr>
              <w:spacing w:after="0"/>
            </w:pPr>
            <w:r/>
            <w:r>
              <w:rPr>
                <w:sz w:val="18"/>
              </w:rPr>
              <w:t>Buy &amp; hold BTC</w:t>
            </w:r>
          </w:p>
        </w:tc>
        <w:tc>
          <w:tcPr>
            <w:tcW w:type="dxa" w:w="893"/>
          </w:tcPr>
          <w:p>
            <w:pPr>
              <w:spacing w:after="0"/>
              <w:jc w:val="center"/>
            </w:pPr>
            <w:r/>
            <w:r>
              <w:rPr>
                <w:sz w:val="18"/>
              </w:rPr>
              <w:t>34.9%</w:t>
            </w:r>
          </w:p>
        </w:tc>
        <w:tc>
          <w:tcPr>
            <w:tcW w:type="dxa" w:w="835"/>
          </w:tcPr>
          <w:p>
            <w:pPr>
              <w:spacing w:after="0"/>
              <w:jc w:val="center"/>
            </w:pPr>
            <w:r/>
            <w:r>
              <w:rPr>
                <w:sz w:val="18"/>
              </w:rPr>
              <w:t>47.4%</w:t>
            </w:r>
          </w:p>
        </w:tc>
        <w:tc>
          <w:tcPr>
            <w:tcW w:type="dxa" w:w="893"/>
          </w:tcPr>
          <w:p>
            <w:pPr>
              <w:spacing w:after="0"/>
              <w:jc w:val="center"/>
            </w:pPr>
            <w:r/>
            <w:r>
              <w:rPr>
                <w:sz w:val="18"/>
              </w:rPr>
              <w:t>0.74</w:t>
            </w:r>
          </w:p>
        </w:tc>
        <w:tc>
          <w:tcPr>
            <w:tcW w:type="dxa" w:w="864"/>
          </w:tcPr>
          <w:p>
            <w:pPr>
              <w:spacing w:after="0"/>
              <w:jc w:val="center"/>
            </w:pPr>
            <w:r/>
            <w:r>
              <w:rPr>
                <w:sz w:val="18"/>
              </w:rPr>
              <w:t>-53.1%</w:t>
            </w:r>
          </w:p>
        </w:tc>
        <w:tc>
          <w:tcPr>
            <w:tcW w:type="dxa" w:w="893"/>
          </w:tcPr>
          <w:p>
            <w:pPr>
              <w:spacing w:after="0"/>
              <w:jc w:val="center"/>
            </w:pPr>
            <w:r/>
            <w:r>
              <w:rPr>
                <w:sz w:val="18"/>
              </w:rPr>
              <w:t>0.0%</w:t>
            </w:r>
          </w:p>
        </w:tc>
        <w:tc>
          <w:tcPr>
            <w:tcW w:type="dxa" w:w="893"/>
          </w:tcPr>
          <w:p>
            <w:pPr>
              <w:spacing w:after="0"/>
              <w:jc w:val="center"/>
            </w:pPr>
            <w:r/>
            <w:r>
              <w:rPr>
                <w:sz w:val="18"/>
              </w:rPr>
              <w:t>1.00</w:t>
            </w:r>
          </w:p>
        </w:tc>
        <w:tc>
          <w:tcPr>
            <w:tcW w:type="dxa" w:w="864"/>
          </w:tcPr>
          <w:p>
            <w:pPr>
              <w:spacing w:after="0"/>
              <w:jc w:val="center"/>
            </w:pPr>
            <w:r/>
            <w:r>
              <w:rPr>
                <w:sz w:val="18"/>
              </w:rPr>
              <w:t>0.33</w:t>
            </w:r>
          </w:p>
        </w:tc>
      </w:tr>
    </w:tbl>
    <w:p>
      <w:pPr>
        <w:spacing w:after="160"/>
      </w:pPr>
      <w:r>
        <w:rPr>
          <w:i/>
          <w:sz w:val="18"/>
        </w:rPr>
        <w:t>* Momentum at 20 bps (market orders), reversal at 7 bps (limit orders).</w:t>
      </w:r>
    </w:p>
    <w:p>
      <w:pPr>
        <w:keepNext/>
        <w:jc w:val="center"/>
      </w:pPr>
      <w:r>
        <w:drawing>
          <wp:inline xmlns:a="http://schemas.openxmlformats.org/drawingml/2006/main" xmlns:pic="http://schemas.openxmlformats.org/drawingml/2006/picture">
            <wp:extent cx="5760720" cy="2618509"/>
            <wp:docPr id="9" name="Picture 9"/>
            <wp:cNvGraphicFramePr>
              <a:graphicFrameLocks noChangeAspect="1"/>
            </wp:cNvGraphicFramePr>
            <a:graphic>
              <a:graphicData uri="http://schemas.openxmlformats.org/drawingml/2006/picture">
                <pic:pic>
                  <pic:nvPicPr>
                    <pic:cNvPr id="0" name="J_equity_curves.png"/>
                    <pic:cNvPicPr/>
                  </pic:nvPicPr>
                  <pic:blipFill>
                    <a:blip r:embed="rId17"/>
                    <a:stretch>
                      <a:fillRect/>
                    </a:stretch>
                  </pic:blipFill>
                  <pic:spPr>
                    <a:xfrm>
                      <a:off x="0" y="0"/>
                      <a:ext cx="5760720" cy="2618509"/>
                    </a:xfrm>
                    <a:prstGeom prst="rect"/>
                  </pic:spPr>
                </pic:pic>
              </a:graphicData>
            </a:graphic>
          </wp:inline>
        </w:drawing>
      </w:r>
    </w:p>
    <w:p>
      <w:pPr>
        <w:spacing w:after="200"/>
        <w:jc w:val="center"/>
      </w:pPr>
      <w:r>
        <w:rPr>
          <w:i/>
          <w:sz w:val="19"/>
        </w:rPr>
        <w:t>Figure 9. Growth of $1, net of costs (log scale). Dashed line: start of hold-out.</w:t>
      </w:r>
    </w:p>
    <w:p>
      <w:pPr>
        <w:spacing w:after="120"/>
      </w:pPr>
      <w:r>
        <w:rPr>
          <w:b w:val="0"/>
          <w:i w:val="0"/>
        </w:rPr>
        <w:t>Over the full window the combined portfolio earns 20.2% a year at 19.7% volatility, a Sharpe of 1.02, against 0.45 for holding Bitcoin. Its beta to Bitcoin is -0.02, so almost all of its return is alpha: 20.6% a year with a t-statistic of 2.19. Its worst drawdown is -28.1%, against -67.0% for Bitcoin and -77.4% for an equal-weight crypto basket. Even with every trade charged 20 bps, the Sharpe is 0.88.</w:t>
      </w:r>
    </w:p>
    <w:p>
      <w:pPr>
        <w:spacing w:after="120"/>
      </w:pPr>
      <w:r>
        <w:rPr>
          <w:b w:val="0"/>
          <w:i w:val="0"/>
        </w:rPr>
        <w:t>The hold-out is weaker. The combined Sharpe falls to 0.55, with alpha 11.6% a year (t = 0.90), because the momentum ensemble's Sharpe fell from 1.19 to 0.22. Bitcoin itself had a strong hold-out (Sharpe 0.74) after spot ETF approval, but with a -53.1% drawdown and full market risk. The reversal book was the steadiest component, with a hold-out Sharpe of 1.00 at 7 bps and 0.87 at 20 bps.</w:t>
      </w:r>
    </w:p>
    <w:p>
      <w:pPr>
        <w:keepNext/>
        <w:jc w:val="center"/>
      </w:pPr>
      <w:r>
        <w:drawing>
          <wp:inline xmlns:a="http://schemas.openxmlformats.org/drawingml/2006/main" xmlns:pic="http://schemas.openxmlformats.org/drawingml/2006/picture">
            <wp:extent cx="5760720" cy="2094807"/>
            <wp:docPr id="10" name="Picture 10"/>
            <wp:cNvGraphicFramePr>
              <a:graphicFrameLocks noChangeAspect="1"/>
            </wp:cNvGraphicFramePr>
            <a:graphic>
              <a:graphicData uri="http://schemas.openxmlformats.org/drawingml/2006/picture">
                <pic:pic>
                  <pic:nvPicPr>
                    <pic:cNvPr id="0" name="J_drawdowns.png"/>
                    <pic:cNvPicPr/>
                  </pic:nvPicPr>
                  <pic:blipFill>
                    <a:blip r:embed="rId18"/>
                    <a:stretch>
                      <a:fillRect/>
                    </a:stretch>
                  </pic:blipFill>
                  <pic:spPr>
                    <a:xfrm>
                      <a:off x="0" y="0"/>
                      <a:ext cx="5760720" cy="2094807"/>
                    </a:xfrm>
                    <a:prstGeom prst="rect"/>
                  </pic:spPr>
                </pic:pic>
              </a:graphicData>
            </a:graphic>
          </wp:inline>
        </w:drawing>
      </w:r>
    </w:p>
    <w:p>
      <w:pPr>
        <w:spacing w:after="200"/>
        <w:jc w:val="center"/>
      </w:pPr>
      <w:r>
        <w:rPr>
          <w:i/>
          <w:sz w:val="19"/>
        </w:rPr>
        <w:t>Figure 10. Drawdowns of the combined portfolio, the momentum book and Bitcoin.</w:t>
      </w:r>
    </w:p>
    <w:p>
      <w:pPr>
        <w:keepNext/>
        <w:jc w:val="center"/>
      </w:pPr>
      <w:r>
        <w:drawing>
          <wp:inline xmlns:a="http://schemas.openxmlformats.org/drawingml/2006/main" xmlns:pic="http://schemas.openxmlformats.org/drawingml/2006/picture">
            <wp:extent cx="5760720" cy="2094807"/>
            <wp:docPr id="11" name="Picture 11"/>
            <wp:cNvGraphicFramePr>
              <a:graphicFrameLocks noChangeAspect="1"/>
            </wp:cNvGraphicFramePr>
            <a:graphic>
              <a:graphicData uri="http://schemas.openxmlformats.org/drawingml/2006/picture">
                <pic:pic>
                  <pic:nvPicPr>
                    <pic:cNvPr id="0" name="J_rolling_sharpe.png"/>
                    <pic:cNvPicPr/>
                  </pic:nvPicPr>
                  <pic:blipFill>
                    <a:blip r:embed="rId19"/>
                    <a:stretch>
                      <a:fillRect/>
                    </a:stretch>
                  </pic:blipFill>
                  <pic:spPr>
                    <a:xfrm>
                      <a:off x="0" y="0"/>
                      <a:ext cx="5760720" cy="2094807"/>
                    </a:xfrm>
                    <a:prstGeom prst="rect"/>
                  </pic:spPr>
                </pic:pic>
              </a:graphicData>
            </a:graphic>
          </wp:inline>
        </w:drawing>
      </w:r>
    </w:p>
    <w:p>
      <w:pPr>
        <w:spacing w:after="200"/>
        <w:jc w:val="center"/>
      </w:pPr>
      <w:r>
        <w:rPr>
          <w:i/>
          <w:sz w:val="19"/>
        </w:rPr>
        <w:t>Figure 11. Rolling 180-day Sharpe ratio (net).</w:t>
      </w:r>
    </w:p>
    <w:p>
      <w:pPr>
        <w:pStyle w:val="Heading1"/>
      </w:pPr>
      <w:r>
        <w:t>11. Discussion</w:t>
      </w:r>
    </w:p>
    <w:p>
      <w:pPr>
        <w:pStyle w:val="Heading2"/>
      </w:pPr>
      <w:r>
        <w:t>11.1 What the research shows</w:t>
      </w:r>
    </w:p>
    <w:p>
      <w:pPr>
        <w:pStyle w:val="ListBullet"/>
      </w:pPr>
      <w:r>
        <w:rPr>
          <w:b/>
        </w:rPr>
        <w:t xml:space="preserve">Momentum and reversal live at different horizons. </w:t>
      </w:r>
      <w:r>
        <w:t>At daily horizons crypto is a momentum market. The brief's short-horizon reversal exists, but only intraday, where costs make it unreachable; long-horizon (2-month) reversal is the tradable reversal.</w:t>
      </w:r>
    </w:p>
    <w:p>
      <w:pPr>
        <w:pStyle w:val="ListBullet"/>
      </w:pPr>
      <w:r>
        <w:rPr>
          <w:b/>
        </w:rPr>
        <w:t xml:space="preserve">The brief's conditioning variables work. </w:t>
      </w:r>
      <w:r>
        <w:t>Volume shocks, weekends, theme rotation and calm option markets all strengthen momentum; high volatility and high correlation strengthen reversal. Each confirms a hypothesis in the brief.</w:t>
      </w:r>
    </w:p>
    <w:p>
      <w:pPr>
        <w:pStyle w:val="ListBullet"/>
      </w:pPr>
      <w:r>
        <w:rPr>
          <w:b/>
        </w:rPr>
        <w:t xml:space="preserve">Execution is the binding constraint. </w:t>
      </w:r>
      <w:r>
        <w:t>Turnover, not signal discovery, separates profitable from unprofitable strategies. Bands, slower signals and limit orders matter as much as the signal itself.</w:t>
      </w:r>
    </w:p>
    <w:p>
      <w:pPr>
        <w:pStyle w:val="ListBullet"/>
      </w:pPr>
      <w:r>
        <w:rPr>
          <w:b/>
        </w:rPr>
        <w:t xml:space="preserve">Combining is where the value is. </w:t>
      </w:r>
      <w:r>
        <w:t>Momentum and reversal are nearly uncorrelated, so a simple risk-based combination produces a market-neutral portfolio with a higher Sharpe and a smaller drawdown than either part.</w:t>
      </w:r>
    </w:p>
    <w:p>
      <w:pPr>
        <w:pStyle w:val="Heading2"/>
      </w:pPr>
      <w:r>
        <w:t>11.2 Comparison with the July version</w:t>
      </w:r>
    </w:p>
    <w:p>
      <w:pPr>
        <w:spacing w:after="120"/>
      </w:pPr>
      <w:r>
        <w:rPr>
          <w:b w:val="0"/>
          <w:i w:val="0"/>
        </w:rPr>
        <w:t>The July 2026 version compared vol-scaled time-series momentum with cointegration pairs at 10 bps and found time-series momentum best. This rebuild extends the sample by three months, applies the brief's 20 / 7 bps costs instead of 10 bps, adds alpha, tests every item in the research outline, adds a reversal strategy that works, and combines momentum and reversal with explicit weighting. Time-series momentum remains the most robust single momentum family; cointegration pairs remain market-neutral but unprofitable after costs.</w:t>
      </w:r>
    </w:p>
    <w:p>
      <w:pPr>
        <w:pStyle w:val="Heading2"/>
      </w:pPr>
      <w:r>
        <w:t>11.3 Limitations</w:t>
      </w:r>
    </w:p>
    <w:p>
      <w:pPr>
        <w:pStyle w:val="ListBullet"/>
      </w:pPr>
      <w:r>
        <w:rPr>
          <w:b/>
        </w:rPr>
        <w:t xml:space="preserve">Shorting. </w:t>
      </w:r>
      <w:r>
        <w:t>Short legs assume coins can be borrowed or shorted through perpetual futures; funding costs are not modelled. A long-only implementation would capture only part of the long-short edge.</w:t>
      </w:r>
    </w:p>
    <w:p>
      <w:pPr>
        <w:pStyle w:val="ListBullet"/>
      </w:pPr>
      <w:r>
        <w:rPr>
          <w:b/>
        </w:rPr>
        <w:t xml:space="preserve">Survivorship. </w:t>
      </w:r>
      <w:r>
        <w:t>The universe is 16 large coins that survived to 2026; failed or delisted coins are absent, which flatters the sample (survivorship bias).</w:t>
      </w:r>
    </w:p>
    <w:p>
      <w:pPr>
        <w:pStyle w:val="ListBullet"/>
      </w:pPr>
      <w:r>
        <w:rPr>
          <w:b/>
        </w:rPr>
        <w:t xml:space="preserve">Costs and capacity. </w:t>
      </w:r>
      <w:r>
        <w:t>Costs are linear. Real slippage rises with trade size and in stressed markets, and limit orders may not fill, so the 7 bps reversal assumption is optimistic for large capital.</w:t>
      </w:r>
    </w:p>
    <w:p>
      <w:pPr>
        <w:pStyle w:val="ListBullet"/>
      </w:pPr>
      <w:r>
        <w:rPr>
          <w:b/>
        </w:rPr>
        <w:t xml:space="preserve">Multiple testing. </w:t>
      </w:r>
      <w:r>
        <w:t>44 candidates were compared. Even with the research / hold-out split, a deflated Sharpe ratio (Bailey &amp; Lopez de Prado, 2014) would be lower than the reported one.</w:t>
      </w:r>
    </w:p>
    <w:p>
      <w:pPr>
        <w:pStyle w:val="ListBullet"/>
      </w:pPr>
      <w:r>
        <w:rPr>
          <w:b/>
        </w:rPr>
        <w:t xml:space="preserve">Activity data. </w:t>
      </w:r>
      <w:r>
        <w:t>Social-media and on-chain activity data were not used because free historical data are not available; volume is the only activity proxy.</w:t>
      </w:r>
    </w:p>
    <w:p>
      <w:pPr>
        <w:pStyle w:val="Heading2"/>
      </w:pPr>
      <w:r>
        <w:t>11.4 Next steps</w:t>
      </w:r>
    </w:p>
    <w:p>
      <w:pPr>
        <w:pStyle w:val="ListBullet"/>
      </w:pPr>
      <w:r>
        <w:t>Paper-trade the combined portfolio forward on live data to build a genuine out-of-sample record.</w:t>
      </w:r>
    </w:p>
    <w:p>
      <w:pPr>
        <w:pStyle w:val="ListBullet"/>
      </w:pPr>
      <w:r>
        <w:t>Execute the momentum book partly with limit orders and measure fill rates.</w:t>
      </w:r>
    </w:p>
    <w:p>
      <w:pPr>
        <w:pStyle w:val="ListBullet"/>
      </w:pPr>
      <w:r>
        <w:t>Add theme-residual reversal (Section 6.3) as a third sleeve and test it on new data.</w:t>
      </w:r>
    </w:p>
    <w:p>
      <w:pPr>
        <w:pStyle w:val="ListBullet"/>
      </w:pPr>
      <w:r>
        <w:t>Model perpetual-futures funding and borrow costs for the short legs.</w:t>
      </w:r>
    </w:p>
    <w:p>
      <w:pPr>
        <w:pStyle w:val="Heading1"/>
      </w:pPr>
      <w:r>
        <w:t>12. Conclusion</w:t>
      </w:r>
    </w:p>
    <w:p>
      <w:pPr>
        <w:spacing w:after="120"/>
      </w:pPr>
      <w:r>
        <w:rPr>
          <w:b w:val="0"/>
          <w:i w:val="0"/>
        </w:rPr>
        <w:t>On live data through October 2026, crypto shows momentum at horizons of a few days to a month and reversal at the extremes - within the hour and over two months. The patterns the brief points to are present: activity strengthens momentum, weekends favour it, themes rotate, implied volatility predicts momentum crashes, and stressed markets favour reversal. Most of these edges are too small or trade too often to survive 20 bps costs, so execution design is as important as signal discovery.</w:t>
      </w:r>
    </w:p>
    <w:p>
      <w:pPr>
        <w:spacing w:after="120"/>
      </w:pPr>
      <w:r>
        <w:rPr>
          <w:b w:val="0"/>
          <w:i w:val="0"/>
        </w:rPr>
        <w:t>A market-neutral portfolio that combines a diversified momentum ensemble with long-horizon reversal, weighted by mean-variance (shrunk), earns a net Sharpe of 1.02 with alpha of 20.6% a year, a beta to Bitcoin of -0.02 and a maximum drawdown of -28.1%. Its hold-out Sharpe of 0.55 is lower, which is the realistic expectation for a newly deployed strategy. The strongest lesson of the project is that diversification across signals, and discipline about what is chosen on which data, matter more than any single backtest result.</w:t>
      </w:r>
    </w:p>
    <w:p>
      <w:pPr>
        <w:pStyle w:val="Heading1"/>
      </w:pPr>
      <w:r>
        <w:t>Appendix A. Reproducibility</w:t>
      </w:r>
    </w:p>
    <w:p>
      <w:pPr>
        <w:spacing w:after="120"/>
      </w:pPr>
      <w:r>
        <w:rPr>
          <w:b w:val="0"/>
          <w:i w:val="0"/>
        </w:rPr>
        <w:t>All results are reproduced by the notebook crypto_stat_arb_project.ipynb, or from the command line in this order:</w:t>
      </w:r>
    </w:p>
    <w:p>
      <w:pPr>
        <w:pStyle w:val="ListBullet"/>
      </w:pPr>
      <w:r>
        <w:t>python3 src/fetch_data.py - download daily, hourly and DVOL data to the latest date</w:t>
      </w:r>
    </w:p>
    <w:p>
      <w:pPr>
        <w:pStyle w:val="ListBullet"/>
      </w:pPr>
      <w:r>
        <w:t>python3 src/statarb.py - cointegration pairs engine (walk-forward, Kalman)</w:t>
      </w:r>
    </w:p>
    <w:p>
      <w:pPr>
        <w:pStyle w:val="ListBullet"/>
      </w:pPr>
      <w:r>
        <w:t>python3 src/research.py - all research blocks, selection, weighting and performance</w:t>
      </w:r>
    </w:p>
    <w:p>
      <w:pPr>
        <w:pStyle w:val="ListBullet"/>
      </w:pPr>
      <w:r>
        <w:t>python3 src/build_report.py, build_pptx.py, build_excel.py, build_notebook.py - deliverables</w:t>
      </w:r>
    </w:p>
    <w:p>
      <w:pPr>
        <w:spacing w:after="120"/>
      </w:pPr>
      <w:r>
        <w:rPr>
          <w:b w:val="0"/>
          <w:i w:val="0"/>
        </w:rPr>
        <w:t>Every table in this report is read from data/research/*.csv, and the workbook crypto_stat_arb_data.xlsx contains every dataset and result.</w:t>
      </w:r>
    </w:p>
    <w:p>
      <w:pPr>
        <w:pStyle w:val="Heading1"/>
      </w:pPr>
      <w:r>
        <w:t>References</w:t>
      </w:r>
    </w:p>
    <w:p>
      <w:pPr>
        <w:spacing w:after="80"/>
        <w:ind w:left="576" w:hanging="576"/>
      </w:pPr>
      <w:r>
        <w:rPr>
          <w:b w:val="0"/>
          <w:i w:val="0"/>
        </w:rPr>
        <w:t>Bailey, D. H., &amp; Lopez de Prado, M. (2014). The deflated Sharpe ratio: Correcting for selection bias, backtest overfitting and non-normality. Journal of Portfolio Management, 40(5), 94-107.</w:t>
      </w:r>
    </w:p>
    <w:p>
      <w:pPr>
        <w:spacing w:after="80"/>
        <w:ind w:left="576" w:hanging="576"/>
      </w:pPr>
      <w:r>
        <w:rPr>
          <w:b w:val="0"/>
          <w:i w:val="0"/>
        </w:rPr>
        <w:t>Barroso, P., &amp; Santa-Clara, P. (2015). Momentum has its moments. Journal of Financial Economics, 116(1), 111-120.</w:t>
      </w:r>
    </w:p>
    <w:p>
      <w:pPr>
        <w:spacing w:after="80"/>
        <w:ind w:left="576" w:hanging="576"/>
      </w:pPr>
      <w:r>
        <w:rPr>
          <w:b w:val="0"/>
          <w:i w:val="0"/>
        </w:rPr>
        <w:t>Campbell, J. Y., Grossman, S. J., &amp; Wang, J. (1993). Trading volume and serial correlation in stock returns. Quarterly Journal of Economics, 108(4), 905-939.</w:t>
      </w:r>
    </w:p>
    <w:p>
      <w:pPr>
        <w:spacing w:after="80"/>
        <w:ind w:left="576" w:hanging="576"/>
      </w:pPr>
      <w:r>
        <w:rPr>
          <w:b w:val="0"/>
          <w:i w:val="0"/>
        </w:rPr>
        <w:t>Chan, E. P. (2013). Algorithmic trading: Winning strategies and their rationale. Wiley.</w:t>
      </w:r>
    </w:p>
    <w:p>
      <w:pPr>
        <w:spacing w:after="80"/>
        <w:ind w:left="576" w:hanging="576"/>
      </w:pPr>
      <w:r>
        <w:rPr>
          <w:b w:val="0"/>
          <w:i w:val="0"/>
        </w:rPr>
        <w:t>Daniel, K., &amp; Moskowitz, T. J. (2016). Momentum crashes. Journal of Financial Economics, 122(2), 221-247.</w:t>
      </w:r>
    </w:p>
    <w:p>
      <w:pPr>
        <w:spacing w:after="80"/>
        <w:ind w:left="576" w:hanging="576"/>
      </w:pPr>
      <w:r>
        <w:rPr>
          <w:b w:val="0"/>
          <w:i w:val="0"/>
        </w:rPr>
        <w:t>De Bondt, W. F. M., &amp; Thaler, R. (1985). Does the stock market overreact? Journal of Finance, 40(3), 793-805.</w:t>
      </w:r>
    </w:p>
    <w:p>
      <w:pPr>
        <w:spacing w:after="80"/>
        <w:ind w:left="576" w:hanging="576"/>
      </w:pPr>
      <w:r>
        <w:rPr>
          <w:b w:val="0"/>
          <w:i w:val="0"/>
        </w:rPr>
        <w:t>DeMiguel, V., Garlappi, L., &amp; Uppal, R. (2009). Optimal versus naive diversification: How inefficient is the 1/N portfolio strategy? Review of Financial Studies, 22(5), 1915-1953.</w:t>
      </w:r>
    </w:p>
    <w:p>
      <w:pPr>
        <w:spacing w:after="80"/>
        <w:ind w:left="576" w:hanging="576"/>
      </w:pPr>
      <w:r>
        <w:rPr>
          <w:b w:val="0"/>
          <w:i w:val="0"/>
        </w:rPr>
        <w:t>Do, B., &amp; Faff, R. (2010). Does simple pairs trading still work? Financial Analysts Journal, 66(4), 83-95.</w:t>
      </w:r>
    </w:p>
    <w:p>
      <w:pPr>
        <w:spacing w:after="80"/>
        <w:ind w:left="576" w:hanging="576"/>
      </w:pPr>
      <w:r>
        <w:rPr>
          <w:b w:val="0"/>
          <w:i w:val="0"/>
        </w:rPr>
        <w:t>Do, B., &amp; Faff, R. (2012). Are pairs trading profits robust to trading costs? Journal of Financial Research, 35(2), 261-287.</w:t>
      </w:r>
    </w:p>
    <w:p>
      <w:pPr>
        <w:spacing w:after="80"/>
        <w:ind w:left="576" w:hanging="576"/>
      </w:pPr>
      <w:r>
        <w:rPr>
          <w:b w:val="0"/>
          <w:i w:val="0"/>
        </w:rPr>
        <w:t>Dobrynskaya, V. (n.d.). Cryptocurrency momentum and reversal [Working paper]. HSE University.</w:t>
      </w:r>
    </w:p>
    <w:p>
      <w:pPr>
        <w:spacing w:after="80"/>
        <w:ind w:left="576" w:hanging="576"/>
      </w:pPr>
      <w:r>
        <w:rPr>
          <w:b w:val="0"/>
          <w:i w:val="0"/>
        </w:rPr>
        <w:t>Elliott, R. J., van der Hoek, J., &amp; Malcolm, W. P. (2005). Pairs trading. Quantitative Finance, 5(3), 271-276.</w:t>
      </w:r>
    </w:p>
    <w:p>
      <w:pPr>
        <w:spacing w:after="80"/>
        <w:ind w:left="576" w:hanging="576"/>
      </w:pPr>
      <w:r>
        <w:rPr>
          <w:b w:val="0"/>
          <w:i w:val="0"/>
        </w:rPr>
        <w:t>Engle, R. F., &amp; Granger, C. W. J. (1987). Co-integration and error correction: Representation, estimation, and testing. Econometrica, 55(2), 251-276.</w:t>
      </w:r>
    </w:p>
    <w:p>
      <w:pPr>
        <w:spacing w:after="80"/>
        <w:ind w:left="576" w:hanging="576"/>
      </w:pPr>
      <w:r>
        <w:rPr>
          <w:b w:val="0"/>
          <w:i w:val="0"/>
        </w:rPr>
        <w:t>Fil, M., &amp; Kristoufek, L. (2020). Pairs trading in cryptocurrency markets. IEEE Access, 8, 172644-172651.</w:t>
      </w:r>
    </w:p>
    <w:p>
      <w:pPr>
        <w:spacing w:after="80"/>
        <w:ind w:left="576" w:hanging="576"/>
      </w:pPr>
      <w:r>
        <w:rPr>
          <w:b w:val="0"/>
          <w:i w:val="0"/>
        </w:rPr>
        <w:t>Garleanu, N., &amp; Pedersen, L. H. (2013). Dynamic trading with predictable returns and transaction costs. Journal of Finance, 68(6), 2309-2340.</w:t>
      </w:r>
    </w:p>
    <w:p>
      <w:pPr>
        <w:spacing w:after="80"/>
        <w:ind w:left="576" w:hanging="576"/>
      </w:pPr>
      <w:r>
        <w:rPr>
          <w:b w:val="0"/>
          <w:i w:val="0"/>
        </w:rPr>
        <w:t>Gatev, E., Goetzmann, W. N., &amp; Rouwenhorst, K. G. (2006). Pairs trading: Performance of a relative-value arbitrage rule. Review of Financial Studies, 19(3), 797-827.</w:t>
      </w:r>
    </w:p>
    <w:p>
      <w:pPr>
        <w:spacing w:after="80"/>
        <w:ind w:left="576" w:hanging="576"/>
      </w:pPr>
      <w:r>
        <w:rPr>
          <w:b w:val="0"/>
          <w:i w:val="0"/>
        </w:rPr>
        <w:t>Han, H., Kang, J., &amp; Ryu, D. (2024). Time-series and cross-sectional momentum in the cryptocurrency market: A comprehensive analysis under realistic assumptions (SSRN Working Paper No. 4675565).</w:t>
      </w:r>
    </w:p>
    <w:p>
      <w:pPr>
        <w:spacing w:after="80"/>
        <w:ind w:left="576" w:hanging="576"/>
      </w:pPr>
      <w:r>
        <w:rPr>
          <w:b w:val="0"/>
          <w:i w:val="0"/>
        </w:rPr>
        <w:t>Harvey, C. R., Liu, Y., &amp; Zhu, H. (2016). ... and the cross-section of expected returns. Review of Financial Studies, 29(1), 5-68.</w:t>
      </w:r>
    </w:p>
    <w:p>
      <w:pPr>
        <w:spacing w:after="80"/>
        <w:ind w:left="576" w:hanging="576"/>
      </w:pPr>
      <w:r>
        <w:rPr>
          <w:b w:val="0"/>
          <w:i w:val="0"/>
        </w:rPr>
        <w:t>Heston, S. L., Korajczyk, R. A., &amp; Sadka, R. (2010). Intraday patterns in the cross-section of stock returns. Journal of Finance, 65(4), 1369-1407.</w:t>
      </w:r>
    </w:p>
    <w:p>
      <w:pPr>
        <w:spacing w:after="80"/>
        <w:ind w:left="576" w:hanging="576"/>
      </w:pPr>
      <w:r>
        <w:rPr>
          <w:b w:val="0"/>
          <w:i w:val="0"/>
        </w:rPr>
        <w:t>Jegadeesh, N., &amp; Titman, S. (1993). Returns to buying winners and selling losers: Implications for stock market efficiency. Journal of Finance, 48(1), 65-91.</w:t>
      </w:r>
    </w:p>
    <w:p>
      <w:pPr>
        <w:spacing w:after="80"/>
        <w:ind w:left="576" w:hanging="576"/>
      </w:pPr>
      <w:r>
        <w:rPr>
          <w:b w:val="0"/>
          <w:i w:val="0"/>
        </w:rPr>
        <w:t>Krauss, C. (2017). Statistical arbitrage pairs trading strategies: Review and outlook. Journal of Economic Surveys, 31(2), 513-545.</w:t>
      </w:r>
    </w:p>
    <w:p>
      <w:pPr>
        <w:spacing w:after="80"/>
        <w:ind w:left="576" w:hanging="576"/>
      </w:pPr>
      <w:r>
        <w:rPr>
          <w:b w:val="0"/>
          <w:i w:val="0"/>
        </w:rPr>
        <w:t>Lehmann, B. N. (1990). Fads, martingales, and market efficiency. Quarterly Journal of Economics, 105(1), 1-28.</w:t>
      </w:r>
    </w:p>
    <w:p>
      <w:pPr>
        <w:spacing w:after="80"/>
        <w:ind w:left="576" w:hanging="576"/>
      </w:pPr>
      <w:r>
        <w:rPr>
          <w:b w:val="0"/>
          <w:i w:val="0"/>
        </w:rPr>
        <w:t>Liu, Y., &amp; Tsyvinski, A. (2021). Risks and returns of cryptocurrency. Review of Financial Studies, 34(6), 2689-2727.</w:t>
      </w:r>
    </w:p>
    <w:p>
      <w:pPr>
        <w:spacing w:after="80"/>
        <w:ind w:left="576" w:hanging="576"/>
      </w:pPr>
      <w:r>
        <w:rPr>
          <w:b w:val="0"/>
          <w:i w:val="0"/>
        </w:rPr>
        <w:t>Liu, Y., Tsyvinski, A., &amp; Wu, X. (2022). Common risk factors in cryptocurrency. Journal of Finance, 77(2), 1133-1177.</w:t>
      </w:r>
    </w:p>
    <w:p>
      <w:pPr>
        <w:spacing w:after="80"/>
        <w:ind w:left="576" w:hanging="576"/>
      </w:pPr>
      <w:r>
        <w:rPr>
          <w:b w:val="0"/>
          <w:i w:val="0"/>
        </w:rPr>
        <w:t>Moskowitz, T. J., &amp; Grinblatt, M. (1999). Do industries explain momentum? Journal of Finance, 54(4), 1249-1290.</w:t>
      </w:r>
    </w:p>
    <w:p>
      <w:pPr>
        <w:spacing w:after="80"/>
        <w:ind w:left="576" w:hanging="576"/>
      </w:pPr>
      <w:r>
        <w:rPr>
          <w:b w:val="0"/>
          <w:i w:val="0"/>
        </w:rPr>
        <w:t>Moskowitz, T. J., Ooi, Y. H., &amp; Pedersen, L. H. (2012). Time series momentum. Journal of Financial Economics, 104(2), 228-250.</w:t>
      </w:r>
    </w:p>
    <w:p>
      <w:pPr>
        <w:spacing w:after="80"/>
        <w:ind w:left="576" w:hanging="576"/>
      </w:pPr>
      <w:r>
        <w:rPr>
          <w:b w:val="0"/>
          <w:i w:val="0"/>
        </w:rPr>
        <w:t>Nagel, S. (2012). Evaporating liquidity. Review of Financial Studies, 25(7), 2005-2039.</w:t>
      </w:r>
    </w:p>
    <w:p>
      <w:pPr>
        <w:spacing w:after="80"/>
        <w:ind w:left="576" w:hanging="576"/>
      </w:pPr>
      <w:r>
        <w:rPr>
          <w:b w:val="0"/>
          <w:i w:val="0"/>
        </w:rPr>
        <w:t>Vidyamurthy, G. (2004). Pairs trading: Quantitative methods and analysis. Wiley.</w:t>
      </w:r>
    </w:p>
    <w:p>
      <w:pPr>
        <w:spacing w:after="80"/>
        <w:ind w:left="576" w:hanging="576"/>
      </w:pPr>
      <w:r>
        <w:rPr>
          <w:b w:val="0"/>
          <w:i w:val="0"/>
        </w:rPr>
        <w:t>Wall Street Quants. (2025). Statistical arbitrage in cryptocurrencies: Course project brief [Class handout].</w:t>
      </w:r>
    </w:p>
    <w:sectPr w:rsidR="00FC693F" w:rsidRPr="0006063C" w:rsidSect="00034616">
      <w:footerReference w:type="default"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648" w:hanging="288"/>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