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0A2540"/>
          <w:sz w:val="56"/>
          <w:szCs w:val="56"/>
        </w:rPr>
        <w:t xml:space="preserve">JICHO FRAUD SYSTEM</w:t>
      </w:r>
    </w:p>
    <w:p>
      <w:pPr>
        <w:spacing w:after="600"/>
        <w:jc w:val="center"/>
      </w:pPr>
      <w:r>
        <w:rPr>
          <w:color w:val="1F7A6C"/>
          <w:sz w:val="28"/>
          <w:szCs w:val="28"/>
        </w:rPr>
        <w:t xml:space="preserve">Deployment Architecture: On-Premises Core with Cloud-Connected Update Channel</w:t>
      </w:r>
    </w:p>
    <w:p>
      <w:pPr>
        <w:spacing w:after="80"/>
        <w:jc w:val="center"/>
      </w:pPr>
      <w:r>
        <w:rPr>
          <w:color w:val="5A6472"/>
          <w:sz w:val="22"/>
          <w:szCs w:val="22"/>
        </w:rPr>
        <w:t xml:space="preserve">Technical &amp; Governance Reference — Version 1.0</w:t>
      </w:r>
    </w:p>
    <w:p>
      <w:pPr>
        <w:jc w:val="center"/>
      </w:pPr>
      <w:r>
        <w:rPr>
          <w:i/>
          <w:iCs/>
          <w:color w:val="5A6472"/>
          <w:sz w:val="20"/>
          <w:szCs w:val="20"/>
        </w:rPr>
        <w:t xml:space="preserve">Prepared for institutional review, procurement, and IT security due diligence</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pPr>
      <w:r>
        <w:t xml:space="preserve">The Jicho Fraud System (JFS) is designed on a single non-negotiable principle for financial-institution deployment: transaction data never leaves the institution's premises. All detection, hunting, case management, and investigation happen entirely within the institution's own infrastructure. The only traffic that crosses the network boundary is a narrow, one-way, cryptographically verified update channel that keeps the institution's fraud-detection rules current with newly identified typologies — without ever transmitting a single customer record, account number, or transaction outward.</w:t>
      </w:r>
    </w:p>
    <w:p>
      <w:pPr>
        <w:spacing w:after="160"/>
      </w:pPr>
      <w:r>
        <w:t xml:space="preserve">This document describes that architecture in full: what runs where, exactly what data flows in which direction, how updates are verified and governed before they ever reach production, and how the system continues operating safely if cloud connectivity is degraded or unavailable entirely.</w:t>
      </w:r>
    </w:p>
    <w:p>
      <w:pPr>
        <w:pBdr>
          <w:left w:val="single" w:color="1F7A6C" w:sz="12" w:space="8"/>
        </w:pBdr>
        <w:spacing w:after="200"/>
        <w:ind w:left="200"/>
      </w:pPr>
      <w:r>
        <w:rPr>
          <w:i/>
          <w:iCs/>
          <w:color w:val="5A6472"/>
          <w:sz w:val="20"/>
          <w:szCs w:val="20"/>
        </w:rPr>
        <w:t xml:space="preserve">Reading guide: Sections 2–4 are architecture and data flow (relevant to security/network teams). Section 5 is the update mechanism itself. Section 6 is the governance workflow (relevant to IT audit, CAB, and compliance teams). Sections 7–9 are operational and deployment detail (relevant to infrastructure teams).</w:t>
      </w:r>
    </w:p>
    <w:p>
      <w:pPr>
        <w:pStyle w:val="Heading1"/>
        <w:spacing w:after="160" w:before="360"/>
      </w:pPr>
      <w:r>
        <w:t xml:space="preserve">2. Deployment Philosophy</w:t>
      </w:r>
    </w:p>
    <w:p>
      <w:pPr>
        <w:spacing w:after="160"/>
      </w:pPr>
      <w:r>
        <w:t xml:space="preserve">Three considerations shape this architecture, in order of priority:</w:t>
      </w:r>
    </w:p>
    <w:p>
      <w:pPr>
        <w:pStyle w:val="ListParagraph"/>
        <w:numPr>
          <w:ilvl w:val="0"/>
          <w:numId w:val="2"/>
        </w:numPr>
        <w:spacing w:after="80"/>
      </w:pPr>
      <w:r>
        <w:t xml:space="preserve">Data residency and confidentiality: transaction, account, and case data are the institution's most sensitive assets and are subject to data protection law (e.g. Tanzania's Personal Data Protection Act 2022, Kenya's Data Protection Act 2019) and internal information security policy. This data must never be transmitted to, or processed by, any system outside the institution's control.</w:t>
      </w:r>
    </w:p>
    <w:p>
      <w:pPr>
        <w:pStyle w:val="ListParagraph"/>
        <w:numPr>
          <w:ilvl w:val="0"/>
          <w:numId w:val="2"/>
        </w:numPr>
        <w:spacing w:after="80"/>
      </w:pPr>
      <w:r>
        <w:t xml:space="preserve">Currency of detection: fraud typologies evolve continuously (see the AI-assisted rule-drafting and hunting capabilities described in the companion technical README). An on-premises-only system with no update mechanism goes stale the day it's deployed. A narrow, well-governed update channel solves this without compromising the first principle.</w:t>
      </w:r>
    </w:p>
    <w:p>
      <w:pPr>
        <w:pStyle w:val="ListParagraph"/>
        <w:numPr>
          <w:ilvl w:val="0"/>
          <w:numId w:val="2"/>
        </w:numPr>
        <w:spacing w:after="80"/>
      </w:pPr>
      <w:r>
        <w:t xml:space="preserve">Operational resilience: a bank's fraud detection cannot depend on continuous internet connectivity. The system must detect and alert on 100% of its core functionality with zero cloud connectivity, indefinitely, using the last-approved ruleset.</w:t>
      </w:r>
    </w:p>
    <w:p>
      <w:pPr>
        <w:spacing w:after="160"/>
      </w:pPr>
      <w:r>
        <w:t xml:space="preserve">These three considerations are why the architecture is described as “on-premises core, cloud-connected update channel” rather than any form of hybrid or cloud-hosted processing model.</w:t>
      </w:r>
    </w:p>
    <w:p>
      <w:pPr>
        <w:pStyle w:val="Heading1"/>
        <w:spacing w:after="160" w:before="360"/>
      </w:pPr>
      <w:r>
        <w:t xml:space="preserve">3. Architecture Overview</w:t>
      </w:r>
    </w:p>
    <w:p>
      <w:pPr>
        <w:pStyle w:val="Heading2"/>
        <w:spacing w:after="120" w:before="260"/>
      </w:pPr>
      <w:r>
        <w:t xml:space="preserve">3.1 On-Premises Components (inside the institution's network perimeter)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A2540" w:val="clear"/>
            <w:tcMar>
              <w:top w:type="dxa" w:w="80"/>
              <w:left w:type="dxa" w:w="100"/>
              <w:bottom w:type="dxa" w:w="80"/>
              <w:right w:type="dxa" w:w="100"/>
            </w:tcMar>
          </w:tcPr>
          <w:p>
            <w:pPr>
              <w:jc w:val="left"/>
            </w:pPr>
            <w:r>
              <w:rPr>
                <w:b/>
                <w:bCs/>
                <w:color w:val="FFFFFF"/>
                <w:sz w:val="20"/>
                <w:szCs w:val="20"/>
              </w:rPr>
              <w:t xml:space="preserve">Component</w:t>
            </w:r>
          </w:p>
        </w:tc>
        <w:tc>
          <w:tcPr>
            <w:tcW w:type="dxa" w:w="6960"/>
            <w:shd w:fill="0A2540" w:val="clear"/>
            <w:tcMar>
              <w:top w:type="dxa" w:w="80"/>
              <w:left w:type="dxa" w:w="100"/>
              <w:bottom w:type="dxa" w:w="80"/>
              <w:right w:type="dxa" w:w="100"/>
            </w:tcMar>
          </w:tcPr>
          <w:p>
            <w:pPr>
              <w:jc w:val="left"/>
            </w:pPr>
            <w:r>
              <w:rPr>
                <w:b/>
                <w:bCs/>
                <w:color w:val="FFFFFF"/>
                <w:sz w:val="20"/>
                <w:szCs w:val="20"/>
              </w:rPr>
              <w:t xml:space="preserve">Function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Ingestion Layer</w:t>
            </w:r>
          </w:p>
        </w:tc>
        <w:tc>
          <w:tcPr>
            <w:tcW w:type="dxa" w:w="6960"/>
            <w:tcMar>
              <w:top w:type="dxa" w:w="80"/>
              <w:left w:type="dxa" w:w="100"/>
              <w:bottom w:type="dxa" w:w="80"/>
              <w:right w:type="dxa" w:w="100"/>
            </w:tcMar>
          </w:tcPr>
          <w:p>
            <w:pPr>
              <w:jc w:val="left"/>
            </w:pPr>
            <w:r>
              <w:rPr>
                <w:b w:val="false"/>
                <w:bCs w:val="false"/>
                <w:color w:val="000000"/>
                <w:sz w:val="20"/>
                <w:szCs w:val="20"/>
              </w:rPr>
              <w:t xml:space="preserve">Reads transaction data from core banking / mobile money / card processing systems (batch file or API), validates schema.</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Rules Engine</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Runs all registered detection rules (18 at current count) against ingested data. Fully local; no external calls during evaluation.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Hunting Module</w:t>
            </w:r>
          </w:p>
        </w:tc>
        <w:tc>
          <w:tcPr>
            <w:tcW w:type="dxa" w:w="6960"/>
            <w:tcMar>
              <w:top w:type="dxa" w:w="80"/>
              <w:left w:type="dxa" w:w="100"/>
              <w:bottom w:type="dxa" w:w="80"/>
              <w:right w:type="dxa" w:w="100"/>
            </w:tcMar>
          </w:tcPr>
          <w:p>
            <w:pPr>
              <w:jc w:val="left"/>
            </w:pPr>
            <w:r>
              <w:rPr>
                <w:b w:val="false"/>
                <w:bCs w:val="false"/>
                <w:color w:val="000000"/>
                <w:sz w:val="20"/>
                <w:szCs w:val="20"/>
              </w:rPr>
              <w:t xml:space="preserve">Proactive search, link analysis, and similarity ranking over local transaction data. Never leaves the local data store.</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Case Management Dashboard</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Alert triage, investigation briefs, and hunt-lead review for fraud analysts. Local web application.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Local Data Store</w:t>
            </w:r>
          </w:p>
        </w:tc>
        <w:tc>
          <w:tcPr>
            <w:tcW w:type="dxa" w:w="6960"/>
            <w:tcMar>
              <w:top w:type="dxa" w:w="80"/>
              <w:left w:type="dxa" w:w="100"/>
              <w:bottom w:type="dxa" w:w="80"/>
              <w:right w:type="dxa" w:w="100"/>
            </w:tcMar>
          </w:tcPr>
          <w:p>
            <w:pPr>
              <w:jc w:val="left"/>
            </w:pPr>
            <w:r>
              <w:rPr>
                <w:b w:val="false"/>
                <w:bCs w:val="false"/>
                <w:color w:val="000000"/>
                <w:sz w:val="20"/>
                <w:szCs w:val="20"/>
              </w:rPr>
              <w:t xml:space="preserve">Holds all transaction data, alerts, case notes, and audit logs. Institution-owned and institution-controlled storage.</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Update Agent</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The only component with any outbound network capability. Pulls, verifies, and stages rule/config updates. Detailed in Section 5.</w:t>
            </w:r>
          </w:p>
        </w:tc>
      </w:tr>
    </w:tbl>
    <w:p>
      <w:pPr>
        <w:pStyle w:val="Heading2"/>
        <w:spacing w:after="120" w:before="260"/>
      </w:pPr>
      <w:r>
        <w:t xml:space="preserve">3.2 Cloud Components (operated by the JFS vendor, outside the institution's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A2540" w:val="clear"/>
            <w:tcMar>
              <w:top w:type="dxa" w:w="80"/>
              <w:left w:type="dxa" w:w="100"/>
              <w:bottom w:type="dxa" w:w="80"/>
              <w:right w:type="dxa" w:w="100"/>
            </w:tcMar>
          </w:tcPr>
          <w:p>
            <w:pPr>
              <w:jc w:val="left"/>
            </w:pPr>
            <w:r>
              <w:rPr>
                <w:b/>
                <w:bCs/>
                <w:color w:val="FFFFFF"/>
                <w:sz w:val="20"/>
                <w:szCs w:val="20"/>
              </w:rPr>
              <w:t xml:space="preserve">Component</w:t>
            </w:r>
          </w:p>
        </w:tc>
        <w:tc>
          <w:tcPr>
            <w:tcW w:type="dxa" w:w="6960"/>
            <w:shd w:fill="0A2540" w:val="clear"/>
            <w:tcMar>
              <w:top w:type="dxa" w:w="80"/>
              <w:left w:type="dxa" w:w="100"/>
              <w:bottom w:type="dxa" w:w="80"/>
              <w:right w:type="dxa" w:w="100"/>
            </w:tcMar>
          </w:tcPr>
          <w:p>
            <w:pPr>
              <w:jc w:val="left"/>
            </w:pPr>
            <w:r>
              <w:rPr>
                <w:b/>
                <w:bCs/>
                <w:color w:val="FFFFFF"/>
                <w:sz w:val="20"/>
                <w:szCs w:val="20"/>
              </w:rPr>
              <w:t xml:space="preserve">Function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Update Distribution Service</w:t>
            </w:r>
          </w:p>
        </w:tc>
        <w:tc>
          <w:tcPr>
            <w:tcW w:type="dxa" w:w="6960"/>
            <w:tcMar>
              <w:top w:type="dxa" w:w="80"/>
              <w:left w:type="dxa" w:w="100"/>
              <w:bottom w:type="dxa" w:w="80"/>
              <w:right w:type="dxa" w:w="100"/>
            </w:tcMar>
          </w:tcPr>
          <w:p>
            <w:pPr>
              <w:jc w:val="left"/>
            </w:pPr>
            <w:r>
              <w:rPr>
                <w:b w:val="false"/>
                <w:bCs w:val="false"/>
                <w:color w:val="000000"/>
                <w:sz w:val="20"/>
                <w:szCs w:val="20"/>
              </w:rPr>
              <w:t xml:space="preserve">Publishes signed, versioned update packages (new/retuned rules, threat advisories). Never initiates contact with an institution — it only responds to pulls.</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Rule Research &amp; Review Pipeline</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Where new typologies (including AI-drafted candidate rules) are researched, tested, and human-reviewed before being published as an update package. See companion technical documentation for the AI-assisted rule-drafting workflow this feeds from.</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Telemetry Aggregator (opt-in only)</w:t>
            </w:r>
          </w:p>
        </w:tc>
        <w:tc>
          <w:tcPr>
            <w:tcW w:type="dxa" w:w="6960"/>
            <w:tcMar>
              <w:top w:type="dxa" w:w="80"/>
              <w:left w:type="dxa" w:w="100"/>
              <w:bottom w:type="dxa" w:w="80"/>
              <w:right w:type="dxa" w:w="100"/>
            </w:tcMar>
          </w:tcPr>
          <w:p>
            <w:pPr>
              <w:jc w:val="left"/>
            </w:pPr>
            <w:r>
              <w:rPr>
                <w:b w:val="false"/>
                <w:bCs w:val="false"/>
                <w:color w:val="000000"/>
                <w:sz w:val="20"/>
                <w:szCs w:val="20"/>
              </w:rPr>
              <w:t xml:space="preserve">Receives only aggregate, anonymized statistics if an institution explicitly opts in (e.g. “Rule R7 fired 40 times across participating institutions this quarter”) — never account-level or transaction-level data. Opt-out is the default.</w:t>
            </w:r>
          </w:p>
        </w:tc>
      </w:tr>
    </w:tbl>
    <w:p>
      <w:pPr>
        <w:pStyle w:val="Heading1"/>
        <w:spacing w:after="160" w:before="360"/>
      </w:pPr>
      <w:r>
        <w:t xml:space="preserve">4. Data Flow &amp; Data Residency</w:t>
      </w:r>
    </w:p>
    <w:p>
      <w:pPr>
        <w:spacing w:after="160"/>
      </w:pPr>
      <w:r>
        <w:t xml:space="preserve">The single most important architectural fact for a security review is captured in the table below: what crosses the boundary, in which direction, and under what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shd w:fill="0A2540" w:val="clear"/>
            <w:tcMar>
              <w:top w:type="dxa" w:w="80"/>
              <w:left w:type="dxa" w:w="100"/>
              <w:bottom w:type="dxa" w:w="80"/>
              <w:right w:type="dxa" w:w="100"/>
            </w:tcMar>
          </w:tcPr>
          <w:p>
            <w:pPr>
              <w:jc w:val="left"/>
            </w:pPr>
            <w:r>
              <w:rPr>
                <w:b/>
                <w:bCs/>
                <w:color w:val="FFFFFF"/>
                <w:sz w:val="20"/>
                <w:szCs w:val="20"/>
              </w:rPr>
              <w:t xml:space="preserve">Direction</w:t>
            </w:r>
          </w:p>
        </w:tc>
        <w:tc>
          <w:tcPr>
            <w:tcW w:type="dxa" w:w="4600"/>
            <w:shd w:fill="0A2540" w:val="clear"/>
            <w:tcMar>
              <w:top w:type="dxa" w:w="80"/>
              <w:left w:type="dxa" w:w="100"/>
              <w:bottom w:type="dxa" w:w="80"/>
              <w:right w:type="dxa" w:w="100"/>
            </w:tcMar>
          </w:tcPr>
          <w:p>
            <w:pPr>
              <w:jc w:val="left"/>
            </w:pPr>
            <w:r>
              <w:rPr>
                <w:b/>
                <w:bCs/>
                <w:color w:val="FFFFFF"/>
                <w:sz w:val="20"/>
                <w:szCs w:val="20"/>
              </w:rPr>
              <w:t xml:space="preserve">What Crosses</w:t>
            </w:r>
          </w:p>
        </w:tc>
        <w:tc>
          <w:tcPr>
            <w:tcW w:type="dxa" w:w="2960"/>
            <w:shd w:fill="0A2540" w:val="clear"/>
            <w:tcMar>
              <w:top w:type="dxa" w:w="80"/>
              <w:left w:type="dxa" w:w="100"/>
              <w:bottom w:type="dxa" w:w="80"/>
              <w:right w:type="dxa" w:w="100"/>
            </w:tcMar>
          </w:tcPr>
          <w:p>
            <w:pPr>
              <w:jc w:val="left"/>
            </w:pPr>
            <w:r>
              <w:rPr>
                <w:b/>
                <w:bCs/>
                <w:color w:val="FFFFFF"/>
                <w:sz w:val="20"/>
                <w:szCs w:val="20"/>
              </w:rPr>
              <w:t xml:space="preserve">Condition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On-prem → Cloud</w:t>
            </w:r>
          </w:p>
        </w:tc>
        <w:tc>
          <w:tcPr>
            <w:tcW w:type="dxa" w:w="4600"/>
            <w:tcMar>
              <w:top w:type="dxa" w:w="80"/>
              <w:left w:type="dxa" w:w="100"/>
              <w:bottom w:type="dxa" w:w="80"/>
              <w:right w:type="dxa" w:w="100"/>
            </w:tcMar>
          </w:tcPr>
          <w:p>
            <w:pPr>
              <w:jc w:val="left"/>
            </w:pPr>
            <w:r>
              <w:rPr>
                <w:b w:val="false"/>
                <w:bCs w:val="false"/>
                <w:color w:val="000000"/>
                <w:sz w:val="20"/>
                <w:szCs w:val="20"/>
              </w:rPr>
              <w:t xml:space="preserve">NOTHING by default. No transaction data, account identifiers, alerts, case notes, or hunting queries/results ever leave the premises.</w:t>
            </w:r>
          </w:p>
        </w:tc>
        <w:tc>
          <w:tcPr>
            <w:tcW w:type="dxa" w:w="2960"/>
            <w:tcMar>
              <w:top w:type="dxa" w:w="80"/>
              <w:left w:type="dxa" w:w="100"/>
              <w:bottom w:type="dxa" w:w="80"/>
              <w:right w:type="dxa" w:w="100"/>
            </w:tcMar>
          </w:tcPr>
          <w:p>
            <w:pPr>
              <w:jc w:val="left"/>
            </w:pPr>
            <w:r>
              <w:rPr>
                <w:b w:val="false"/>
                <w:bCs w:val="false"/>
                <w:color w:val="000000"/>
                <w:sz w:val="20"/>
                <w:szCs w:val="20"/>
              </w:rPr>
              <w:t xml:space="preserve">Always — not configurable downward, no admin override exists to widen this.</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On-prem → Cloud</w:t>
            </w:r>
          </w:p>
        </w:tc>
        <w:tc>
          <w:tcPr>
            <w:tcW w:type="dxa" w:w="4600"/>
            <w:shd w:fill="F2F2F2" w:val="clear"/>
            <w:tcMar>
              <w:top w:type="dxa" w:w="80"/>
              <w:left w:type="dxa" w:w="100"/>
              <w:bottom w:type="dxa" w:w="80"/>
              <w:right w:type="dxa" w:w="100"/>
            </w:tcMar>
          </w:tcPr>
          <w:p>
            <w:pPr>
              <w:jc w:val="left"/>
            </w:pPr>
            <w:r>
              <w:rPr>
                <w:b w:val="false"/>
                <w:bCs w:val="false"/>
                <w:color w:val="000000"/>
                <w:sz w:val="20"/>
                <w:szCs w:val="20"/>
              </w:rPr>
              <w:t xml:space="preserve">Aggregate, anonymized usage statistics (e.g. rule fire-counts, no identifiers)</w:t>
            </w:r>
          </w:p>
        </w:tc>
        <w:tc>
          <w:tcPr>
            <w:tcW w:type="dxa" w:w="2960"/>
            <w:shd w:fill="F2F2F2" w:val="clear"/>
            <w:tcMar>
              <w:top w:type="dxa" w:w="80"/>
              <w:left w:type="dxa" w:w="100"/>
              <w:bottom w:type="dxa" w:w="80"/>
              <w:right w:type="dxa" w:w="100"/>
            </w:tcMar>
          </w:tcPr>
          <w:p>
            <w:pPr>
              <w:jc w:val="left"/>
            </w:pPr>
            <w:r>
              <w:rPr>
                <w:b w:val="false"/>
                <w:bCs w:val="false"/>
                <w:color w:val="000000"/>
                <w:sz w:val="20"/>
                <w:szCs w:val="20"/>
              </w:rPr>
              <w:t xml:space="preserve">ONLY if the institution explicitly opts in. Default is off.</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Cloud → On-prem</w:t>
            </w:r>
          </w:p>
        </w:tc>
        <w:tc>
          <w:tcPr>
            <w:tcW w:type="dxa" w:w="4600"/>
            <w:tcMar>
              <w:top w:type="dxa" w:w="80"/>
              <w:left w:type="dxa" w:w="100"/>
              <w:bottom w:type="dxa" w:w="80"/>
              <w:right w:type="dxa" w:w="100"/>
            </w:tcMar>
          </w:tcPr>
          <w:p>
            <w:pPr>
              <w:jc w:val="left"/>
            </w:pPr>
            <w:r>
              <w:rPr>
                <w:b w:val="false"/>
                <w:bCs w:val="false"/>
                <w:color w:val="000000"/>
                <w:sz w:val="20"/>
                <w:szCs w:val="20"/>
              </w:rPr>
              <w:t xml:space="preserve">Signed rule/config update packages, threat advisories, software patches</w:t>
            </w:r>
          </w:p>
        </w:tc>
        <w:tc>
          <w:tcPr>
            <w:tcW w:type="dxa" w:w="2960"/>
            <w:tcMar>
              <w:top w:type="dxa" w:w="80"/>
              <w:left w:type="dxa" w:w="100"/>
              <w:bottom w:type="dxa" w:w="80"/>
              <w:right w:type="dxa" w:w="100"/>
            </w:tcMar>
          </w:tcPr>
          <w:p>
            <w:pPr>
              <w:jc w:val="left"/>
            </w:pPr>
            <w:r>
              <w:rPr>
                <w:b w:val="false"/>
                <w:bCs w:val="false"/>
                <w:color w:val="000000"/>
                <w:sz w:val="20"/>
                <w:szCs w:val="20"/>
              </w:rPr>
              <w:t xml:space="preserve">Only in response to a pull initiated by the on-prem Update Agent. The cloud service never opens a connection to the institution.</w:t>
            </w:r>
          </w:p>
        </w:tc>
      </w:tr>
    </w:tbl>
    <w:p>
      <w:pPr>
        <w:pBdr>
          <w:left w:val="single" w:color="1F7A6C" w:sz="12" w:space="8"/>
        </w:pBdr>
        <w:spacing w:after="200"/>
        <w:ind w:left="200"/>
      </w:pPr>
      <w:r>
        <w:rPr>
          <w:i/>
          <w:iCs/>
          <w:color w:val="5A6472"/>
          <w:sz w:val="20"/>
          <w:szCs w:val="20"/>
        </w:rPr>
        <w:t xml:space="preserve">This is a pull-only model, not push. The institution's network never needs to accept an inbound connection from the vendor's cloud service for any reason. This materially simplifies the firewall/DMZ review, since there is no inbound rule to justify at all — only a single outbound allow-list entry.</w:t>
      </w:r>
    </w:p>
    <w:p>
      <w:pPr>
        <w:pStyle w:val="Heading1"/>
        <w:spacing w:after="160" w:before="360"/>
      </w:pPr>
      <w:r>
        <w:t xml:space="preserve">5. The Update Mechanism</w:t>
      </w:r>
    </w:p>
    <w:p>
      <w:pPr>
        <w:pStyle w:val="Heading2"/>
        <w:spacing w:after="120" w:before="260"/>
      </w:pPr>
      <w:r>
        <w:t xml:space="preserve">5.1 What gets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0A2540" w:val="clear"/>
            <w:tcMar>
              <w:top w:type="dxa" w:w="80"/>
              <w:left w:type="dxa" w:w="100"/>
              <w:bottom w:type="dxa" w:w="80"/>
              <w:right w:type="dxa" w:w="100"/>
            </w:tcMar>
          </w:tcPr>
          <w:p>
            <w:pPr>
              <w:jc w:val="left"/>
            </w:pPr>
            <w:r>
              <w:rPr>
                <w:b/>
                <w:bCs/>
                <w:color w:val="FFFFFF"/>
                <w:sz w:val="20"/>
                <w:szCs w:val="20"/>
              </w:rPr>
              <w:t xml:space="preserve">Package Type</w:t>
            </w:r>
          </w:p>
        </w:tc>
        <w:tc>
          <w:tcPr>
            <w:tcW w:type="dxa" w:w="4800"/>
            <w:shd w:fill="0A2540" w:val="clear"/>
            <w:tcMar>
              <w:top w:type="dxa" w:w="80"/>
              <w:left w:type="dxa" w:w="100"/>
              <w:bottom w:type="dxa" w:w="80"/>
              <w:right w:type="dxa" w:w="100"/>
            </w:tcMar>
          </w:tcPr>
          <w:p>
            <w:pPr>
              <w:jc w:val="left"/>
            </w:pPr>
            <w:r>
              <w:rPr>
                <w:b/>
                <w:bCs/>
                <w:color w:val="FFFFFF"/>
                <w:sz w:val="20"/>
                <w:szCs w:val="20"/>
              </w:rPr>
              <w:t xml:space="preserve">Contents</w:t>
            </w:r>
          </w:p>
        </w:tc>
        <w:tc>
          <w:tcPr>
            <w:tcW w:type="dxa" w:w="2360"/>
            <w:shd w:fill="0A2540" w:val="clear"/>
            <w:tcMar>
              <w:top w:type="dxa" w:w="80"/>
              <w:left w:type="dxa" w:w="100"/>
              <w:bottom w:type="dxa" w:w="80"/>
              <w:right w:type="dxa" w:w="100"/>
            </w:tcMar>
          </w:tcPr>
          <w:p>
            <w:pPr>
              <w:jc w:val="left"/>
            </w:pPr>
            <w:r>
              <w:rPr>
                <w:b/>
                <w:bCs/>
                <w:color w:val="FFFFFF"/>
                <w:sz w:val="20"/>
                <w:szCs w:val="20"/>
              </w:rPr>
              <w:t xml:space="preserve">Typical Frequency</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Threshold/config update</w:t>
            </w:r>
          </w:p>
        </w:tc>
        <w:tc>
          <w:tcPr>
            <w:tcW w:type="dxa" w:w="4800"/>
            <w:tcMar>
              <w:top w:type="dxa" w:w="80"/>
              <w:left w:type="dxa" w:w="100"/>
              <w:bottom w:type="dxa" w:w="80"/>
              <w:right w:type="dxa" w:w="100"/>
            </w:tcMar>
          </w:tcPr>
          <w:p>
            <w:pPr>
              <w:jc w:val="left"/>
            </w:pPr>
            <w:r>
              <w:rPr>
                <w:b w:val="false"/>
                <w:bCs w:val="false"/>
                <w:color w:val="000000"/>
                <w:sz w:val="20"/>
                <w:szCs w:val="20"/>
              </w:rPr>
              <w:t xml:space="preserve">Retuned numeric thresholds for existing rules (e.g. adjusting a velocity window based on aggregate false-positive feedback across opted-in institutions)</w:t>
            </w:r>
          </w:p>
        </w:tc>
        <w:tc>
          <w:tcPr>
            <w:tcW w:type="dxa" w:w="2360"/>
            <w:tcMar>
              <w:top w:type="dxa" w:w="80"/>
              <w:left w:type="dxa" w:w="100"/>
              <w:bottom w:type="dxa" w:w="80"/>
              <w:right w:type="dxa" w:w="100"/>
            </w:tcMar>
          </w:tcPr>
          <w:p>
            <w:pPr>
              <w:jc w:val="left"/>
            </w:pPr>
            <w:r>
              <w:rPr>
                <w:b w:val="false"/>
                <w:bCs w:val="false"/>
                <w:color w:val="000000"/>
                <w:sz w:val="20"/>
                <w:szCs w:val="20"/>
              </w:rPr>
              <w:t xml:space="preserve">As needed, reviewed quarterly</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New rule module</w:t>
            </w:r>
          </w:p>
        </w:tc>
        <w:tc>
          <w:tcPr>
            <w:tcW w:type="dxa" w:w="4800"/>
            <w:shd w:fill="F2F2F2" w:val="clear"/>
            <w:tcMar>
              <w:top w:type="dxa" w:w="80"/>
              <w:left w:type="dxa" w:w="100"/>
              <w:bottom w:type="dxa" w:w="80"/>
              <w:right w:type="dxa" w:w="100"/>
            </w:tcMar>
          </w:tcPr>
          <w:p>
            <w:pPr>
              <w:jc w:val="left"/>
            </w:pPr>
            <w:r>
              <w:rPr>
                <w:b w:val="false"/>
                <w:bCs w:val="false"/>
                <w:color w:val="000000"/>
                <w:sz w:val="20"/>
                <w:szCs w:val="20"/>
              </w:rPr>
              <w:t xml:space="preserve">A new detection rule for an emerging typology — human-reviewed before publication, following the same review discipline as the AI-assisted rule-drafting workflow described in the technical README</w:t>
            </w:r>
          </w:p>
        </w:tc>
        <w:tc>
          <w:tcPr>
            <w:tcW w:type="dxa" w:w="2360"/>
            <w:shd w:fill="F2F2F2" w:val="clear"/>
            <w:tcMar>
              <w:top w:type="dxa" w:w="80"/>
              <w:left w:type="dxa" w:w="100"/>
              <w:bottom w:type="dxa" w:w="80"/>
              <w:right w:type="dxa" w:w="100"/>
            </w:tcMar>
          </w:tcPr>
          <w:p>
            <w:pPr>
              <w:jc w:val="left"/>
            </w:pPr>
            <w:r>
              <w:rPr>
                <w:b w:val="false"/>
                <w:bCs w:val="false"/>
                <w:color w:val="000000"/>
                <w:sz w:val="20"/>
                <w:szCs w:val="20"/>
              </w:rPr>
              <w:t xml:space="preserve">As new typologies are identified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Threat advisory</w:t>
            </w:r>
          </w:p>
        </w:tc>
        <w:tc>
          <w:tcPr>
            <w:tcW w:type="dxa" w:w="4800"/>
            <w:tcMar>
              <w:top w:type="dxa" w:w="80"/>
              <w:left w:type="dxa" w:w="100"/>
              <w:bottom w:type="dxa" w:w="80"/>
              <w:right w:type="dxa" w:w="100"/>
            </w:tcMar>
          </w:tcPr>
          <w:p>
            <w:pPr>
              <w:jc w:val="left"/>
            </w:pPr>
            <w:r>
              <w:rPr>
                <w:b w:val="false"/>
                <w:bCs w:val="false"/>
                <w:color w:val="000000"/>
                <w:sz w:val="20"/>
                <w:szCs w:val="20"/>
              </w:rPr>
              <w:t xml:space="preserve">Informational bulletin on an emerging fraud pattern, with or without an accompanying rule (some typologies, like deepfake-driven social engineering, are process controls rather than detectable transaction patterns — advisories cover these too)</w:t>
            </w:r>
          </w:p>
        </w:tc>
        <w:tc>
          <w:tcPr>
            <w:tcW w:type="dxa" w:w="2360"/>
            <w:tcMar>
              <w:top w:type="dxa" w:w="80"/>
              <w:left w:type="dxa" w:w="100"/>
              <w:bottom w:type="dxa" w:w="80"/>
              <w:right w:type="dxa" w:w="100"/>
            </w:tcMar>
          </w:tcPr>
          <w:p>
            <w:pPr>
              <w:jc w:val="left"/>
            </w:pPr>
            <w:r>
              <w:rPr>
                <w:b w:val="false"/>
                <w:bCs w:val="false"/>
                <w:color w:val="000000"/>
                <w:sz w:val="20"/>
                <w:szCs w:val="20"/>
              </w:rPr>
              <w:t xml:space="preserve">As identified</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Software/security patch</w:t>
            </w:r>
          </w:p>
        </w:tc>
        <w:tc>
          <w:tcPr>
            <w:tcW w:type="dxa" w:w="4800"/>
            <w:shd w:fill="F2F2F2" w:val="clear"/>
            <w:tcMar>
              <w:top w:type="dxa" w:w="80"/>
              <w:left w:type="dxa" w:w="100"/>
              <w:bottom w:type="dxa" w:w="80"/>
              <w:right w:type="dxa" w:w="100"/>
            </w:tcMar>
          </w:tcPr>
          <w:p>
            <w:pPr>
              <w:jc w:val="left"/>
            </w:pPr>
            <w:r>
              <w:rPr>
                <w:b w:val="false"/>
                <w:bCs w:val="false"/>
                <w:color w:val="000000"/>
                <w:sz w:val="20"/>
                <w:szCs w:val="20"/>
              </w:rPr>
              <w:t xml:space="preserve">Bug fixes and security patches to the JFS software itself</w:t>
            </w:r>
          </w:p>
        </w:tc>
        <w:tc>
          <w:tcPr>
            <w:tcW w:type="dxa" w:w="2360"/>
            <w:shd w:fill="F2F2F2" w:val="clear"/>
            <w:tcMar>
              <w:top w:type="dxa" w:w="80"/>
              <w:left w:type="dxa" w:w="100"/>
              <w:bottom w:type="dxa" w:w="80"/>
              <w:right w:type="dxa" w:w="100"/>
            </w:tcMar>
          </w:tcPr>
          <w:p>
            <w:pPr>
              <w:jc w:val="left"/>
            </w:pPr>
            <w:r>
              <w:rPr>
                <w:b w:val="false"/>
                <w:bCs w:val="false"/>
                <w:color w:val="000000"/>
                <w:sz w:val="20"/>
                <w:szCs w:val="20"/>
              </w:rPr>
              <w:t xml:space="preserve">As needed</w:t>
            </w:r>
          </w:p>
        </w:tc>
      </w:tr>
    </w:tbl>
    <w:p>
      <w:pPr>
        <w:pStyle w:val="Heading2"/>
        <w:spacing w:after="120" w:before="260"/>
      </w:pPr>
      <w:r>
        <w:t xml:space="preserve">5.2 How a pull works, step by step</w:t>
      </w:r>
    </w:p>
    <w:p>
      <w:pPr>
        <w:pStyle w:val="ListParagraph"/>
        <w:numPr>
          <w:ilvl w:val="0"/>
          <w:numId w:val="2"/>
        </w:numPr>
        <w:spacing w:after="80"/>
      </w:pPr>
      <w:r>
        <w:t xml:space="preserve">The on-prem Update Agent initiates an outbound HTTPS connection (TLS 1.3) to a single allow-listed vendor endpoint, on a schedule the institution configures (e.g. daily or weekly).</w:t>
      </w:r>
    </w:p>
    <w:p>
      <w:pPr>
        <w:pStyle w:val="ListParagraph"/>
        <w:numPr>
          <w:ilvl w:val="0"/>
          <w:numId w:val="2"/>
        </w:numPr>
        <w:spacing w:after="80"/>
      </w:pPr>
      <w:r>
        <w:t xml:space="preserve">The connection is mutually authenticated (mutual TLS or a rotated API key, per institutional security policy) so the vendor endpoint can verify the connecting institution and vice versa.</w:t>
      </w:r>
    </w:p>
    <w:p>
      <w:pPr>
        <w:pStyle w:val="ListParagraph"/>
        <w:numPr>
          <w:ilvl w:val="0"/>
          <w:numId w:val="2"/>
        </w:numPr>
        <w:spacing w:after="80"/>
      </w:pPr>
      <w:r>
        <w:t xml:space="preserve">The Update Agent requests only “what's new since version X” — it does not upload any local data as part of this request beyond the current installed version number.</w:t>
      </w:r>
    </w:p>
    <w:p>
      <w:pPr>
        <w:pStyle w:val="ListParagraph"/>
        <w:numPr>
          <w:ilvl w:val="0"/>
          <w:numId w:val="2"/>
        </w:numPr>
        <w:spacing w:after="80"/>
      </w:pPr>
      <w:r>
        <w:t xml:space="preserve">Any returned package is cryptographically signed by the vendor's release key. The Update Agent verifies the signature and checksum BEFORE the package is unpacked or read further. An invalid signature causes the package to be discarded and logged as a security event — never silently applied.</w:t>
      </w:r>
    </w:p>
    <w:p>
      <w:pPr>
        <w:pStyle w:val="ListParagraph"/>
        <w:numPr>
          <w:ilvl w:val="0"/>
          <w:numId w:val="2"/>
        </w:numPr>
        <w:spacing w:after="80"/>
      </w:pPr>
      <w:r>
        <w:t xml:space="preserve">A verified package lands in a local STAGING area. It is never auto-promoted to production. See Section 6 for what happens next.</w:t>
      </w:r>
    </w:p>
    <w:p>
      <w:pPr>
        <w:pStyle w:val="Heading2"/>
        <w:spacing w:after="120" w:before="260"/>
      </w:pPr>
      <w:r>
        <w:t xml:space="preserve">5.3 Rollback</w:t>
      </w:r>
    </w:p>
    <w:p>
      <w:pPr>
        <w:spacing w:after="160"/>
      </w:pPr>
      <w:r>
        <w:t xml:space="preserve">The on-premises installation retains the previous three approved rule/config versions locally at all times. Rolling back is a local, offline operation — it does not require cloud connectivity and can be performed immediately if a newly promoted update causes unexpected behavior in production.</w:t>
      </w:r>
    </w:p>
    <w:p>
      <w:pPr>
        <w:pStyle w:val="Heading2"/>
        <w:spacing w:after="120" w:before="260"/>
      </w:pPr>
      <w:r>
        <w:t xml:space="preserve">5.4 Offline resilience</w:t>
      </w:r>
    </w:p>
    <w:p>
      <w:pPr>
        <w:spacing w:after="160"/>
      </w:pPr>
      <w:r>
        <w:t xml:space="preserve">If the cloud endpoint is unreachable — for any reason, for any duration — the system continues detecting and alerting using the last-approved ruleset, indefinitely. A failed update check is logged and can optionally raise an internal monitoring alert to the institution's own IT operations team, but it never blocks, degrades, or pauses transaction processing or alerting in any way. JFS can also operate fully air-gapped, with update packages imported manually via removable media following the institution's own data-import security procedure, for institutions whose policy prohibits any outbound internet connectivity at all.</w:t>
      </w:r>
    </w:p>
    <w:p>
      <w:pPr>
        <w:pStyle w:val="Heading1"/>
        <w:spacing w:after="160" w:before="360"/>
      </w:pPr>
      <w:r>
        <w:t xml:space="preserve">6. Governance Workflow: From Cloud Publication to Production</w:t>
      </w:r>
    </w:p>
    <w:p>
      <w:pPr>
        <w:spacing w:after="160"/>
      </w:pPr>
      <w:r>
        <w:t xml:space="preserve">An update package reaching an institution's staging area is the beginning of the approval process, not the end of it. The recommended workflow below follows a hybrid Agile/CAB (Change Advisory Board) governance model for regulated IT changes — consistent with ITIL 4, ISO/IEC 20000, and COBIT 2019 change-management practice, and adaptable to an institution's existing change management framework rather than requiring a new parallel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760"/>
      </w:tblGrid>
      <w:tr>
        <w:trPr>
          <w:tblHeader/>
        </w:trPr>
        <w:tc>
          <w:tcPr>
            <w:tcW w:type="dxa" w:w="900"/>
            <w:shd w:fill="0A2540" w:val="clear"/>
            <w:tcMar>
              <w:top w:type="dxa" w:w="80"/>
              <w:left w:type="dxa" w:w="100"/>
              <w:bottom w:type="dxa" w:w="80"/>
              <w:right w:type="dxa" w:w="100"/>
            </w:tcMar>
          </w:tcPr>
          <w:p>
            <w:pPr>
              <w:jc w:val="left"/>
            </w:pPr>
            <w:r>
              <w:rPr>
                <w:b/>
                <w:bCs/>
                <w:color w:val="FFFFFF"/>
                <w:sz w:val="20"/>
                <w:szCs w:val="20"/>
              </w:rPr>
              <w:t xml:space="preserve">Step</w:t>
            </w:r>
          </w:p>
        </w:tc>
        <w:tc>
          <w:tcPr>
            <w:tcW w:type="dxa" w:w="5700"/>
            <w:shd w:fill="0A2540" w:val="clear"/>
            <w:tcMar>
              <w:top w:type="dxa" w:w="80"/>
              <w:left w:type="dxa" w:w="100"/>
              <w:bottom w:type="dxa" w:w="80"/>
              <w:right w:type="dxa" w:w="100"/>
            </w:tcMar>
          </w:tcPr>
          <w:p>
            <w:pPr>
              <w:jc w:val="left"/>
            </w:pPr>
            <w:r>
              <w:rPr>
                <w:b/>
                <w:bCs/>
                <w:color w:val="FFFFFF"/>
                <w:sz w:val="20"/>
                <w:szCs w:val="20"/>
              </w:rPr>
              <w:t xml:space="preserve">Action</w:t>
            </w:r>
          </w:p>
        </w:tc>
        <w:tc>
          <w:tcPr>
            <w:tcW w:type="dxa" w:w="2760"/>
            <w:shd w:fill="0A2540" w:val="clear"/>
            <w:tcMar>
              <w:top w:type="dxa" w:w="80"/>
              <w:left w:type="dxa" w:w="100"/>
              <w:bottom w:type="dxa" w:w="80"/>
              <w:right w:type="dxa" w:w="100"/>
            </w:tcMar>
          </w:tcPr>
          <w:p>
            <w:pPr>
              <w:jc w:val="left"/>
            </w:pPr>
            <w:r>
              <w:rPr>
                <w:b/>
                <w:bCs/>
                <w:color w:val="FFFFFF"/>
                <w:sz w:val="20"/>
                <w:szCs w:val="20"/>
              </w:rPr>
              <w:t xml:space="preserve">Owner</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1</w:t>
            </w:r>
          </w:p>
        </w:tc>
        <w:tc>
          <w:tcPr>
            <w:tcW w:type="dxa" w:w="5700"/>
            <w:tcMar>
              <w:top w:type="dxa" w:w="80"/>
              <w:left w:type="dxa" w:w="100"/>
              <w:bottom w:type="dxa" w:w="80"/>
              <w:right w:type="dxa" w:w="100"/>
            </w:tcMar>
          </w:tcPr>
          <w:p>
            <w:pPr>
              <w:jc w:val="left"/>
            </w:pPr>
            <w:r>
              <w:rPr>
                <w:b w:val="false"/>
                <w:bCs w:val="false"/>
                <w:color w:val="000000"/>
                <w:sz w:val="20"/>
                <w:szCs w:val="20"/>
              </w:rPr>
              <w:t xml:space="preserve">Cloud publishes signed update package</w:t>
            </w:r>
          </w:p>
        </w:tc>
        <w:tc>
          <w:tcPr>
            <w:tcW w:type="dxa" w:w="2760"/>
            <w:tcMar>
              <w:top w:type="dxa" w:w="80"/>
              <w:left w:type="dxa" w:w="100"/>
              <w:bottom w:type="dxa" w:w="80"/>
              <w:right w:type="dxa" w:w="100"/>
            </w:tcMar>
          </w:tcPr>
          <w:p>
            <w:pPr>
              <w:jc w:val="left"/>
            </w:pPr>
            <w:r>
              <w:rPr>
                <w:b w:val="false"/>
                <w:bCs w:val="false"/>
                <w:color w:val="000000"/>
                <w:sz w:val="20"/>
                <w:szCs w:val="20"/>
              </w:rPr>
              <w:t xml:space="preserve">JFS vendor</w:t>
            </w:r>
          </w:p>
        </w:tc>
      </w:tr>
      <w:tr>
        <w:tc>
          <w:tcPr>
            <w:tcW w:type="dxa" w:w="900"/>
            <w:shd w:fill="F2F2F2"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5700"/>
            <w:shd w:fill="F2F2F2" w:val="clear"/>
            <w:tcMar>
              <w:top w:type="dxa" w:w="80"/>
              <w:left w:type="dxa" w:w="100"/>
              <w:bottom w:type="dxa" w:w="80"/>
              <w:right w:type="dxa" w:w="100"/>
            </w:tcMar>
          </w:tcPr>
          <w:p>
            <w:pPr>
              <w:jc w:val="left"/>
            </w:pPr>
            <w:r>
              <w:rPr>
                <w:b w:val="false"/>
                <w:bCs w:val="false"/>
                <w:color w:val="000000"/>
                <w:sz w:val="20"/>
                <w:szCs w:val="20"/>
              </w:rPr>
              <w:t xml:space="preserve">On-prem Update Agent pulls, verifies signature, stages package</w:t>
            </w:r>
          </w:p>
        </w:tc>
        <w:tc>
          <w:tcPr>
            <w:tcW w:type="dxa" w:w="2760"/>
            <w:shd w:fill="F2F2F2" w:val="clear"/>
            <w:tcMar>
              <w:top w:type="dxa" w:w="80"/>
              <w:left w:type="dxa" w:w="100"/>
              <w:bottom w:type="dxa" w:w="80"/>
              <w:right w:type="dxa" w:w="100"/>
            </w:tcMar>
          </w:tcPr>
          <w:p>
            <w:pPr>
              <w:jc w:val="left"/>
            </w:pPr>
            <w:r>
              <w:rPr>
                <w:b w:val="false"/>
                <w:bCs w:val="false"/>
                <w:color w:val="000000"/>
                <w:sz w:val="20"/>
                <w:szCs w:val="20"/>
              </w:rPr>
              <w:t xml:space="preserve">Automated (Update Agent)</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3</w:t>
            </w:r>
          </w:p>
        </w:tc>
        <w:tc>
          <w:tcPr>
            <w:tcW w:type="dxa" w:w="5700"/>
            <w:tcMar>
              <w:top w:type="dxa" w:w="80"/>
              <w:left w:type="dxa" w:w="100"/>
              <w:bottom w:type="dxa" w:w="80"/>
              <w:right w:type="dxa" w:w="100"/>
            </w:tcMar>
          </w:tcPr>
          <w:p>
            <w:pPr>
              <w:jc w:val="left"/>
            </w:pPr>
            <w:r>
              <w:rPr>
                <w:b w:val="false"/>
                <w:bCs w:val="false"/>
                <w:color w:val="000000"/>
                <w:sz w:val="20"/>
                <w:szCs w:val="20"/>
              </w:rPr>
              <w:t xml:space="preserve">Automated regression test: the staged rules run against a sample of the institution's own historical (already-processed) transaction data, comparing before/after alert output</w:t>
            </w:r>
          </w:p>
        </w:tc>
        <w:tc>
          <w:tcPr>
            <w:tcW w:type="dxa" w:w="2760"/>
            <w:tcMar>
              <w:top w:type="dxa" w:w="80"/>
              <w:left w:type="dxa" w:w="100"/>
              <w:bottom w:type="dxa" w:w="80"/>
              <w:right w:type="dxa" w:w="100"/>
            </w:tcMar>
          </w:tcPr>
          <w:p>
            <w:pPr>
              <w:jc w:val="left"/>
            </w:pPr>
            <w:r>
              <w:rPr>
                <w:b w:val="false"/>
                <w:bCs w:val="false"/>
                <w:color w:val="000000"/>
                <w:sz w:val="20"/>
                <w:szCs w:val="20"/>
              </w:rPr>
              <w:t xml:space="preserve">Automated (JFS test harness)</w:t>
            </w:r>
          </w:p>
        </w:tc>
      </w:tr>
      <w:tr>
        <w:tc>
          <w:tcPr>
            <w:tcW w:type="dxa" w:w="900"/>
            <w:shd w:fill="F2F2F2" w:val="clear"/>
            <w:tcMar>
              <w:top w:type="dxa" w:w="80"/>
              <w:left w:type="dxa" w:w="100"/>
              <w:bottom w:type="dxa" w:w="80"/>
              <w:right w:type="dxa" w:w="100"/>
            </w:tcMar>
          </w:tcPr>
          <w:p>
            <w:pPr>
              <w:jc w:val="left"/>
            </w:pPr>
            <w:r>
              <w:rPr>
                <w:b w:val="false"/>
                <w:bCs w:val="false"/>
                <w:color w:val="000000"/>
                <w:sz w:val="20"/>
                <w:szCs w:val="20"/>
              </w:rPr>
              <w:t xml:space="preserve">4</w:t>
            </w:r>
          </w:p>
        </w:tc>
        <w:tc>
          <w:tcPr>
            <w:tcW w:type="dxa" w:w="5700"/>
            <w:shd w:fill="F2F2F2" w:val="clear"/>
            <w:tcMar>
              <w:top w:type="dxa" w:w="80"/>
              <w:left w:type="dxa" w:w="100"/>
              <w:bottom w:type="dxa" w:w="80"/>
              <w:right w:type="dxa" w:w="100"/>
            </w:tcMar>
          </w:tcPr>
          <w:p>
            <w:pPr>
              <w:jc w:val="left"/>
            </w:pPr>
            <w:r>
              <w:rPr>
                <w:b w:val="false"/>
                <w:bCs w:val="false"/>
                <w:color w:val="000000"/>
                <w:sz w:val="20"/>
                <w:szCs w:val="20"/>
              </w:rPr>
              <w:t xml:space="preserve">Change ticket auto-drafted summarizing what changed and the regression test results</w:t>
            </w:r>
          </w:p>
        </w:tc>
        <w:tc>
          <w:tcPr>
            <w:tcW w:type="dxa" w:w="2760"/>
            <w:shd w:fill="F2F2F2" w:val="clear"/>
            <w:tcMar>
              <w:top w:type="dxa" w:w="80"/>
              <w:left w:type="dxa" w:w="100"/>
              <w:bottom w:type="dxa" w:w="80"/>
              <w:right w:type="dxa" w:w="100"/>
            </w:tcMar>
          </w:tcPr>
          <w:p>
            <w:pPr>
              <w:jc w:val="left"/>
            </w:pPr>
            <w:r>
              <w:rPr>
                <w:b w:val="false"/>
                <w:bCs w:val="false"/>
                <w:color w:val="000000"/>
                <w:sz w:val="20"/>
                <w:szCs w:val="20"/>
              </w:rPr>
              <w:t xml:space="preserve">Automated, routed to institution's change queue</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5</w:t>
            </w:r>
          </w:p>
        </w:tc>
        <w:tc>
          <w:tcPr>
            <w:tcW w:type="dxa" w:w="5700"/>
            <w:tcMar>
              <w:top w:type="dxa" w:w="80"/>
              <w:left w:type="dxa" w:w="100"/>
              <w:bottom w:type="dxa" w:w="80"/>
              <w:right w:type="dxa" w:w="100"/>
            </w:tcMar>
          </w:tcPr>
          <w:p>
            <w:pPr>
              <w:jc w:val="left"/>
            </w:pPr>
            <w:r>
              <w:rPr>
                <w:b w:val="false"/>
                <w:bCs w:val="false"/>
                <w:color w:val="000000"/>
                <w:sz w:val="20"/>
                <w:szCs w:val="20"/>
              </w:rPr>
              <w:t xml:space="preserve">CAB / Agile change review — a risk officer or fraud-ops lead reviews the regression results and either approves, rejects, or requests threshold adjustment before promotion</w:t>
            </w:r>
          </w:p>
        </w:tc>
        <w:tc>
          <w:tcPr>
            <w:tcW w:type="dxa" w:w="2760"/>
            <w:tcMar>
              <w:top w:type="dxa" w:w="80"/>
              <w:left w:type="dxa" w:w="100"/>
              <w:bottom w:type="dxa" w:w="80"/>
              <w:right w:type="dxa" w:w="100"/>
            </w:tcMar>
          </w:tcPr>
          <w:p>
            <w:pPr>
              <w:jc w:val="left"/>
            </w:pPr>
            <w:r>
              <w:rPr>
                <w:b w:val="false"/>
                <w:bCs w:val="false"/>
                <w:color w:val="000000"/>
                <w:sz w:val="20"/>
                <w:szCs w:val="20"/>
              </w:rPr>
              <w:t xml:space="preserve">Institution's CAB / designated reviewer</w:t>
            </w:r>
          </w:p>
        </w:tc>
      </w:tr>
      <w:tr>
        <w:tc>
          <w:tcPr>
            <w:tcW w:type="dxa" w:w="900"/>
            <w:shd w:fill="F2F2F2" w:val="clear"/>
            <w:tcMar>
              <w:top w:type="dxa" w:w="80"/>
              <w:left w:type="dxa" w:w="100"/>
              <w:bottom w:type="dxa" w:w="80"/>
              <w:right w:type="dxa" w:w="100"/>
            </w:tcMar>
          </w:tcPr>
          <w:p>
            <w:pPr>
              <w:jc w:val="left"/>
            </w:pPr>
            <w:r>
              <w:rPr>
                <w:b w:val="false"/>
                <w:bCs w:val="false"/>
                <w:color w:val="000000"/>
                <w:sz w:val="20"/>
                <w:szCs w:val="20"/>
              </w:rPr>
              <w:t xml:space="preserve">6</w:t>
            </w:r>
          </w:p>
        </w:tc>
        <w:tc>
          <w:tcPr>
            <w:tcW w:type="dxa" w:w="5700"/>
            <w:shd w:fill="F2F2F2" w:val="clear"/>
            <w:tcMar>
              <w:top w:type="dxa" w:w="80"/>
              <w:left w:type="dxa" w:w="100"/>
              <w:bottom w:type="dxa" w:w="80"/>
              <w:right w:type="dxa" w:w="100"/>
            </w:tcMar>
          </w:tcPr>
          <w:p>
            <w:pPr>
              <w:jc w:val="left"/>
            </w:pPr>
            <w:r>
              <w:rPr>
                <w:b w:val="false"/>
                <w:bCs w:val="false"/>
                <w:color w:val="000000"/>
                <w:sz w:val="20"/>
                <w:szCs w:val="20"/>
              </w:rPr>
              <w:t xml:space="preserve">Approved package promoted to production; previous version retained for rollback</w:t>
            </w:r>
          </w:p>
        </w:tc>
        <w:tc>
          <w:tcPr>
            <w:tcW w:type="dxa" w:w="2760"/>
            <w:shd w:fill="F2F2F2" w:val="clear"/>
            <w:tcMar>
              <w:top w:type="dxa" w:w="80"/>
              <w:left w:type="dxa" w:w="100"/>
              <w:bottom w:type="dxa" w:w="80"/>
              <w:right w:type="dxa" w:w="100"/>
            </w:tcMar>
          </w:tcPr>
          <w:p>
            <w:pPr>
              <w:jc w:val="left"/>
            </w:pPr>
            <w:r>
              <w:rPr>
                <w:b w:val="false"/>
                <w:bCs w:val="false"/>
                <w:color w:val="000000"/>
                <w:sz w:val="20"/>
                <w:szCs w:val="20"/>
              </w:rPr>
              <w:t xml:space="preserve">Institution's IT operations</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7</w:t>
            </w:r>
          </w:p>
        </w:tc>
        <w:tc>
          <w:tcPr>
            <w:tcW w:type="dxa" w:w="5700"/>
            <w:tcMar>
              <w:top w:type="dxa" w:w="80"/>
              <w:left w:type="dxa" w:w="100"/>
              <w:bottom w:type="dxa" w:w="80"/>
              <w:right w:type="dxa" w:w="100"/>
            </w:tcMar>
          </w:tcPr>
          <w:p>
            <w:pPr>
              <w:jc w:val="left"/>
            </w:pPr>
            <w:r>
              <w:rPr>
                <w:b w:val="false"/>
                <w:bCs w:val="false"/>
                <w:color w:val="000000"/>
                <w:sz w:val="20"/>
                <w:szCs w:val="20"/>
              </w:rPr>
              <w:t xml:space="preserve">Promotion event and reviewer decision logged immutably in the audit trail</w:t>
            </w:r>
          </w:p>
        </w:tc>
        <w:tc>
          <w:tcPr>
            <w:tcW w:type="dxa" w:w="2760"/>
            <w:tcMar>
              <w:top w:type="dxa" w:w="80"/>
              <w:left w:type="dxa" w:w="100"/>
              <w:bottom w:type="dxa" w:w="80"/>
              <w:right w:type="dxa" w:w="100"/>
            </w:tcMar>
          </w:tcPr>
          <w:p>
            <w:pPr>
              <w:jc w:val="left"/>
            </w:pPr>
            <w:r>
              <w:rPr>
                <w:b w:val="false"/>
                <w:bCs w:val="false"/>
                <w:color w:val="000000"/>
                <w:sz w:val="20"/>
                <w:szCs w:val="20"/>
              </w:rPr>
              <w:t xml:space="preserve">Automated</w:t>
            </w:r>
          </w:p>
        </w:tc>
      </w:tr>
    </w:tbl>
    <w:p>
      <w:pPr>
        <w:pBdr>
          <w:left w:val="single" w:color="1F7A6C" w:sz="12" w:space="8"/>
        </w:pBdr>
        <w:spacing w:after="200"/>
        <w:ind w:left="200"/>
      </w:pPr>
      <w:r>
        <w:rPr>
          <w:i/>
          <w:iCs/>
          <w:color w:val="5A6472"/>
          <w:sz w:val="20"/>
          <w:szCs w:val="20"/>
        </w:rPr>
        <w:t xml:space="preserve">This gate exists specifically so that no external update — however well-intentioned — changes production fraud-detection behavior without a human at the institution reviewing it first. This mirrors the same principle already established for AI-drafted rules in the base system: detection logic changes only with human review and sign-off, never automatically.</w:t>
      </w:r>
    </w:p>
    <w:p>
      <w:pPr>
        <w:pStyle w:val="Heading1"/>
        <w:spacing w:after="160" w:before="360"/>
      </w:pPr>
      <w:r>
        <w:t xml:space="preserve">7.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A2540" w:val="clear"/>
            <w:tcMar>
              <w:top w:type="dxa" w:w="80"/>
              <w:left w:type="dxa" w:w="100"/>
              <w:bottom w:type="dxa" w:w="80"/>
              <w:right w:type="dxa" w:w="100"/>
            </w:tcMar>
          </w:tcPr>
          <w:p>
            <w:pPr>
              <w:jc w:val="left"/>
            </w:pPr>
            <w:r>
              <w:rPr>
                <w:b/>
                <w:bCs/>
                <w:color w:val="FFFFFF"/>
                <w:sz w:val="20"/>
                <w:szCs w:val="20"/>
              </w:rPr>
              <w:t xml:space="preserve">Control Area</w:t>
            </w:r>
          </w:p>
        </w:tc>
        <w:tc>
          <w:tcPr>
            <w:tcW w:type="dxa" w:w="6960"/>
            <w:shd w:fill="0A2540" w:val="clear"/>
            <w:tcMar>
              <w:top w:type="dxa" w:w="80"/>
              <w:left w:type="dxa" w:w="100"/>
              <w:bottom w:type="dxa" w:w="80"/>
              <w:right w:type="dxa" w:w="100"/>
            </w:tcMar>
          </w:tcPr>
          <w:p>
            <w:pPr>
              <w:jc w:val="left"/>
            </w:pPr>
            <w:r>
              <w:rPr>
                <w:b/>
                <w:bCs/>
                <w:color w:val="FFFFFF"/>
                <w:sz w:val="20"/>
                <w:szCs w:val="20"/>
              </w:rPr>
              <w:t xml:space="preserve">Implementation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Network exposure</w:t>
            </w:r>
          </w:p>
        </w:tc>
        <w:tc>
          <w:tcPr>
            <w:tcW w:type="dxa" w:w="6960"/>
            <w:tcMar>
              <w:top w:type="dxa" w:w="80"/>
              <w:left w:type="dxa" w:w="100"/>
              <w:bottom w:type="dxa" w:w="80"/>
              <w:right w:type="dxa" w:w="100"/>
            </w:tcMar>
          </w:tcPr>
          <w:p>
            <w:pPr>
              <w:jc w:val="left"/>
            </w:pPr>
            <w:r>
              <w:rPr>
                <w:b w:val="false"/>
                <w:bCs w:val="false"/>
                <w:color w:val="000000"/>
                <w:sz w:val="20"/>
                <w:szCs w:val="20"/>
              </w:rPr>
              <w:t xml:space="preserve">Outbound-only from institution's network; single allow-listed destination; no inbound ports required or opened for JFS.</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Transport security</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TLS 1.3, mutual authentication (mTLS or rotated API key per institutional policy).</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Package integrity</w:t>
            </w:r>
          </w:p>
        </w:tc>
        <w:tc>
          <w:tcPr>
            <w:tcW w:type="dxa" w:w="6960"/>
            <w:tcMar>
              <w:top w:type="dxa" w:w="80"/>
              <w:left w:type="dxa" w:w="100"/>
              <w:bottom w:type="dxa" w:w="80"/>
              <w:right w:type="dxa" w:w="100"/>
            </w:tcMar>
          </w:tcPr>
          <w:p>
            <w:pPr>
              <w:jc w:val="left"/>
            </w:pPr>
            <w:r>
              <w:rPr>
                <w:b w:val="false"/>
                <w:bCs w:val="false"/>
                <w:color w:val="000000"/>
                <w:sz w:val="20"/>
                <w:szCs w:val="20"/>
              </w:rPr>
              <w:t xml:space="preserve">Cryptographic signature (vendor release key) and checksum verified before any package is unpacked or applied.</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Least privilege</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Update Agent service account has no access to the transaction data store or case management database — it can only read/write the local update-staging area.</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Auditability</w:t>
            </w:r>
          </w:p>
        </w:tc>
        <w:tc>
          <w:tcPr>
            <w:tcW w:type="dxa" w:w="6960"/>
            <w:tcMar>
              <w:top w:type="dxa" w:w="80"/>
              <w:left w:type="dxa" w:w="100"/>
              <w:bottom w:type="dxa" w:w="80"/>
              <w:right w:type="dxa" w:w="100"/>
            </w:tcMar>
          </w:tcPr>
          <w:p>
            <w:pPr>
              <w:jc w:val="left"/>
            </w:pPr>
            <w:r>
              <w:rPr>
                <w:b w:val="false"/>
                <w:bCs w:val="false"/>
                <w:color w:val="000000"/>
                <w:sz w:val="20"/>
                <w:szCs w:val="20"/>
              </w:rPr>
              <w:t xml:space="preserve">Every pull attempt, signature verification result, staging event, reviewer decision, and promotion is logged immutably and is available for IT audit and regulator review.</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Data residency</w:t>
            </w:r>
          </w:p>
        </w:tc>
        <w:tc>
          <w:tcPr>
            <w:tcW w:type="dxa" w:w="6960"/>
            <w:shd w:fill="F2F2F2" w:val="clear"/>
            <w:tcMar>
              <w:top w:type="dxa" w:w="80"/>
              <w:left w:type="dxa" w:w="100"/>
              <w:bottom w:type="dxa" w:w="80"/>
              <w:right w:type="dxa" w:w="100"/>
            </w:tcMar>
          </w:tcPr>
          <w:p>
            <w:pPr>
              <w:jc w:val="left"/>
            </w:pPr>
            <w:r>
              <w:rPr>
                <w:b w:val="false"/>
                <w:bCs w:val="false"/>
                <w:color w:val="000000"/>
                <w:sz w:val="20"/>
                <w:szCs w:val="20"/>
              </w:rPr>
              <w:t xml:space="preserve">No transaction, account, or case data leaves the institution's network under any configuration of this component.</w:t>
            </w:r>
          </w:p>
        </w:tc>
      </w:tr>
    </w:tbl>
    <w:p>
      <w:pPr>
        <w:spacing w:after="160"/>
      </w:pPr>
      <w:r>
        <w:t xml:space="preserve">Relevant control-framework alignment for a formal security review: ISO/IEC 27001 Annex A.12 (Operations Security — logging/monitoring) and A.14 (secure development and change control); NIST Cybersecurity Framework Protect and Detect functions; and change-management practice consistent with ITIL 4, ISO/IEC 20000, and COBIT 2019. As with the base system, this is stated as alignment with the spirit of these frameworks, not a certification claim — formal certification is an institutional process, not a property of this document.</w:t>
      </w:r>
    </w:p>
    <w:p>
      <w:pPr>
        <w:pStyle w:val="Heading1"/>
        <w:spacing w:after="160" w:before="360"/>
      </w:pPr>
      <w:r>
        <w:t xml:space="preserve">8. Deployment Topology</w:t>
      </w:r>
    </w:p>
    <w:p>
      <w:pPr>
        <w:spacing w:after="160"/>
      </w:pPr>
      <w:r>
        <w:t xml:space="preserve">A typical institutional deployment places every JFS component other than the Update Agent's single outbound connection entirely inside the institution's existing network security perimeter — there is no requirement to open the core processing environment to any external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A2540" w:val="clear"/>
            <w:tcMar>
              <w:top w:type="dxa" w:w="80"/>
              <w:left w:type="dxa" w:w="100"/>
              <w:bottom w:type="dxa" w:w="80"/>
              <w:right w:type="dxa" w:w="100"/>
            </w:tcMar>
          </w:tcPr>
          <w:p>
            <w:pPr>
              <w:jc w:val="left"/>
            </w:pPr>
            <w:r>
              <w:rPr>
                <w:b/>
                <w:bCs/>
                <w:color w:val="FFFFFF"/>
                <w:sz w:val="20"/>
                <w:szCs w:val="20"/>
              </w:rPr>
              <w:t xml:space="preserve">Zone</w:t>
            </w:r>
          </w:p>
        </w:tc>
        <w:tc>
          <w:tcPr>
            <w:tcW w:type="dxa" w:w="6760"/>
            <w:shd w:fill="0A2540" w:val="clear"/>
            <w:tcMar>
              <w:top w:type="dxa" w:w="80"/>
              <w:left w:type="dxa" w:w="100"/>
              <w:bottom w:type="dxa" w:w="80"/>
              <w:right w:type="dxa" w:w="100"/>
            </w:tcMar>
          </w:tcPr>
          <w:p>
            <w:pPr>
              <w:jc w:val="left"/>
            </w:pPr>
            <w:r>
              <w:rPr>
                <w:b/>
                <w:bCs/>
                <w:color w:val="FFFFFF"/>
                <w:sz w:val="20"/>
                <w:szCs w:val="20"/>
              </w:rPr>
              <w:t xml:space="preserve">What Lives Here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Institution's secure data center / private cloud</w:t>
            </w:r>
          </w:p>
        </w:tc>
        <w:tc>
          <w:tcPr>
            <w:tcW w:type="dxa" w:w="6760"/>
            <w:tcMar>
              <w:top w:type="dxa" w:w="80"/>
              <w:left w:type="dxa" w:w="100"/>
              <w:bottom w:type="dxa" w:w="80"/>
              <w:right w:type="dxa" w:w="100"/>
            </w:tcMar>
          </w:tcPr>
          <w:p>
            <w:pPr>
              <w:jc w:val="left"/>
            </w:pPr>
            <w:r>
              <w:rPr>
                <w:b w:val="false"/>
                <w:bCs w:val="false"/>
                <w:color w:val="000000"/>
                <w:sz w:val="20"/>
                <w:szCs w:val="20"/>
              </w:rPr>
              <w:t xml:space="preserve">Rules Engine, Hunting Module, Dashboard, Local Data Store — the entire processing and investigation stack. No internet-facing ports required.</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Institution's DMZ (or equivalent egress point)</w:t>
            </w:r>
          </w:p>
        </w:tc>
        <w:tc>
          <w:tcPr>
            <w:tcW w:type="dxa" w:w="6760"/>
            <w:shd w:fill="F2F2F2" w:val="clear"/>
            <w:tcMar>
              <w:top w:type="dxa" w:w="80"/>
              <w:left w:type="dxa" w:w="100"/>
              <w:bottom w:type="dxa" w:w="80"/>
              <w:right w:type="dxa" w:w="100"/>
            </w:tcMar>
          </w:tcPr>
          <w:p>
            <w:pPr>
              <w:jc w:val="left"/>
            </w:pPr>
            <w:r>
              <w:rPr>
                <w:b w:val="false"/>
                <w:bCs w:val="false"/>
                <w:color w:val="000000"/>
                <w:sz w:val="20"/>
                <w:szCs w:val="20"/>
              </w:rPr>
              <w:t xml:space="preserve">Update Agent's single outbound HTTPS connection passes through here, subject to the institution's existing outbound proxy/firewall policy.</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Vendor cloud (outside institution's network entirely)</w:t>
            </w:r>
          </w:p>
        </w:tc>
        <w:tc>
          <w:tcPr>
            <w:tcW w:type="dxa" w:w="6760"/>
            <w:tcMar>
              <w:top w:type="dxa" w:w="80"/>
              <w:left w:type="dxa" w:w="100"/>
              <w:bottom w:type="dxa" w:w="80"/>
              <w:right w:type="dxa" w:w="100"/>
            </w:tcMar>
          </w:tcPr>
          <w:p>
            <w:pPr>
              <w:jc w:val="left"/>
            </w:pPr>
            <w:r>
              <w:rPr>
                <w:b w:val="false"/>
                <w:bCs w:val="false"/>
                <w:color w:val="000000"/>
                <w:sz w:val="20"/>
                <w:szCs w:val="20"/>
              </w:rPr>
              <w:t xml:space="preserve">Update Distribution Service and Rule Research pipeline. Has no access to, and no visibility into, the institution's data at any point.</w:t>
            </w:r>
          </w:p>
        </w:tc>
      </w:tr>
    </w:tbl>
    <w:p>
      <w:pPr>
        <w:pStyle w:val="Heading1"/>
        <w:spacing w:after="160" w:before="360"/>
      </w:pPr>
      <w:r>
        <w:t xml:space="preserve">9. Operational Requirements</w:t>
      </w:r>
    </w:p>
    <w:p>
      <w:pPr>
        <w:pStyle w:val="Heading2"/>
        <w:spacing w:after="120" w:before="260"/>
      </w:pPr>
      <w:r>
        <w:t xml:space="preserve">9.1 Connectivity</w:t>
      </w:r>
    </w:p>
    <w:p>
      <w:pPr>
        <w:spacing w:after="160"/>
      </w:pPr>
      <w:r>
        <w:t xml:space="preserve">A periodic outbound HTTPS connection (recommended: daily) is sufficient — the update payloads are small (rule definitions and configuration, not data), so this comfortably operates on limited or intermittent bandwidth. Fully air-gapped operation with manual update import is supported as described in Section 5.4.</w:t>
      </w:r>
    </w:p>
    <w:p>
      <w:pPr>
        <w:pStyle w:val="Heading2"/>
        <w:spacing w:after="120" w:before="260"/>
      </w:pPr>
      <w:r>
        <w:t xml:space="preserve">9.2 Monitoring</w:t>
      </w:r>
    </w:p>
    <w:p>
      <w:pPr>
        <w:pStyle w:val="ListParagraph"/>
        <w:numPr>
          <w:ilvl w:val="0"/>
          <w:numId w:val="2"/>
        </w:numPr>
        <w:spacing w:after="80"/>
      </w:pPr>
      <w:r>
        <w:t xml:space="preserve">Update Agent health check: alert the institution's IT operations team if no successful pull has occurred within a configurable threshold (e.g. 7 days), so a silent connectivity failure is never mistaken for “no new updates.”</w:t>
      </w:r>
    </w:p>
    <w:p>
      <w:pPr>
        <w:pStyle w:val="ListParagraph"/>
        <w:numPr>
          <w:ilvl w:val="0"/>
          <w:numId w:val="2"/>
        </w:numPr>
        <w:spacing w:after="80"/>
      </w:pPr>
      <w:r>
        <w:t xml:space="preserve">Signature verification failures should raise a security event immediately — a failed verification may indicate a compromised or spoofed update source and warrants investigation, not just a discard-and-retry.</w:t>
      </w:r>
    </w:p>
    <w:p>
      <w:pPr>
        <w:pStyle w:val="Heading2"/>
        <w:spacing w:after="120" w:before="260"/>
      </w:pPr>
      <w:r>
        <w:t xml:space="preserve">9.3 Sizing</w:t>
      </w:r>
    </w:p>
    <w:p>
      <w:pPr>
        <w:spacing w:after="160"/>
      </w:pPr>
      <w:r>
        <w:t xml:space="preserve">The core engine is a batch-oriented rules and hunting system, not a high-throughput streaming platform at this stage (see the companion technical README's roadmap notes on real-time ingestion). Institutional sizing should be based on transaction volume and desired batch frequency rather than provisioned for continuous real-time load in this version.</w:t>
      </w:r>
    </w:p>
    <w:p>
      <w:pPr>
        <w:pStyle w:val="Heading1"/>
        <w:spacing w:after="160" w:before="360"/>
      </w:pPr>
      <w:r>
        <w:t xml:space="preserve">10.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shd w:fill="0A2540" w:val="clear"/>
            <w:tcMar>
              <w:top w:type="dxa" w:w="80"/>
              <w:left w:type="dxa" w:w="100"/>
              <w:bottom w:type="dxa" w:w="80"/>
              <w:right w:type="dxa" w:w="100"/>
            </w:tcMar>
          </w:tcPr>
          <w:p>
            <w:pPr>
              <w:jc w:val="left"/>
            </w:pPr>
            <w:r>
              <w:rPr>
                <w:b/>
                <w:bCs/>
                <w:color w:val="FFFFFF"/>
                <w:sz w:val="20"/>
                <w:szCs w:val="20"/>
              </w:rPr>
              <w:t xml:space="preserve">Responsibility</w:t>
            </w:r>
          </w:p>
        </w:tc>
        <w:tc>
          <w:tcPr>
            <w:tcW w:type="dxa" w:w="2900"/>
            <w:shd w:fill="0A2540" w:val="clear"/>
            <w:tcMar>
              <w:top w:type="dxa" w:w="80"/>
              <w:left w:type="dxa" w:w="100"/>
              <w:bottom w:type="dxa" w:w="80"/>
              <w:right w:type="dxa" w:w="100"/>
            </w:tcMar>
          </w:tcPr>
          <w:p>
            <w:pPr>
              <w:jc w:val="left"/>
            </w:pPr>
            <w:r>
              <w:rPr>
                <w:b/>
                <w:bCs/>
                <w:color w:val="FFFFFF"/>
                <w:sz w:val="20"/>
                <w:szCs w:val="20"/>
              </w:rPr>
              <w:t xml:space="preserve">Institution</w:t>
            </w:r>
          </w:p>
        </w:tc>
        <w:tc>
          <w:tcPr>
            <w:tcW w:type="dxa" w:w="3260"/>
            <w:shd w:fill="0A2540" w:val="clear"/>
            <w:tcMar>
              <w:top w:type="dxa" w:w="80"/>
              <w:left w:type="dxa" w:w="100"/>
              <w:bottom w:type="dxa" w:w="80"/>
              <w:right w:type="dxa" w:w="100"/>
            </w:tcMar>
          </w:tcPr>
          <w:p>
            <w:pPr>
              <w:jc w:val="left"/>
            </w:pPr>
            <w:r>
              <w:rPr>
                <w:b/>
                <w:bCs/>
                <w:color w:val="FFFFFF"/>
                <w:sz w:val="20"/>
                <w:szCs w:val="20"/>
              </w:rPr>
              <w:t xml:space="preserve">JFS Vendor</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Transaction data custody, storage, and security</w:t>
            </w:r>
          </w:p>
        </w:tc>
        <w:tc>
          <w:tcPr>
            <w:tcW w:type="dxa" w:w="2900"/>
            <w:tcMar>
              <w:top w:type="dxa" w:w="80"/>
              <w:left w:type="dxa" w:w="100"/>
              <w:bottom w:type="dxa" w:w="80"/>
              <w:right w:type="dxa" w:w="100"/>
            </w:tcMar>
          </w:tcPr>
          <w:p>
            <w:pPr>
              <w:jc w:val="left"/>
            </w:pPr>
            <w:r>
              <w:rPr>
                <w:b w:val="false"/>
                <w:bCs w:val="false"/>
                <w:color w:val="000000"/>
                <w:sz w:val="20"/>
                <w:szCs w:val="20"/>
              </w:rPr>
              <w:t xml:space="preserve">Full responsibility</w:t>
            </w:r>
          </w:p>
        </w:tc>
        <w:tc>
          <w:tcPr>
            <w:tcW w:type="dxa" w:w="3260"/>
            <w:tcMar>
              <w:top w:type="dxa" w:w="80"/>
              <w:left w:type="dxa" w:w="100"/>
              <w:bottom w:type="dxa" w:w="80"/>
              <w:right w:type="dxa" w:w="100"/>
            </w:tcMar>
          </w:tcPr>
          <w:p>
            <w:pPr>
              <w:jc w:val="left"/>
            </w:pPr>
            <w:r>
              <w:rPr>
                <w:b w:val="false"/>
                <w:bCs w:val="false"/>
                <w:color w:val="000000"/>
                <w:sz w:val="20"/>
                <w:szCs w:val="20"/>
              </w:rPr>
              <w:t xml:space="preserve">No access, no responsibility (by design — vendor never receives this data)</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Reviewing and approving update packages before production</w:t>
            </w:r>
          </w:p>
        </w:tc>
        <w:tc>
          <w:tcPr>
            <w:tcW w:type="dxa" w:w="2900"/>
            <w:shd w:fill="F2F2F2" w:val="clear"/>
            <w:tcMar>
              <w:top w:type="dxa" w:w="80"/>
              <w:left w:type="dxa" w:w="100"/>
              <w:bottom w:type="dxa" w:w="80"/>
              <w:right w:type="dxa" w:w="100"/>
            </w:tcMar>
          </w:tcPr>
          <w:p>
            <w:pPr>
              <w:jc w:val="left"/>
            </w:pPr>
            <w:r>
              <w:rPr>
                <w:b w:val="false"/>
                <w:bCs w:val="false"/>
                <w:color w:val="000000"/>
                <w:sz w:val="20"/>
                <w:szCs w:val="20"/>
              </w:rPr>
              <w:t xml:space="preserve">Full responsibility (via CAB/change process, Section 6)</w:t>
            </w:r>
          </w:p>
        </w:tc>
        <w:tc>
          <w:tcPr>
            <w:tcW w:type="dxa" w:w="3260"/>
            <w:shd w:fill="F2F2F2" w:val="clear"/>
            <w:tcMar>
              <w:top w:type="dxa" w:w="80"/>
              <w:left w:type="dxa" w:w="100"/>
              <w:bottom w:type="dxa" w:w="80"/>
              <w:right w:type="dxa" w:w="100"/>
            </w:tcMar>
          </w:tcPr>
          <w:p>
            <w:pPr>
              <w:jc w:val="left"/>
            </w:pPr>
            <w:r>
              <w:rPr>
                <w:b w:val="false"/>
                <w:bCs w:val="false"/>
                <w:color w:val="000000"/>
                <w:sz w:val="20"/>
                <w:szCs w:val="20"/>
              </w:rPr>
              <w:t xml:space="preserve">Provides regression test results and change summary to support the decision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Publishing signed, tested rule/threat updates</w:t>
            </w:r>
          </w:p>
        </w:tc>
        <w:tc>
          <w:tcPr>
            <w:tcW w:type="dxa" w:w="2900"/>
            <w:tcMar>
              <w:top w:type="dxa" w:w="80"/>
              <w:left w:type="dxa" w:w="100"/>
              <w:bottom w:type="dxa" w:w="80"/>
              <w:right w:type="dxa" w:w="100"/>
            </w:tcMar>
          </w:tcPr>
          <w:p>
            <w:pPr>
              <w:jc w:val="left"/>
            </w:pPr>
            <w:r>
              <w:rPr>
                <w:b w:val="false"/>
                <w:bCs w:val="false"/>
                <w:color w:val="000000"/>
                <w:sz w:val="20"/>
                <w:szCs w:val="20"/>
              </w:rPr>
              <w:t xml:space="preserve">N/A</w:t>
            </w:r>
          </w:p>
        </w:tc>
        <w:tc>
          <w:tcPr>
            <w:tcW w:type="dxa" w:w="3260"/>
            <w:tcMar>
              <w:top w:type="dxa" w:w="80"/>
              <w:left w:type="dxa" w:w="100"/>
              <w:bottom w:type="dxa" w:w="80"/>
              <w:right w:type="dxa" w:w="100"/>
            </w:tcMar>
          </w:tcPr>
          <w:p>
            <w:pPr>
              <w:jc w:val="left"/>
            </w:pPr>
            <w:r>
              <w:rPr>
                <w:b w:val="false"/>
                <w:bCs w:val="false"/>
                <w:color w:val="000000"/>
                <w:sz w:val="20"/>
                <w:szCs w:val="20"/>
              </w:rPr>
              <w:t xml:space="preserve">Full responsibility</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Network/firewall configuration for the outbound update channel</w:t>
            </w:r>
          </w:p>
        </w:tc>
        <w:tc>
          <w:tcPr>
            <w:tcW w:type="dxa" w:w="2900"/>
            <w:shd w:fill="F2F2F2" w:val="clear"/>
            <w:tcMar>
              <w:top w:type="dxa" w:w="80"/>
              <w:left w:type="dxa" w:w="100"/>
              <w:bottom w:type="dxa" w:w="80"/>
              <w:right w:type="dxa" w:w="100"/>
            </w:tcMar>
          </w:tcPr>
          <w:p>
            <w:pPr>
              <w:jc w:val="left"/>
            </w:pPr>
            <w:r>
              <w:rPr>
                <w:b w:val="false"/>
                <w:bCs w:val="false"/>
                <w:color w:val="000000"/>
                <w:sz w:val="20"/>
                <w:szCs w:val="20"/>
              </w:rPr>
              <w:t xml:space="preserve">Full responsibility</w:t>
            </w:r>
          </w:p>
        </w:tc>
        <w:tc>
          <w:tcPr>
            <w:tcW w:type="dxa" w:w="3260"/>
            <w:shd w:fill="F2F2F2" w:val="clear"/>
            <w:tcMar>
              <w:top w:type="dxa" w:w="80"/>
              <w:left w:type="dxa" w:w="100"/>
              <w:bottom w:type="dxa" w:w="80"/>
              <w:right w:type="dxa" w:w="100"/>
            </w:tcMar>
          </w:tcPr>
          <w:p>
            <w:pPr>
              <w:jc w:val="left"/>
            </w:pPr>
            <w:r>
              <w:rPr>
                <w:b w:val="false"/>
                <w:bCs w:val="false"/>
                <w:color w:val="000000"/>
                <w:sz w:val="20"/>
                <w:szCs w:val="20"/>
              </w:rPr>
              <w:t xml:space="preserve">Provides endpoint address, certificate, and connectivity documentation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Incident response for a suspected compromised update</w:t>
            </w:r>
          </w:p>
        </w:tc>
        <w:tc>
          <w:tcPr>
            <w:tcW w:type="dxa" w:w="2900"/>
            <w:tcMar>
              <w:top w:type="dxa" w:w="80"/>
              <w:left w:type="dxa" w:w="100"/>
              <w:bottom w:type="dxa" w:w="80"/>
              <w:right w:type="dxa" w:w="100"/>
            </w:tcMar>
          </w:tcPr>
          <w:p>
            <w:pPr>
              <w:jc w:val="left"/>
            </w:pPr>
            <w:r>
              <w:rPr>
                <w:b w:val="false"/>
                <w:bCs w:val="false"/>
                <w:color w:val="000000"/>
                <w:sz w:val="20"/>
                <w:szCs w:val="20"/>
              </w:rPr>
              <w:t xml:space="preserve">Investigation and containment within institution's environment</w:t>
            </w:r>
          </w:p>
        </w:tc>
        <w:tc>
          <w:tcPr>
            <w:tcW w:type="dxa" w:w="3260"/>
            <w:tcMar>
              <w:top w:type="dxa" w:w="80"/>
              <w:left w:type="dxa" w:w="100"/>
              <w:bottom w:type="dxa" w:w="80"/>
              <w:right w:type="dxa" w:w="100"/>
            </w:tcMar>
          </w:tcPr>
          <w:p>
            <w:pPr>
              <w:jc w:val="left"/>
            </w:pPr>
            <w:r>
              <w:rPr>
                <w:b w:val="false"/>
                <w:bCs w:val="false"/>
                <w:color w:val="000000"/>
                <w:sz w:val="20"/>
                <w:szCs w:val="20"/>
              </w:rPr>
              <w:t xml:space="preserve">Investigation of the distribution service; joint root-cause process</w:t>
            </w:r>
          </w:p>
        </w:tc>
      </w:tr>
    </w:tbl>
    <w:p>
      <w:pPr>
        <w:pStyle w:val="Heading1"/>
        <w:spacing w:after="160" w:before="360"/>
      </w:pPr>
      <w:r>
        <w:t xml:space="preserve">11. Open Items for Institution-Specific Customization</w:t>
      </w:r>
    </w:p>
    <w:p>
      <w:pPr>
        <w:spacing w:after="160"/>
      </w:pPr>
      <w:r>
        <w:t xml:space="preserve">This document describes the standard architecture. The following are expected to be finalized jointly with each institution during onboarding, not assumed here:</w:t>
      </w:r>
    </w:p>
    <w:p>
      <w:pPr>
        <w:pStyle w:val="ListParagraph"/>
        <w:numPr>
          <w:ilvl w:val="0"/>
          <w:numId w:val="2"/>
        </w:numPr>
        <w:spacing w:after="80"/>
      </w:pPr>
      <w:r>
        <w:t xml:space="preserve">Update pull frequency and maintenance window.</w:t>
      </w:r>
    </w:p>
    <w:p>
      <w:pPr>
        <w:pStyle w:val="ListParagraph"/>
        <w:numPr>
          <w:ilvl w:val="0"/>
          <w:numId w:val="2"/>
        </w:numPr>
        <w:spacing w:after="80"/>
      </w:pPr>
      <w:r>
        <w:t xml:space="preserve">Specific CAB/change-review process mapping (Section 6) to the institution's existing change management framework.</w:t>
      </w:r>
    </w:p>
    <w:p>
      <w:pPr>
        <w:pStyle w:val="ListParagraph"/>
        <w:numPr>
          <w:ilvl w:val="0"/>
          <w:numId w:val="2"/>
        </w:numPr>
        <w:spacing w:after="80"/>
      </w:pPr>
      <w:r>
        <w:t xml:space="preserve">Opt-in decision on anonymized telemetry sharing (Section 4) — default is opted out.</w:t>
      </w:r>
    </w:p>
    <w:p>
      <w:pPr>
        <w:pStyle w:val="ListParagraph"/>
        <w:numPr>
          <w:ilvl w:val="0"/>
          <w:numId w:val="2"/>
        </w:numPr>
        <w:spacing w:after="80"/>
      </w:pPr>
      <w:r>
        <w:t xml:space="preserve">Data retention periods for local transaction, alert, and audit log storage, per the institution's own policy and applicable regulation.</w:t>
      </w:r>
    </w:p>
    <w:p>
      <w:pPr>
        <w:pStyle w:val="ListParagraph"/>
        <w:numPr>
          <w:ilvl w:val="0"/>
          <w:numId w:val="2"/>
        </w:numPr>
        <w:spacing w:after="80"/>
      </w:pPr>
      <w:r>
        <w:t xml:space="preserve">Air-gapped vs. connected deployment decision, and the manual update-import procedure if air-gapped.</w:t>
      </w:r>
    </w:p>
    <w:p>
      <w:pPr>
        <w:pStyle w:val="Heading1"/>
        <w:spacing w:after="160" w:before="360"/>
      </w:pPr>
      <w:r>
        <w:t xml:space="preserve">Appendix: Related Documentation</w:t>
      </w:r>
    </w:p>
    <w:p>
      <w:pPr>
        <w:spacing w:after="160"/>
      </w:pPr>
      <w:r>
        <w:t xml:space="preserve">This document covers deployment architecture and the update channel specifically. Detection rule typologies, the hunting module, the AI investigation and rule-drafting agents, and the codebase's engineering standards are covered in the companion Jicho Fraud System technical README, which should be reviewed alongside this document for a complete picture of the system.</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Jicho Fraud System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2026-08-26T11:51:16.767Z</dcterms:created>
  <dcterms:modified xsi:type="dcterms:W3CDTF">2026-08-26T11:51:16.767Z</dcterms:modified>
</cp:coreProperties>
</file>

<file path=docProps/custom.xml><?xml version="1.0" encoding="utf-8"?>
<Properties xmlns="http://schemas.openxmlformats.org/officeDocument/2006/custom-properties" xmlns:vt="http://schemas.openxmlformats.org/officeDocument/2006/docPropsVTypes"/>
</file>