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0A2540"/>
          <w:sz w:val="56"/>
          <w:szCs w:val="56"/>
        </w:rPr>
        <w:t xml:space="preserve">JICHO FRAUD SYSTEM</w:t>
      </w:r>
    </w:p>
    <w:p>
      <w:pPr>
        <w:spacing w:after="600"/>
        <w:jc w:val="center"/>
      </w:pPr>
      <w:r>
        <w:rPr>
          <w:color w:val="1F7A6C"/>
          <w:sz w:val="28"/>
          <w:szCs w:val="28"/>
        </w:rPr>
        <w:t xml:space="preserve">Product Requirements Document</w:t>
      </w:r>
    </w:p>
    <w:p>
      <w:pPr>
        <w:spacing w:after="80"/>
        <w:jc w:val="center"/>
      </w:pPr>
      <w:r>
        <w:rPr>
          <w:color w:val="5A6472"/>
          <w:sz w:val="22"/>
          <w:szCs w:val="22"/>
        </w:rPr>
        <w:t xml:space="preserve">Version 1.0</w:t>
      </w:r>
    </w:p>
    <w:p>
      <w:pPr>
        <w:jc w:val="center"/>
      </w:pPr>
      <w:r>
        <w:rPr>
          <w:i/>
          <w:iCs/>
          <w:color w:val="5A6472"/>
          <w:sz w:val="20"/>
          <w:szCs w:val="20"/>
        </w:rPr>
        <w:t xml:space="preserve">Target markets: East Africa, Central Africa, Southern Africa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Purpose and Scope</w:t>
      </w:r>
    </w:p>
    <w:p>
      <w:pPr>
        <w:spacing w:after="160"/>
      </w:pPr>
      <w:r>
        <w:t xml:space="preserve">This document defines what the Jicho Fraud System (JFS) must do, for whom, and to what standard — as the basis for engineering work, procurement conversations, and pilot evaluation with financial institutions. It complements two companion documents: the technical README (architecture and engineering detail) and the Deployment Architecture document (on-premises/cloud-update model and governance).</w:t>
      </w:r>
    </w:p>
    <w:p>
      <w:pPr>
        <w:pStyle w:val="Heading1"/>
        <w:spacing w:after="160" w:before="360"/>
      </w:pPr>
      <w:r>
        <w:t xml:space="preserve">2. Target Market</w:t>
      </w:r>
    </w:p>
    <w:p>
      <w:pPr>
        <w:pStyle w:val="Heading2"/>
        <w:spacing w:after="120" w:before="260"/>
      </w:pPr>
      <w:r>
        <w:t xml:space="preserve">2.1 Customer profile</w:t>
      </w:r>
    </w:p>
    <w:p>
      <w:pPr>
        <w:spacing w:after="160"/>
      </w:pPr>
      <w:r>
        <w:t xml:space="preserve">Mid-size banks, mobile network operators running mobile-money services, microfinance institutions (MFIs), SACCOs, and payment service providers (PSPs) across East Africa, Central Africa, and Southern Africa. Deliberately NOT tier-1 global banks in this phase — those have long procurement cycles and established enterprise fraud-vendor relationships JFS cannot yet compete with. Mid-size institutions decide faster and cannot afford the enterprise alternatives, which is where an explainable, rules-first system with a clear extension path is a genuine advantage rather than a limitation.</w:t>
      </w:r>
    </w:p>
    <w:p>
      <w:pPr>
        <w:pStyle w:val="Heading2"/>
        <w:spacing w:after="120" w:before="260"/>
      </w:pPr>
      <w:r>
        <w:t xml:space="preserve">2.2 Regional fraud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Dominant Rails</w:t>
            </w:r>
          </w:p>
        </w:tc>
        <w:tc>
          <w:tcPr>
            <w:tcW w:type="dxa" w:w="41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 Fraud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 Africa (TZ, KE, UG, RW)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SIM-swap cash-out, agent/OTC till fraud, money-mule fan-in, structuring, insider collusion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Southern Africa (ZA, ZM, ZW)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EFT and card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Mule accounts via no-name-verification EFT, EMV fallback abuse, card testing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Africa (CM, CD, CEMAC)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Cross-border rails (e.g. GIMACPAY)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Fraudulent mobile loan apps, high-yield investment scams, weak cross-institution KYC</w:t>
            </w:r>
          </w:p>
        </w:tc>
      </w:tr>
    </w:tbl>
    <w:p>
      <w:pPr>
        <w:pBdr>
          <w:left w:val="single" w:color="1F7A6C" w:sz="12" w:space="8"/>
        </w:pBdr>
        <w:spacing w:after="200"/>
        <w:ind w:left="200"/>
      </w:pPr>
      <w:r>
        <w:rPr>
          <w:i/>
          <w:iCs/>
          <w:color w:val="5A6472"/>
          <w:sz w:val="20"/>
          <w:szCs w:val="20"/>
        </w:rPr>
        <w:t xml:space="preserve">Full typology-to-rule mapping is in the companion RULE_CATALOG.md — 18 rules currently implemented, each traced to a specific documented regional or pan-African fraud pattern, never to a customer's or any institution's confidential internal data.</w:t>
      </w:r>
    </w:p>
    <w:p>
      <w:pPr>
        <w:pStyle w:val="Heading1"/>
        <w:spacing w:after="160" w:before="360"/>
      </w:pPr>
      <w:r>
        <w:t xml:space="preserve">3. Problem Statement</w:t>
      </w:r>
    </w:p>
    <w:p>
      <w:pPr>
        <w:spacing w:after="160"/>
      </w:pPr>
      <w:r>
        <w:t xml:space="preserve">Institutions in this market face three compounding problems: (1) fraud losses are real and rising across mobile money, EFT, and card rails; (2) enterprise fraud-detection vendors are priced and built for large tier-1 banks, out of reach for the mid-size institutions that make up most of this market; (3) where cheaper tools exist, they are typically black-box scoring systems that a small compliance team cannot explain to a bank examiner or regulator, and cannot extend themselves when a new fraud pattern emerges.</w:t>
      </w:r>
    </w:p>
    <w:p>
      <w:pPr>
        <w:spacing w:after="160"/>
      </w:pPr>
      <w:r>
        <w:t xml:space="preserve">JFS addresses this with a rules-first, explainable engine that a compliance officer can read and reason about directly, an AI-assisted (human-reviewed) path to extend coverage quickly, and a pricing/deployment model that fits an institution that cannot run its own data science team.</w:t>
      </w:r>
    </w:p>
    <w:p>
      <w:pPr>
        <w:pStyle w:val="Heading1"/>
        <w:spacing w:after="160" w:before="360"/>
      </w:pPr>
      <w:r>
        <w:t xml:space="preserve">4. Product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never leaves the institution's premises. This is the product's core trust proposition and is treated as non-negotiable throughout this document and the Deployment Architecture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detection must be explainable — a human can read why a rule fired, in plain language, without needing to trust an opaque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Nothing overclaims. A limitation that is structural (legal, regulatory, or genuinely unbuilt) is documented as such rather than papered over — see Section 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review gates every change to production detection logic — whether that logic came from an engineer, an AI-drafted rule proposal, or a cloud-distributed update.</w:t>
      </w:r>
    </w:p>
    <w:p>
      <w:pPr>
        <w:pStyle w:val="Heading1"/>
        <w:spacing w:after="160" w:before="360"/>
      </w:pPr>
      <w:r>
        <w:t xml:space="preserve">5. Functional Requirements</w:t>
      </w:r>
    </w:p>
    <w:p>
      <w:pPr>
        <w:pStyle w:val="Heading2"/>
        <w:spacing w:after="120" w:before="260"/>
      </w:pPr>
      <w:r>
        <w:t xml:space="preserve">5.1 Detection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60"/>
      </w:tblGrid>
      <w:tr>
        <w:trPr>
          <w:tblHeader/>
        </w:trPr>
        <w:tc>
          <w:tcPr>
            <w:tcW w:type="dxa" w:w="11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incoming transaction data against a registered set of detection rules, each independently testable and independently disable-able.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Isolate rule failures — one rule raising an exception must not prevent any other rule from producing its alerts in the same run.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all input against a defined transaction schema before any rule runs; reject malformed data with a specific, actionable error.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at minimum the 18 typologies catalogued in RULE_CATALOG.md, spanning mobile money, EFT/dormant-account, card/POS, loan-app, and generic pan-African fraud patterns.</w:t>
            </w:r>
          </w:p>
        </w:tc>
      </w:tr>
    </w:tbl>
    <w:p>
      <w:pPr>
        <w:pStyle w:val="Heading2"/>
        <w:spacing w:after="120" w:before="260"/>
      </w:pPr>
      <w:r>
        <w:t xml:space="preserve">5.2 Investigation and Hunting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60"/>
      </w:tblGrid>
      <w:tr>
        <w:trPr>
          <w:tblHeader/>
        </w:trPr>
        <w:tc>
          <w:tcPr>
            <w:tcW w:type="dxa" w:w="11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ad-hoc filtered search over transaction data by account, counterparty, channel, amount range, and time range.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link analysis: given a seed account, traverse the counterparty graph outward to a configurable hop depth.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shared-attribute relationships (device or agent reuse) across otherwise unrelated accounts.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 accounts by explainable behavioral similarity to a reference account (e.g. a confirmed fraud case), using named features, not an opaque embedding.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attach tailored hunting leads to every fired alert, using a strategy specific to that alert's rule rather than a generic checklist.</w:t>
            </w:r>
          </w:p>
        </w:tc>
      </w:tr>
    </w:tbl>
    <w:p>
      <w:pPr>
        <w:pStyle w:val="Heading2"/>
        <w:spacing w:after="120" w:before="260"/>
      </w:pPr>
      <w:r>
        <w:t xml:space="preserve">5.3 AI-Assisted Capabilities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60"/>
      </w:tblGrid>
      <w:tr>
        <w:trPr>
          <w:tblHeader/>
        </w:trPr>
        <w:tc>
          <w:tcPr>
            <w:tcW w:type="dxa" w:w="11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 structured investigation brief for a given alert, grounded strictly in that alert's evidence, with no fabricated details.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natural-language questions about the currently open alert set, grounded only in that data.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 a plain-language description of an emerging fraud scenario and draft a candidate detection rule (logic, code, thresholds, caveats) for human review — never auto-deployed.</w:t>
            </w:r>
          </w:p>
        </w:tc>
      </w:tr>
    </w:tbl>
    <w:p>
      <w:pPr>
        <w:pStyle w:val="Heading2"/>
        <w:spacing w:after="120" w:before="260"/>
      </w:pPr>
      <w:r>
        <w:t xml:space="preserve">5.4 Adaptability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60"/>
      </w:tblGrid>
      <w:tr>
        <w:trPr>
          <w:tblHeader/>
        </w:trPr>
        <w:tc>
          <w:tcPr>
            <w:tcW w:type="dxa" w:w="11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data-driven threshold recalibration against an institution's own historical transaction distribution, with a mandatory backtest showing alert-count impact before any change is approved.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real-time, per-transaction scoring for rules that only require one account's own recent history, via a documented API.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technical (not legal) readiness mechanism for cross-institution layering detection that does not expose any institution's raw account data to another party.</w:t>
            </w:r>
          </w:p>
        </w:tc>
      </w:tr>
    </w:tbl>
    <w:p>
      <w:pPr>
        <w:pStyle w:val="Heading2"/>
        <w:spacing w:after="120" w:before="260"/>
      </w:pPr>
      <w:r>
        <w:t xml:space="preserve">5.5 Prevention</w:t>
      </w:r>
    </w:p>
    <w:p>
      <w:pPr>
        <w:spacing w:after="160"/>
      </w:pPr>
      <w:r>
        <w:t xml:space="preserve">Prevention is treated as a distinct capability from detection, not an extension of it, because the risk profile is fundamentally different: a false-positive alert costs an investigator minutes; a false-positive block denies a real customer access to their own funds, with direct customer-harm, complaint, and potential regulatory consequences (timely availability of funds is frequently a legal obligation). Every requirement below is written to that asymmetry.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60"/>
      </w:tblGrid>
      <w:tr>
        <w:trPr>
          <w:tblHeader/>
        </w:trPr>
        <w:tc>
          <w:tcPr>
            <w:tcW w:type="dxa" w:w="11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real-time decision (ALLOW / HOLD / BLOCK) a calling payment system can act on before a transaction completes, returned synchronously alongside real-time alert output.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Prevention must be disabled by default at the product level; enabling it, and whitelisting any specific rule for the BLOCK outcome, must require an explicit, auditable configuration change — never a default an institution inherits passively.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 (step-up authentication or expedited manual review) must be the outcome for high-confidence alerts on rules not explicitly whitelisted for blocking — BLOCK must never be the default consequence of a high score alone.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failure in the prevention decision logic itself must resolve according to an institution-configured fail-safe policy (fail-open or fail-closed), never to an unreviewed or undefined outcome.</w:t>
            </w:r>
          </w:p>
        </w:tc>
      </w:tr>
    </w:tbl>
    <w:p>
      <w:pPr>
        <w:pBdr>
          <w:left w:val="single" w:color="1F7A6C" w:sz="12" w:space="8"/>
        </w:pBdr>
        <w:spacing w:after="200"/>
        <w:ind w:left="200"/>
      </w:pPr>
      <w:r>
        <w:rPr>
          <w:i/>
          <w:iCs/>
          <w:color w:val="5A6472"/>
          <w:sz w:val="20"/>
          <w:szCs w:val="20"/>
        </w:rPr>
        <w:t xml:space="preserve">Verified in the reference implementation: the identical fraud sequence that produces a BLOCK decision under an explicitly configured, rule-whitelisted policy produces ALLOW under the untouched default configuration — confirming FR-17 holds in practice, not just in specification.</w:t>
      </w:r>
    </w:p>
    <w:p>
      <w:pPr>
        <w:pStyle w:val="Heading1"/>
        <w:spacing w:after="160" w:before="360"/>
      </w:pPr>
      <w:r>
        <w:t xml:space="preserve">6.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transaction, account, or case data leaves the institution's network under any product configuration.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alert, threshold change, and update event is logged immutably with account identifiers masked in all log output.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detection and alerting must continue functioning indefinitely with zero cloud connectivity, using the last-approved configuration.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alert must include a plain-language description and the specific evidence that triggered it — no rule may produce an alert with only a numeric score and no explanation.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Adding a new detection rule must not require modifying existing rule code — a plugin/registry architecture, not a monolithic conditional chain.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alignment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and logging practices align with the spirit of Tanzania's PDPA (2022), Kenya's DPA (2019), and equivalent regional data protection law, plus ISO/IEC 27001 and NIST CSF control themes — stated as alignment, not formal certification.</w:t>
            </w:r>
          </w:p>
        </w:tc>
      </w:tr>
    </w:tbl>
    <w:p>
      <w:pPr>
        <w:pStyle w:val="Heading1"/>
        <w:spacing w:after="160" w:before="360"/>
      </w:pPr>
      <w:r>
        <w:t xml:space="preserve">7. Personas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0"/>
      </w:tblGrid>
      <w:tr>
        <w:trPr>
          <w:tblHeader/>
        </w:trPr>
        <w:tc>
          <w:tcPr>
            <w:tcW w:type="dxa" w:w="26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56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Fraud Operations Analyst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explainable triage of alerts; hunting leads that save the first ten minutes of every investigation.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/ Risk Officer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that thresholds are defensible, changes are reviewed, and reporting obligations (AML/CTR) are supported, not undermined.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Security / Infrastructure Lead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that no customer data leaves the institution's network, and that the update channel cannot be a vector for unreviewed change.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/ Board Risk Committee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vendor story that survives technical scrutiny — no overclaimed "self-learning AI," no unverifiable "covers everything" claims.</w:t>
            </w:r>
          </w:p>
        </w:tc>
      </w:tr>
    </w:tbl>
    <w:p>
      <w:pPr>
        <w:pStyle w:val="Heading1"/>
        <w:spacing w:after="160" w:before="360"/>
      </w:pPr>
      <w:r>
        <w:t xml:space="preserve">8.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institution can identify, from historical data alone, at least one real fraud case the institution had not already caught, within the pilot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False-positive rate after one calibration cycle is measurably lower than the illustrative-default configuration, evidenced by the calibration backtest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Mean time from alert to investigator's first substantive hunting action decreases, evidenced by hunting-lead engagement in the case management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instances of customer transaction data leaving institution premises, verified via the audit log, across the pilot period.</w:t>
      </w:r>
    </w:p>
    <w:p>
      <w:pPr>
        <w:pStyle w:val="Heading1"/>
        <w:spacing w:after="160" w:before="360"/>
      </w:pPr>
      <w:r>
        <w:t xml:space="preserve">9. Known Limitations (Stated Deliberately, Not Omitted)</w:t>
      </w:r>
    </w:p>
    <w:p>
      <w:pPr>
        <w:spacing w:after="160"/>
      </w:pPr>
      <w:r>
        <w:t xml:space="preserve">Overclaiming coverage is a bigger risk to this product's credibility than any specific technical gap. The following are current, real limitations and must be represented accurately in any customer-facing conversation: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Illustrative default thresholds require calibration against each institution's own data before production use (tooling exists for this — FR-13 — but the calibration itself is not optional).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scoring covers only rules that are genuinely account-local (13 of 18); rules needing cross-account or cross-entity visibility remain on the batch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Cross-institution layering detection has a working privacy-preserving technical primitive but requires a legal data-sharing agreement or regulator-run utility that JFS cannot itself create.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Deepfake/AI-driven social engineering is explicitly not addressed by a detection rule — it is a process-control gap (out-of-band verification), and is documented as such rather than forced into a rule that cannot catch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ATM jackpotting is a device/malware attack outside this product's scope (transaction-pattern detection); it requires ATM telemetry monitoring, a different system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Prevention (blocking) is available but is not a recommended day-one configuration for any pilot or production rollout — it should be enabled only after a rule's alert-only false-positive rate has been measured against the institution's own data via the calibration tooling, and only with explicit risk/compliance sign-off per rule, per FR-17.</w:t>
      </w:r>
    </w:p>
    <w:p>
      <w:pPr>
        <w:pStyle w:val="Heading1"/>
        <w:spacing w:after="160" w:before="360"/>
      </w:pPr>
      <w:r>
        <w:t xml:space="preserve">10. Out of Scope (This Phase)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Tier-1 bank enterprise procurement and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cross-institution or cross-border data-sharing infrastructure (see Section 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Supervised machine-learning fraud scoring — no labeled historical fraud dataset exists yet to train one honestly; the roadmap path to this is via accumulated investigator feedback (confirm/false-positive), not assumed from day one.</w:t>
      </w:r>
    </w:p>
    <w:p>
      <w:pPr>
        <w:pStyle w:val="Heading1"/>
        <w:spacing w:after="160" w:before="360"/>
      </w:pPr>
      <w:r>
        <w:t xml:space="preserve">11. Related Documents</w:t>
      </w:r>
    </w:p>
    <w:p>
      <w:pPr>
        <w:spacing w:after="160"/>
      </w:pPr>
      <w:r>
        <w:t xml:space="preserve">RULE_CATALOG.md (complete rule-by-rule specification), API_REFERENCE.md (real-time scoring API), JFS_Deployment_Architecture.docx (on-premises/cloud deployment model and change-governance workflow), and the project technical README (engineering standards and codebase structure).</w:t>
      </w: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Jicho Fraud System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2026-08-26T13:11:05.994Z</dcterms:created>
  <dcterms:modified xsi:type="dcterms:W3CDTF">2026-08-26T13:11:06.018Z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