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3120B" w:rsidRDefault="006847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Reply to editors and reviewers</w:t>
      </w:r>
    </w:p>
    <w:p w14:paraId="00000002" w14:textId="77777777" w:rsidR="00C3120B" w:rsidRDefault="0068474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the editorial board for the opportunity to revise our manuscript. We also appreciate the reviewers' comments; their detailed reading of the manuscript and many suggestions have improved the article. Our responses to the editors and reviewers’ comm</w:t>
      </w:r>
      <w:r>
        <w:rPr>
          <w:rFonts w:ascii="Times New Roman" w:eastAsia="Times New Roman" w:hAnsi="Times New Roman" w:cs="Times New Roman"/>
          <w:sz w:val="24"/>
          <w:szCs w:val="24"/>
        </w:rPr>
        <w:t xml:space="preserve">ents are outlined below in blue with editors and reviewers’ comments in black. </w:t>
      </w:r>
    </w:p>
    <w:p w14:paraId="00000003" w14:textId="77777777" w:rsidR="00C3120B" w:rsidRDefault="006847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Editing team</w:t>
      </w:r>
    </w:p>
    <w:p w14:paraId="00000004"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Statements on </w:t>
      </w:r>
      <w:proofErr w:type="spellStart"/>
      <w:r>
        <w:rPr>
          <w:rFonts w:ascii="Times New Roman" w:eastAsia="Times New Roman" w:hAnsi="Times New Roman" w:cs="Times New Roman"/>
          <w:sz w:val="24"/>
          <w:szCs w:val="24"/>
        </w:rPr>
        <w:t>Licence</w:t>
      </w:r>
      <w:proofErr w:type="spellEnd"/>
      <w:r>
        <w:rPr>
          <w:rFonts w:ascii="Times New Roman" w:eastAsia="Times New Roman" w:hAnsi="Times New Roman" w:cs="Times New Roman"/>
          <w:sz w:val="24"/>
          <w:szCs w:val="24"/>
        </w:rPr>
        <w:t xml:space="preserve"> for Publication and Competing Interest.</w:t>
      </w:r>
    </w:p>
    <w:p w14:paraId="00000005" w14:textId="77777777" w:rsidR="00C3120B" w:rsidRDefault="00C3120B">
      <w:pPr>
        <w:rPr>
          <w:rFonts w:ascii="Times New Roman" w:eastAsia="Times New Roman" w:hAnsi="Times New Roman" w:cs="Times New Roman"/>
          <w:sz w:val="24"/>
          <w:szCs w:val="24"/>
        </w:rPr>
      </w:pPr>
    </w:p>
    <w:p w14:paraId="00000006"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The revised version of the manuscript includes both statements as required by the Editing team.</w:t>
      </w:r>
    </w:p>
    <w:p w14:paraId="00000007" w14:textId="77777777" w:rsidR="00C3120B" w:rsidRDefault="00C3120B">
      <w:pPr>
        <w:rPr>
          <w:rFonts w:ascii="Times New Roman" w:eastAsia="Times New Roman" w:hAnsi="Times New Roman" w:cs="Times New Roman"/>
          <w:color w:val="4A86E8"/>
          <w:sz w:val="24"/>
          <w:szCs w:val="24"/>
        </w:rPr>
      </w:pPr>
    </w:p>
    <w:p w14:paraId="00000008" w14:textId="77777777" w:rsidR="00C3120B" w:rsidRDefault="006847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1</w:t>
      </w:r>
    </w:p>
    <w:p w14:paraId="00000009" w14:textId="77777777" w:rsidR="00C3120B" w:rsidRDefault="00C3120B">
      <w:pPr>
        <w:rPr>
          <w:rFonts w:ascii="Times New Roman" w:eastAsia="Times New Roman" w:hAnsi="Times New Roman" w:cs="Times New Roman"/>
          <w:sz w:val="24"/>
          <w:szCs w:val="24"/>
        </w:rPr>
      </w:pPr>
    </w:p>
    <w:p w14:paraId="0000000A"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well written paper on an important topic. The paper provides some new insights, also in addition to providing figures for the selected population. </w:t>
      </w:r>
    </w:p>
    <w:p w14:paraId="0000000B" w14:textId="77777777" w:rsidR="00C3120B" w:rsidRDefault="00C3120B">
      <w:pPr>
        <w:rPr>
          <w:rFonts w:ascii="Times New Roman" w:eastAsia="Times New Roman" w:hAnsi="Times New Roman" w:cs="Times New Roman"/>
          <w:sz w:val="24"/>
          <w:szCs w:val="24"/>
        </w:rPr>
      </w:pPr>
    </w:p>
    <w:p w14:paraId="0000000C"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Thank you, we are pleased that you appreciated the contributions of our manuscript</w:t>
      </w:r>
      <w:r>
        <w:rPr>
          <w:rFonts w:ascii="Times New Roman" w:eastAsia="Times New Roman" w:hAnsi="Times New Roman" w:cs="Times New Roman"/>
          <w:color w:val="4A86E8"/>
          <w:sz w:val="24"/>
          <w:szCs w:val="24"/>
        </w:rPr>
        <w:t>.</w:t>
      </w:r>
    </w:p>
    <w:p w14:paraId="0000000D" w14:textId="77777777" w:rsidR="00C3120B" w:rsidRDefault="00C3120B">
      <w:pPr>
        <w:rPr>
          <w:rFonts w:ascii="Times New Roman" w:eastAsia="Times New Roman" w:hAnsi="Times New Roman" w:cs="Times New Roman"/>
          <w:sz w:val="24"/>
          <w:szCs w:val="24"/>
        </w:rPr>
      </w:pPr>
    </w:p>
    <w:p w14:paraId="0000000E"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illustrates the demographic view and approach to the covid-19 mortality, as compared to an epidemiologic or public health view. Both methods and measures are somewhat different between these areas. It is customary in epidemiologic studies of e</w:t>
      </w:r>
      <w:r>
        <w:rPr>
          <w:rFonts w:ascii="Times New Roman" w:eastAsia="Times New Roman" w:hAnsi="Times New Roman" w:cs="Times New Roman"/>
          <w:sz w:val="24"/>
          <w:szCs w:val="24"/>
        </w:rPr>
        <w:t xml:space="preserve">xcess mortality to compare the present figures to the average of five or so previous years, while in this paper several more detailed models are being used. The text says that four models are used but this reviewer can only see three? </w:t>
      </w:r>
    </w:p>
    <w:p w14:paraId="0000000F" w14:textId="77777777" w:rsidR="00C3120B" w:rsidRDefault="00C3120B">
      <w:pPr>
        <w:rPr>
          <w:rFonts w:ascii="Times New Roman" w:eastAsia="Times New Roman" w:hAnsi="Times New Roman" w:cs="Times New Roman"/>
          <w:sz w:val="24"/>
          <w:szCs w:val="24"/>
        </w:rPr>
      </w:pPr>
    </w:p>
    <w:p w14:paraId="00000010"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Indeed, as you ment</w:t>
      </w:r>
      <w:r>
        <w:rPr>
          <w:rFonts w:ascii="Times New Roman" w:eastAsia="Times New Roman" w:hAnsi="Times New Roman" w:cs="Times New Roman"/>
          <w:color w:val="4A86E8"/>
          <w:sz w:val="24"/>
          <w:szCs w:val="24"/>
        </w:rPr>
        <w:t xml:space="preserve">ion several accounts of excess mortality are based on crude methods that do not account for important biases such as age structure and seasonal trends in mortality, nor do they provide any estimate of uncertainty. These approaches also do not </w:t>
      </w:r>
      <w:proofErr w:type="spellStart"/>
      <w:r>
        <w:rPr>
          <w:rFonts w:ascii="Times New Roman" w:eastAsia="Times New Roman" w:hAnsi="Times New Roman" w:cs="Times New Roman"/>
          <w:color w:val="4A86E8"/>
          <w:sz w:val="24"/>
          <w:szCs w:val="24"/>
        </w:rPr>
        <w:t>analyse</w:t>
      </w:r>
      <w:proofErr w:type="spellEnd"/>
      <w:r>
        <w:rPr>
          <w:rFonts w:ascii="Times New Roman" w:eastAsia="Times New Roman" w:hAnsi="Times New Roman" w:cs="Times New Roman"/>
          <w:color w:val="4A86E8"/>
          <w:sz w:val="24"/>
          <w:szCs w:val="24"/>
        </w:rPr>
        <w:t xml:space="preserve"> varia</w:t>
      </w:r>
      <w:r>
        <w:rPr>
          <w:rFonts w:ascii="Times New Roman" w:eastAsia="Times New Roman" w:hAnsi="Times New Roman" w:cs="Times New Roman"/>
          <w:color w:val="4A86E8"/>
          <w:sz w:val="24"/>
          <w:szCs w:val="24"/>
        </w:rPr>
        <w:t>tions by age and sex. We compare four models. Three of those are statistical approaches in the form of Generalized Additive Models and Generalized Linear Models, while the fourth is an extension of the average-based model where average death rates in the p</w:t>
      </w:r>
      <w:r>
        <w:rPr>
          <w:rFonts w:ascii="Times New Roman" w:eastAsia="Times New Roman" w:hAnsi="Times New Roman" w:cs="Times New Roman"/>
          <w:color w:val="4A86E8"/>
          <w:sz w:val="24"/>
          <w:szCs w:val="24"/>
        </w:rPr>
        <w:t xml:space="preserve">receding five years is used as a baseline. To clarify that this last approach is the fourth model, we have now amended the text to indicate this (‘Finally, for our fourth model,...’). </w:t>
      </w:r>
    </w:p>
    <w:p w14:paraId="00000011" w14:textId="77777777" w:rsidR="00C3120B" w:rsidRDefault="00C3120B">
      <w:pPr>
        <w:rPr>
          <w:rFonts w:ascii="Times New Roman" w:eastAsia="Times New Roman" w:hAnsi="Times New Roman" w:cs="Times New Roman"/>
          <w:color w:val="4A86E8"/>
          <w:sz w:val="24"/>
          <w:szCs w:val="24"/>
        </w:rPr>
      </w:pPr>
    </w:p>
    <w:p w14:paraId="00000012"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The four approaches are explained in greater detail in the Supplementa</w:t>
      </w:r>
      <w:r>
        <w:rPr>
          <w:rFonts w:ascii="Times New Roman" w:eastAsia="Times New Roman" w:hAnsi="Times New Roman" w:cs="Times New Roman"/>
          <w:color w:val="4A86E8"/>
          <w:sz w:val="24"/>
          <w:szCs w:val="24"/>
        </w:rPr>
        <w:t>ry Material as follows:</w:t>
      </w:r>
    </w:p>
    <w:p w14:paraId="00000013" w14:textId="77777777" w:rsidR="00C3120B" w:rsidRDefault="00C3120B">
      <w:pPr>
        <w:rPr>
          <w:rFonts w:ascii="Times New Roman" w:eastAsia="Times New Roman" w:hAnsi="Times New Roman" w:cs="Times New Roman"/>
          <w:color w:val="4A86E8"/>
          <w:sz w:val="24"/>
          <w:szCs w:val="24"/>
        </w:rPr>
      </w:pPr>
    </w:p>
    <w:p w14:paraId="00000014" w14:textId="77777777" w:rsidR="00C3120B" w:rsidRDefault="0068474E">
      <w:pPr>
        <w:numPr>
          <w:ilvl w:val="0"/>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Generalized Additive Model assuming a Negative Binomial distribution to account for overdispersion of deaths during the period we study[1]. The model includes</w:t>
      </w:r>
    </w:p>
    <w:p w14:paraId="00000015" w14:textId="77777777" w:rsidR="00C3120B" w:rsidRDefault="0068474E">
      <w:pPr>
        <w:numPr>
          <w:ilvl w:val="1"/>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log-linear long-term mortality trends stratified by age group and sex,</w:t>
      </w:r>
    </w:p>
    <w:p w14:paraId="00000016" w14:textId="77777777" w:rsidR="00C3120B" w:rsidRDefault="0068474E">
      <w:pPr>
        <w:numPr>
          <w:ilvl w:val="1"/>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s</w:t>
      </w:r>
      <w:r>
        <w:rPr>
          <w:rFonts w:ascii="Times New Roman" w:eastAsia="Times New Roman" w:hAnsi="Times New Roman" w:cs="Times New Roman"/>
          <w:color w:val="4A86E8"/>
          <w:sz w:val="24"/>
          <w:szCs w:val="24"/>
        </w:rPr>
        <w:t>moothed effects for mortality over age and seasonality stratified by sex,</w:t>
      </w:r>
    </w:p>
    <w:p w14:paraId="00000017" w14:textId="77777777" w:rsidR="00C3120B" w:rsidRDefault="0068474E">
      <w:pPr>
        <w:numPr>
          <w:ilvl w:val="1"/>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lastRenderedPageBreak/>
        <w:t>a smoothed interaction for mortality between age and seasonality stratified by sex, and</w:t>
      </w:r>
    </w:p>
    <w:p w14:paraId="00000018" w14:textId="77777777" w:rsidR="00C3120B" w:rsidRDefault="0068474E">
      <w:pPr>
        <w:numPr>
          <w:ilvl w:val="1"/>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age and sex specific effects for “special weeks”, i.e. the first and last week of a year and w</w:t>
      </w:r>
      <w:r>
        <w:rPr>
          <w:rFonts w:ascii="Times New Roman" w:eastAsia="Times New Roman" w:hAnsi="Times New Roman" w:cs="Times New Roman"/>
          <w:color w:val="4A86E8"/>
          <w:sz w:val="24"/>
          <w:szCs w:val="24"/>
        </w:rPr>
        <w:t>eek 21 where holidays cause registration delays,</w:t>
      </w:r>
    </w:p>
    <w:p w14:paraId="00000019" w14:textId="77777777" w:rsidR="00C3120B" w:rsidRDefault="0068474E">
      <w:pPr>
        <w:numPr>
          <w:ilvl w:val="1"/>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logged exposure times as offset.</w:t>
      </w:r>
    </w:p>
    <w:p w14:paraId="0000001A" w14:textId="77777777" w:rsidR="00C3120B" w:rsidRDefault="00C3120B">
      <w:pPr>
        <w:spacing w:line="240" w:lineRule="auto"/>
        <w:ind w:firstLine="720"/>
        <w:rPr>
          <w:rFonts w:ascii="Times New Roman" w:eastAsia="Times New Roman" w:hAnsi="Times New Roman" w:cs="Times New Roman"/>
          <w:color w:val="4A86E8"/>
          <w:sz w:val="24"/>
          <w:szCs w:val="24"/>
        </w:rPr>
      </w:pPr>
    </w:p>
    <w:p w14:paraId="0000001B" w14:textId="77777777" w:rsidR="00C3120B" w:rsidRDefault="0068474E">
      <w:pPr>
        <w:spacing w:line="240" w:lineRule="auto"/>
        <w:ind w:firstLine="72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The structure of the model is as follows:</w:t>
      </w:r>
    </w:p>
    <w:p w14:paraId="0000001C" w14:textId="77777777" w:rsidR="00C3120B" w:rsidRDefault="00C3120B">
      <w:pPr>
        <w:spacing w:line="240" w:lineRule="auto"/>
        <w:ind w:left="720"/>
        <w:rPr>
          <w:rFonts w:ascii="Times New Roman" w:eastAsia="Times New Roman" w:hAnsi="Times New Roman" w:cs="Times New Roman"/>
          <w:color w:val="4A86E8"/>
          <w:sz w:val="24"/>
          <w:szCs w:val="24"/>
        </w:rPr>
      </w:pPr>
    </w:p>
    <w:p w14:paraId="00000020" w14:textId="794FDAEB" w:rsidR="00C3120B" w:rsidRDefault="0068474E">
      <w:pPr>
        <w:spacing w:after="160" w:line="259" w:lineRule="auto"/>
        <w:rPr>
          <w:rFonts w:ascii="Cambria Math" w:eastAsia="Cambria Math" w:hAnsi="Cambria Math" w:cs="Cambria Math"/>
          <w:color w:val="4A86E8"/>
          <w:sz w:val="24"/>
          <w:szCs w:val="24"/>
        </w:rPr>
      </w:pPr>
      <m:oMath>
        <m:r>
          <w:rPr>
            <w:rFonts w:ascii="Cambria Math" w:eastAsia="Cambria Math" w:hAnsi="Cambria Math" w:cs="Cambria Math"/>
            <w:color w:val="4A86E8"/>
            <w:sz w:val="24"/>
            <w:szCs w:val="24"/>
          </w:rPr>
          <m:t>log</m:t>
        </m:r>
        <m:r>
          <w:rPr>
            <w:rFonts w:ascii="Calibri" w:eastAsia="Calibri" w:hAnsi="Calibri" w:cs="Calibri"/>
            <w:color w:val="4A86E8"/>
          </w:rPr>
          <m:t xml:space="preserve"> </m:t>
        </m:r>
        <m:d>
          <m:dPr>
            <m:ctrlPr>
              <w:rPr>
                <w:rFonts w:ascii="Cambria Math" w:eastAsia="Cambria Math" w:hAnsi="Cambria Math" w:cs="Cambria Math"/>
                <w:color w:val="4A86E8"/>
                <w:sz w:val="24"/>
                <w:szCs w:val="24"/>
              </w:rPr>
            </m:ctrlPr>
          </m:dPr>
          <m:e>
            <m:r>
              <w:rPr>
                <w:rFonts w:ascii="Cambria Math" w:eastAsia="Cambria Math" w:hAnsi="Cambria Math" w:cs="Cambria Math"/>
                <w:color w:val="4A86E8"/>
                <w:sz w:val="24"/>
                <w:szCs w:val="24"/>
              </w:rPr>
              <m:t>E</m:t>
            </m:r>
            <m:d>
              <m:dPr>
                <m:ctrlPr>
                  <w:rPr>
                    <w:rFonts w:ascii="Cambria Math" w:eastAsia="Cambria Math" w:hAnsi="Cambria Math" w:cs="Cambria Math"/>
                    <w:color w:val="4A86E8"/>
                    <w:sz w:val="24"/>
                    <w:szCs w:val="24"/>
                  </w:rPr>
                </m:ctrlPr>
              </m:dPr>
              <m:e>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Y</m:t>
                    </m:r>
                  </m:e>
                  <m:sub>
                    <m:r>
                      <w:rPr>
                        <w:rFonts w:ascii="Cambria Math" w:eastAsia="Cambria Math" w:hAnsi="Cambria Math" w:cs="Cambria Math"/>
                        <w:color w:val="4A86E8"/>
                        <w:sz w:val="24"/>
                        <w:szCs w:val="24"/>
                      </w:rPr>
                      <m:t>i</m:t>
                    </m:r>
                  </m:sub>
                </m:sSub>
              </m:e>
            </m:d>
          </m:e>
        </m:d>
        <m:r>
          <w:rPr>
            <w:rFonts w:ascii="Calibri" w:eastAsia="Calibri" w:hAnsi="Calibri" w:cs="Calibri"/>
            <w:color w:val="4A86E8"/>
          </w:rPr>
          <m:t xml:space="preserve"> </m:t>
        </m:r>
        <m:r>
          <w:rPr>
            <w:rFonts w:ascii="Cambria Math" w:eastAsia="Cambria Math" w:hAnsi="Cambria Math" w:cs="Cambria Math"/>
            <w:color w:val="4A86E8"/>
            <w:sz w:val="24"/>
            <w:szCs w:val="24"/>
          </w:rPr>
          <m:t xml:space="preserve">= </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0</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1</m:t>
            </m:r>
          </m:sub>
        </m:sSub>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2</m:t>
            </m:r>
          </m:sub>
        </m:sSub>
        <m:r>
          <w:rPr>
            <w:rFonts w:ascii="Cambria Math" w:eastAsia="Cambria Math" w:hAnsi="Cambria Math" w:cs="Cambria Math"/>
            <w:color w:val="4A86E8"/>
            <w:sz w:val="24"/>
            <w:szCs w:val="24"/>
          </w:rPr>
          <m:t>agegro</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up</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3</m:t>
            </m:r>
          </m:sub>
        </m:sSub>
        <m:r>
          <w:rPr>
            <w:rFonts w:ascii="Cambria Math" w:eastAsia="Cambria Math" w:hAnsi="Cambria Math" w:cs="Cambria Math"/>
            <w:color w:val="4A86E8"/>
            <w:sz w:val="24"/>
            <w:szCs w:val="24"/>
          </w:rPr>
          <m:t>specialwee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k</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4</m:t>
            </m:r>
          </m:sub>
        </m:sSub>
        <m:r>
          <w:rPr>
            <w:rFonts w:ascii="Cambria Math" w:eastAsia="Cambria Math" w:hAnsi="Cambria Math" w:cs="Cambria Math"/>
            <w:color w:val="4A86E8"/>
            <w:sz w:val="24"/>
            <w:szCs w:val="24"/>
          </w:rPr>
          <m:t>tim</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e</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5</m:t>
            </m:r>
          </m:sub>
        </m:sSub>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agegrou</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p</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6</m:t>
            </m:r>
          </m:sub>
        </m:sSub>
        <m:r>
          <w:rPr>
            <w:rFonts w:ascii="Times New Roman" w:eastAsia="Times New Roman" w:hAnsi="Times New Roman" w:cs="Times New Roman"/>
            <w:color w:val="4A86E8"/>
            <w:sz w:val="24"/>
            <w:szCs w:val="24"/>
          </w:rPr>
          <m:t>tim</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e</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r>
          <w:rPr>
            <w:rFonts w:ascii="Times New Roman" w:eastAsia="Times New Roman" w:hAnsi="Times New Roman" w:cs="Times New Roman"/>
            <w:color w:val="4A86E8"/>
            <w:sz w:val="24"/>
            <w:szCs w:val="24"/>
          </w:rPr>
          <m:t>se</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x</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7</m:t>
            </m:r>
          </m:sub>
        </m:sSub>
        <m:r>
          <w:rPr>
            <w:rFonts w:ascii="Times New Roman" w:eastAsia="Times New Roman" w:hAnsi="Times New Roman" w:cs="Times New Roman"/>
            <w:color w:val="4A86E8"/>
            <w:sz w:val="24"/>
            <w:szCs w:val="24"/>
          </w:rPr>
          <m:t>tim</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e</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r>
          <w:rPr>
            <w:rFonts w:ascii="Times New Roman" w:eastAsia="Times New Roman" w:hAnsi="Times New Roman" w:cs="Times New Roman"/>
            <w:color w:val="4A86E8"/>
            <w:sz w:val="24"/>
            <w:szCs w:val="24"/>
          </w:rPr>
          <m:t>agegrou</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p</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8</m:t>
            </m:r>
          </m:sub>
        </m:sSub>
        <m:r>
          <w:rPr>
            <w:rFonts w:ascii="Times New Roman" w:eastAsia="Times New Roman" w:hAnsi="Times New Roman" w:cs="Times New Roman"/>
            <w:color w:val="4A86E8"/>
            <w:sz w:val="24"/>
            <w:szCs w:val="24"/>
          </w:rPr>
          <m:t>tim</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e</m:t>
            </m:r>
          </m:e>
          <m:sub>
            <m:r>
              <w:rPr>
                <w:rFonts w:ascii="Times New Roman" w:eastAsia="Times New Roman" w:hAnsi="Times New Roman" w:cs="Times New Roman"/>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agegrou</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p</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9</m:t>
            </m:r>
          </m:sub>
        </m:sSub>
        <m:r>
          <w:rPr>
            <w:rFonts w:ascii="Times New Roman" w:eastAsia="Times New Roman" w:hAnsi="Times New Roman" w:cs="Times New Roman"/>
            <w:color w:val="4A86E8"/>
            <w:sz w:val="24"/>
            <w:szCs w:val="24"/>
          </w:rPr>
          <m:t>specialwee</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k</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r>
          <w:rPr>
            <w:rFonts w:ascii="Times New Roman" w:eastAsia="Times New Roman" w:hAnsi="Times New Roman" w:cs="Times New Roman"/>
            <w:color w:val="4A86E8"/>
            <w:sz w:val="24"/>
            <w:szCs w:val="24"/>
          </w:rPr>
          <m:t>se</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x</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10</m:t>
            </m:r>
          </m:sub>
        </m:sSub>
        <m:r>
          <w:rPr>
            <w:rFonts w:ascii="Times New Roman" w:eastAsia="Times New Roman" w:hAnsi="Times New Roman" w:cs="Times New Roman"/>
            <w:color w:val="4A86E8"/>
            <w:sz w:val="24"/>
            <w:szCs w:val="24"/>
          </w:rPr>
          <m:t>specialwee</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k</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r>
          <w:rPr>
            <w:rFonts w:ascii="Times New Roman" w:eastAsia="Times New Roman" w:hAnsi="Times New Roman" w:cs="Times New Roman"/>
            <w:color w:val="4A86E8"/>
            <w:sz w:val="24"/>
            <w:szCs w:val="24"/>
          </w:rPr>
          <m:t>agegrou</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p</m:t>
            </m:r>
          </m:e>
          <m:sub>
            <m:r>
              <w:rPr>
                <w:rFonts w:ascii="Times New Roman" w:eastAsia="Times New Roman" w:hAnsi="Times New Roman" w:cs="Times New Roman"/>
                <w:color w:val="4A86E8"/>
                <w:sz w:val="24"/>
                <w:szCs w:val="24"/>
              </w:rPr>
              <m:t>i</m:t>
            </m:r>
          </m:sub>
        </m:sSub>
        <m:r>
          <w:rPr>
            <w:rFonts w:ascii="Times New Roman" w:eastAsia="Times New Roman" w:hAnsi="Times New Roman" w:cs="Times New Roman"/>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11</m:t>
            </m:r>
          </m:sub>
        </m:sSub>
        <m:r>
          <w:rPr>
            <w:rFonts w:ascii="Times New Roman" w:eastAsia="Times New Roman" w:hAnsi="Times New Roman" w:cs="Times New Roman"/>
            <w:color w:val="4A86E8"/>
            <w:sz w:val="24"/>
            <w:szCs w:val="24"/>
          </w:rPr>
          <m:t>specialwee</m:t>
        </m:r>
        <m:sSub>
          <m:sSubPr>
            <m:ctrlPr>
              <w:rPr>
                <w:rFonts w:ascii="Times New Roman" w:eastAsia="Times New Roman" w:hAnsi="Times New Roman" w:cs="Times New Roman"/>
                <w:color w:val="4A86E8"/>
                <w:sz w:val="24"/>
                <w:szCs w:val="24"/>
              </w:rPr>
            </m:ctrlPr>
          </m:sSubPr>
          <m:e>
            <m:r>
              <w:rPr>
                <w:rFonts w:ascii="Times New Roman" w:eastAsia="Times New Roman" w:hAnsi="Times New Roman" w:cs="Times New Roman"/>
                <w:color w:val="4A86E8"/>
                <w:sz w:val="24"/>
                <w:szCs w:val="24"/>
              </w:rPr>
              <m:t>k</m:t>
            </m:r>
          </m:e>
          <m:sub>
            <m:r>
              <w:rPr>
                <w:rFonts w:ascii="Times New Roman" w:eastAsia="Times New Roman" w:hAnsi="Times New Roman" w:cs="Times New Roman"/>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agegro</m:t>
        </m:r>
        <m:r>
          <w:rPr>
            <w:rFonts w:ascii="Cambria Math" w:eastAsia="Cambria Math" w:hAnsi="Cambria Math" w:cs="Cambria Math"/>
            <w:color w:val="4A86E8"/>
            <w:sz w:val="24"/>
            <w:szCs w:val="24"/>
          </w:rPr>
          <m:t>u</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p</m:t>
            </m:r>
          </m:e>
          <m:sub>
            <m:r>
              <w:rPr>
                <w:rFonts w:ascii="Cambria Math" w:eastAsia="Cambria Math" w:hAnsi="Cambria Math" w:cs="Cambria Math"/>
                <w:color w:val="4A86E8"/>
                <w:sz w:val="24"/>
                <w:szCs w:val="24"/>
              </w:rPr>
              <m:t>i</m:t>
            </m:r>
          </m:sub>
        </m:sSub>
      </m:oMath>
      <w:r>
        <w:rPr>
          <w:rFonts w:ascii="Cambria Math" w:eastAsia="Cambria Math" w:hAnsi="Cambria Math" w:cs="Cambria Math"/>
          <w:color w:val="4A86E8"/>
          <w:sz w:val="24"/>
          <w:szCs w:val="24"/>
        </w:rPr>
        <w:t>+</w:t>
      </w:r>
      <m:oMath>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f</m:t>
            </m:r>
          </m:e>
          <m:sub>
            <m:r>
              <w:rPr>
                <w:rFonts w:ascii="Cambria Math" w:eastAsia="Cambria Math" w:hAnsi="Cambria Math" w:cs="Cambria Math"/>
                <w:color w:val="4A86E8"/>
                <w:sz w:val="24"/>
                <w:szCs w:val="24"/>
              </w:rPr>
              <m:t>1</m:t>
            </m:r>
          </m:sub>
        </m:sSub>
        <m:d>
          <m:dPr>
            <m:ctrlPr>
              <w:rPr>
                <w:rFonts w:ascii="Cambria Math" w:eastAsia="Cambria Math" w:hAnsi="Cambria Math" w:cs="Cambria Math"/>
                <w:color w:val="4A86E8"/>
                <w:sz w:val="24"/>
                <w:szCs w:val="24"/>
              </w:rPr>
            </m:ctrlPr>
          </m:dPr>
          <m:e>
            <m:r>
              <w:rPr>
                <w:rFonts w:ascii="Cambria Math" w:eastAsia="Cambria Math" w:hAnsi="Cambria Math" w:cs="Cambria Math"/>
                <w:color w:val="4A86E8"/>
                <w:sz w:val="24"/>
                <w:szCs w:val="24"/>
              </w:rPr>
              <m:t>ag</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e</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 xml:space="preserve">| </m:t>
            </m:r>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e>
        </m:d>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f</m:t>
            </m:r>
          </m:e>
          <m:sub>
            <m:r>
              <w:rPr>
                <w:rFonts w:ascii="Cambria Math" w:eastAsia="Cambria Math" w:hAnsi="Cambria Math" w:cs="Cambria Math"/>
                <w:color w:val="4A86E8"/>
                <w:sz w:val="24"/>
                <w:szCs w:val="24"/>
              </w:rPr>
              <m:t>2</m:t>
            </m:r>
          </m:sub>
        </m:sSub>
        <m:d>
          <m:dPr>
            <m:ctrlPr>
              <w:rPr>
                <w:rFonts w:ascii="Cambria Math" w:eastAsia="Cambria Math" w:hAnsi="Cambria Math" w:cs="Cambria Math"/>
                <w:color w:val="4A86E8"/>
                <w:sz w:val="24"/>
                <w:szCs w:val="24"/>
              </w:rPr>
            </m:ctrlPr>
          </m:dPr>
          <m:e>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weekofyear</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e>
        </m:d>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f</m:t>
            </m:r>
          </m:e>
          <m:sub>
            <m:r>
              <w:rPr>
                <w:rFonts w:ascii="Cambria Math" w:eastAsia="Cambria Math" w:hAnsi="Cambria Math" w:cs="Cambria Math"/>
                <w:color w:val="4A86E8"/>
                <w:sz w:val="24"/>
                <w:szCs w:val="24"/>
              </w:rPr>
              <m:t>3</m:t>
            </m:r>
          </m:sub>
        </m:sSub>
        <m:d>
          <m:dPr>
            <m:ctrlPr>
              <w:rPr>
                <w:rFonts w:ascii="Cambria Math" w:eastAsia="Cambria Math" w:hAnsi="Cambria Math" w:cs="Cambria Math"/>
                <w:color w:val="4A86E8"/>
                <w:sz w:val="24"/>
                <w:szCs w:val="24"/>
              </w:rPr>
            </m:ctrlPr>
          </m:dPr>
          <m:e>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weekofyear</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ag</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e</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se</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x</m:t>
                </m:r>
              </m:e>
              <m:sub>
                <m:r>
                  <w:rPr>
                    <w:rFonts w:ascii="Cambria Math" w:eastAsia="Cambria Math" w:hAnsi="Cambria Math" w:cs="Cambria Math"/>
                    <w:color w:val="4A86E8"/>
                    <w:sz w:val="24"/>
                    <w:szCs w:val="24"/>
                  </w:rPr>
                  <m:t>i</m:t>
                </m:r>
              </m:sub>
            </m:sSub>
          </m:e>
        </m:d>
      </m:oMath>
      <w:r>
        <w:rPr>
          <w:rFonts w:ascii="Cambria Math" w:eastAsia="Cambria Math" w:hAnsi="Cambria Math" w:cs="Cambria Math"/>
          <w:color w:val="4A86E8"/>
          <w:sz w:val="24"/>
          <w:szCs w:val="24"/>
        </w:rPr>
        <w:t xml:space="preserve"> +</w:t>
      </w:r>
    </w:p>
    <w:p w14:paraId="00000021" w14:textId="77777777" w:rsidR="00C3120B" w:rsidRDefault="0068474E">
      <w:pPr>
        <w:spacing w:after="160" w:line="259" w:lineRule="auto"/>
        <w:rPr>
          <w:rFonts w:ascii="Cambria Math" w:eastAsia="Cambria Math" w:hAnsi="Cambria Math" w:cs="Cambria Math"/>
          <w:color w:val="4A86E8"/>
          <w:sz w:val="24"/>
          <w:szCs w:val="24"/>
        </w:rPr>
      </w:pPr>
      <m:oMathPara>
        <m:oMath>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log</m:t>
              </m:r>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θ</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oMath>
      </m:oMathPara>
    </w:p>
    <w:p w14:paraId="00000022" w14:textId="77777777" w:rsidR="00C3120B" w:rsidRDefault="00C3120B">
      <w:pPr>
        <w:spacing w:line="240" w:lineRule="auto"/>
        <w:rPr>
          <w:rFonts w:ascii="Times New Roman" w:eastAsia="Times New Roman" w:hAnsi="Times New Roman" w:cs="Times New Roman"/>
          <w:color w:val="4A86E8"/>
          <w:sz w:val="24"/>
          <w:szCs w:val="24"/>
        </w:rPr>
      </w:pPr>
    </w:p>
    <w:p w14:paraId="00000023" w14:textId="77777777" w:rsidR="00C3120B" w:rsidRDefault="0068474E">
      <w:pPr>
        <w:spacing w:line="240" w:lineRule="auto"/>
        <w:ind w:left="72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Where </w:t>
      </w:r>
      <m:oMath>
        <m:r>
          <w:rPr>
            <w:rFonts w:ascii="Cambria Math" w:eastAsia="Cambria Math" w:hAnsi="Cambria Math" w:cs="Cambria Math"/>
            <w:color w:val="4A86E8"/>
            <w:sz w:val="24"/>
            <w:szCs w:val="24"/>
          </w:rPr>
          <m:t>E</m:t>
        </m:r>
        <m:d>
          <m:dPr>
            <m:ctrlPr>
              <w:rPr>
                <w:rFonts w:ascii="Cambria Math" w:eastAsia="Cambria Math" w:hAnsi="Cambria Math" w:cs="Cambria Math"/>
                <w:color w:val="4A86E8"/>
                <w:sz w:val="24"/>
                <w:szCs w:val="24"/>
              </w:rPr>
            </m:ctrlPr>
          </m:dPr>
          <m:e>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Y</m:t>
                </m:r>
              </m:e>
              <m:sub>
                <m:r>
                  <w:rPr>
                    <w:rFonts w:ascii="Cambria Math" w:eastAsia="Cambria Math" w:hAnsi="Cambria Math" w:cs="Cambria Math"/>
                    <w:color w:val="4A86E8"/>
                    <w:sz w:val="24"/>
                    <w:szCs w:val="24"/>
                  </w:rPr>
                  <m:t>i</m:t>
                </m:r>
              </m:sub>
            </m:sSub>
          </m:e>
        </m:d>
      </m:oMath>
      <w:r>
        <w:rPr>
          <w:rFonts w:ascii="Times New Roman" w:eastAsia="Times New Roman" w:hAnsi="Times New Roman" w:cs="Times New Roman"/>
          <w:color w:val="4A86E8"/>
          <w:sz w:val="24"/>
          <w:szCs w:val="24"/>
        </w:rPr>
        <w:t xml:space="preserve"> are the expected deaths in a given week and population stratum, </w:t>
      </w:r>
      <m:oMath>
        <m:sSub>
          <m:sSubPr>
            <m:ctrlPr>
              <w:rPr>
                <w:rFonts w:ascii="Cambria Math" w:eastAsia="Cambria Math" w:hAnsi="Cambria Math" w:cs="Cambria Math"/>
                <w:color w:val="4A86E8"/>
                <w:sz w:val="24"/>
                <w:szCs w:val="24"/>
              </w:rPr>
            </m:ctrlPr>
          </m:sSubPr>
          <m:e>
            <m:r>
              <w:rPr>
                <w:rFonts w:ascii="Cambria Math" w:hAnsi="Cambria Math"/>
              </w:rPr>
              <m:t>θ</m:t>
            </m:r>
          </m:e>
          <m:sub>
            <m:r>
              <w:rPr>
                <w:rFonts w:ascii="Cambria Math" w:eastAsia="Cambria Math" w:hAnsi="Cambria Math" w:cs="Cambria Math"/>
                <w:color w:val="4A86E8"/>
                <w:sz w:val="24"/>
                <w:szCs w:val="24"/>
              </w:rPr>
              <m:t>i</m:t>
            </m:r>
          </m:sub>
        </m:sSub>
      </m:oMath>
      <w:r>
        <w:rPr>
          <w:rFonts w:ascii="Times New Roman" w:eastAsia="Times New Roman" w:hAnsi="Times New Roman" w:cs="Times New Roman"/>
          <w:color w:val="4A86E8"/>
          <w:sz w:val="24"/>
          <w:szCs w:val="24"/>
        </w:rPr>
        <w:t xml:space="preserve"> are the population exposures, and </w:t>
      </w:r>
      <m:oMath>
        <m:r>
          <w:rPr>
            <w:rFonts w:ascii="Times New Roman" w:eastAsia="Times New Roman" w:hAnsi="Times New Roman" w:cs="Times New Roman"/>
            <w:color w:val="4A86E8"/>
            <w:sz w:val="24"/>
            <w:szCs w:val="24"/>
          </w:rPr>
          <m:t>f</m:t>
        </m:r>
      </m:oMath>
      <w:r>
        <w:rPr>
          <w:rFonts w:ascii="Times New Roman" w:eastAsia="Times New Roman" w:hAnsi="Times New Roman" w:cs="Times New Roman"/>
          <w:color w:val="4A86E8"/>
          <w:sz w:val="24"/>
          <w:szCs w:val="24"/>
        </w:rPr>
        <w:t xml:space="preserve"> are smooth fu</w:t>
      </w:r>
      <w:proofErr w:type="spellStart"/>
      <w:r>
        <w:rPr>
          <w:rFonts w:ascii="Times New Roman" w:eastAsia="Times New Roman" w:hAnsi="Times New Roman" w:cs="Times New Roman"/>
          <w:color w:val="4A86E8"/>
          <w:sz w:val="24"/>
          <w:szCs w:val="24"/>
        </w:rPr>
        <w:t>nctions</w:t>
      </w:r>
      <w:proofErr w:type="spellEnd"/>
      <w:r>
        <w:rPr>
          <w:rFonts w:ascii="Times New Roman" w:eastAsia="Times New Roman" w:hAnsi="Times New Roman" w:cs="Times New Roman"/>
          <w:color w:val="4A86E8"/>
          <w:sz w:val="24"/>
          <w:szCs w:val="24"/>
        </w:rPr>
        <w:t xml:space="preserve"> of continuous covariates. </w:t>
      </w:r>
      <m:oMath>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f</m:t>
            </m:r>
          </m:e>
          <m:sub>
            <m:r>
              <w:rPr>
                <w:rFonts w:ascii="Cambria Math" w:eastAsia="Cambria Math" w:hAnsi="Cambria Math" w:cs="Cambria Math"/>
                <w:color w:val="4A86E8"/>
                <w:sz w:val="24"/>
                <w:szCs w:val="24"/>
              </w:rPr>
              <m:t>1</m:t>
            </m:r>
          </m:sub>
        </m:sSub>
      </m:oMath>
      <w:r>
        <w:rPr>
          <w:rFonts w:ascii="Times New Roman" w:eastAsia="Times New Roman" w:hAnsi="Times New Roman" w:cs="Times New Roman"/>
          <w:color w:val="4A86E8"/>
          <w:sz w:val="24"/>
          <w:szCs w:val="24"/>
        </w:rPr>
        <w:t xml:space="preserve"> is a penalized spline for the age effect with a dimension 6 basis, </w:t>
      </w:r>
      <m:oMath>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f</m:t>
            </m:r>
          </m:e>
          <m:sub>
            <m:r>
              <w:rPr>
                <w:rFonts w:ascii="Cambria Math" w:eastAsia="Cambria Math" w:hAnsi="Cambria Math" w:cs="Cambria Math"/>
                <w:color w:val="4A86E8"/>
                <w:sz w:val="24"/>
                <w:szCs w:val="24"/>
              </w:rPr>
              <m:t>2</m:t>
            </m:r>
          </m:sub>
        </m:sSub>
      </m:oMath>
      <w:r>
        <w:rPr>
          <w:rFonts w:ascii="Cambria Math" w:eastAsia="Cambria Math" w:hAnsi="Cambria Math" w:cs="Cambria Math"/>
          <w:color w:val="4A86E8"/>
          <w:sz w:val="24"/>
          <w:szCs w:val="24"/>
        </w:rPr>
        <w:t xml:space="preserve">is a penalized cyclic spline over week of year for the seasonality effect with a dimension 8 basis and </w:t>
      </w:r>
      <m:oMath>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f</m:t>
            </m:r>
          </m:e>
          <m:sub>
            <m:r>
              <w:rPr>
                <w:rFonts w:ascii="Cambria Math" w:eastAsia="Cambria Math" w:hAnsi="Cambria Math" w:cs="Cambria Math"/>
                <w:color w:val="4A86E8"/>
                <w:sz w:val="24"/>
                <w:szCs w:val="24"/>
              </w:rPr>
              <m:t>3</m:t>
            </m:r>
          </m:sub>
        </m:sSub>
      </m:oMath>
      <w:r>
        <w:rPr>
          <w:rFonts w:ascii="Cambria Math" w:eastAsia="Cambria Math" w:hAnsi="Cambria Math" w:cs="Cambria Math"/>
          <w:color w:val="4A86E8"/>
          <w:sz w:val="24"/>
          <w:szCs w:val="24"/>
        </w:rPr>
        <w:t>is a smooth interaction of age and seasona</w:t>
      </w:r>
      <w:proofErr w:type="spellStart"/>
      <w:r>
        <w:rPr>
          <w:rFonts w:ascii="Cambria Math" w:eastAsia="Cambria Math" w:hAnsi="Cambria Math" w:cs="Cambria Math"/>
          <w:color w:val="4A86E8"/>
          <w:sz w:val="24"/>
          <w:szCs w:val="24"/>
        </w:rPr>
        <w:t>lity</w:t>
      </w:r>
      <w:proofErr w:type="spellEnd"/>
      <w:r>
        <w:rPr>
          <w:rFonts w:ascii="Cambria Math" w:eastAsia="Cambria Math" w:hAnsi="Cambria Math" w:cs="Cambria Math"/>
          <w:color w:val="4A86E8"/>
          <w:sz w:val="24"/>
          <w:szCs w:val="24"/>
        </w:rPr>
        <w:t>.</w:t>
      </w:r>
    </w:p>
    <w:p w14:paraId="00000024" w14:textId="77777777" w:rsidR="00C3120B" w:rsidRDefault="00C3120B">
      <w:pPr>
        <w:spacing w:line="240" w:lineRule="auto"/>
        <w:rPr>
          <w:rFonts w:ascii="Times New Roman" w:eastAsia="Times New Roman" w:hAnsi="Times New Roman" w:cs="Times New Roman"/>
          <w:color w:val="4A86E8"/>
          <w:sz w:val="24"/>
          <w:szCs w:val="24"/>
        </w:rPr>
      </w:pPr>
    </w:p>
    <w:p w14:paraId="00000025" w14:textId="77777777" w:rsidR="00C3120B" w:rsidRDefault="0068474E">
      <w:pPr>
        <w:numPr>
          <w:ilvl w:val="0"/>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The second approach is a Generalized Additive Model assuming a Poisson distribution with the same structure as above. </w:t>
      </w:r>
    </w:p>
    <w:p w14:paraId="00000026" w14:textId="77777777" w:rsidR="00C3120B" w:rsidRDefault="00C3120B">
      <w:pPr>
        <w:spacing w:line="240" w:lineRule="auto"/>
        <w:ind w:left="720"/>
        <w:rPr>
          <w:rFonts w:ascii="Times New Roman" w:eastAsia="Times New Roman" w:hAnsi="Times New Roman" w:cs="Times New Roman"/>
          <w:color w:val="4A86E8"/>
          <w:sz w:val="24"/>
          <w:szCs w:val="24"/>
        </w:rPr>
      </w:pPr>
    </w:p>
    <w:p w14:paraId="00000027" w14:textId="77777777" w:rsidR="00C3120B" w:rsidRDefault="0068474E">
      <w:pPr>
        <w:numPr>
          <w:ilvl w:val="0"/>
          <w:numId w:val="1"/>
        </w:num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The third approach is a Generalized Linear Model regression on weekly deaths assuming a Poisson distribution and featuring trigon</w:t>
      </w:r>
      <w:r>
        <w:rPr>
          <w:rFonts w:ascii="Times New Roman" w:eastAsia="Times New Roman" w:hAnsi="Times New Roman" w:cs="Times New Roman"/>
          <w:color w:val="4A86E8"/>
          <w:sz w:val="24"/>
          <w:szCs w:val="24"/>
        </w:rPr>
        <w:t>ometric terms for the seasonal effect. These so-called Serfling models [2,3] are used to estimate baseline mortality during influenza epidemics. The basic structure of the model is as follows:</w:t>
      </w:r>
    </w:p>
    <w:p w14:paraId="00000028" w14:textId="77777777" w:rsidR="00C3120B" w:rsidRDefault="00C3120B">
      <w:pPr>
        <w:spacing w:line="240" w:lineRule="auto"/>
        <w:ind w:left="360"/>
        <w:rPr>
          <w:rFonts w:ascii="Times New Roman" w:eastAsia="Times New Roman" w:hAnsi="Times New Roman" w:cs="Times New Roman"/>
          <w:color w:val="4A86E8"/>
          <w:sz w:val="24"/>
          <w:szCs w:val="24"/>
        </w:rPr>
      </w:pPr>
    </w:p>
    <w:p w14:paraId="00000029" w14:textId="77777777" w:rsidR="00C3120B" w:rsidRDefault="0068474E">
      <w:pPr>
        <w:spacing w:after="160" w:line="259" w:lineRule="auto"/>
        <w:rPr>
          <w:rFonts w:ascii="Calibri" w:eastAsia="Calibri" w:hAnsi="Calibri" w:cs="Calibri"/>
          <w:color w:val="4A86E8"/>
        </w:rPr>
      </w:pPr>
      <m:oMathPara>
        <m:oMath>
          <m:r>
            <w:rPr>
              <w:rFonts w:ascii="Cambria Math" w:eastAsia="Cambria Math" w:hAnsi="Cambria Math" w:cs="Cambria Math"/>
              <w:color w:val="4A86E8"/>
              <w:sz w:val="24"/>
              <w:szCs w:val="24"/>
            </w:rPr>
            <m:t>log</m:t>
          </m:r>
          <m:r>
            <w:rPr>
              <w:rFonts w:ascii="Calibri" w:eastAsia="Calibri" w:hAnsi="Calibri" w:cs="Calibri"/>
              <w:color w:val="4A86E8"/>
            </w:rPr>
            <m:t xml:space="preserve"> </m:t>
          </m:r>
          <m:d>
            <m:dPr>
              <m:ctrlPr>
                <w:rPr>
                  <w:rFonts w:ascii="Cambria Math" w:eastAsia="Cambria Math" w:hAnsi="Cambria Math" w:cs="Cambria Math"/>
                  <w:color w:val="4A86E8"/>
                  <w:sz w:val="24"/>
                  <w:szCs w:val="24"/>
                </w:rPr>
              </m:ctrlPr>
            </m:dPr>
            <m:e>
              <m:r>
                <w:rPr>
                  <w:rFonts w:ascii="Cambria Math" w:eastAsia="Cambria Math" w:hAnsi="Cambria Math" w:cs="Cambria Math"/>
                  <w:color w:val="4A86E8"/>
                  <w:sz w:val="24"/>
                  <w:szCs w:val="24"/>
                </w:rPr>
                <m:t>E</m:t>
              </m:r>
              <m:d>
                <m:dPr>
                  <m:ctrlPr>
                    <w:rPr>
                      <w:rFonts w:ascii="Cambria Math" w:eastAsia="Cambria Math" w:hAnsi="Cambria Math" w:cs="Cambria Math"/>
                      <w:color w:val="4A86E8"/>
                      <w:sz w:val="24"/>
                      <w:szCs w:val="24"/>
                    </w:rPr>
                  </m:ctrlPr>
                </m:dPr>
                <m:e>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Y</m:t>
                      </m:r>
                    </m:e>
                    <m:sub>
                      <m:r>
                        <w:rPr>
                          <w:rFonts w:ascii="Cambria Math" w:eastAsia="Cambria Math" w:hAnsi="Cambria Math" w:cs="Cambria Math"/>
                          <w:color w:val="4A86E8"/>
                          <w:sz w:val="24"/>
                          <w:szCs w:val="24"/>
                        </w:rPr>
                        <m:t>i</m:t>
                      </m:r>
                    </m:sub>
                  </m:sSub>
                </m:e>
              </m:d>
            </m:e>
          </m:d>
          <m:r>
            <w:rPr>
              <w:rFonts w:ascii="Calibri" w:eastAsia="Calibri" w:hAnsi="Calibri" w:cs="Calibri"/>
              <w:color w:val="4A86E8"/>
            </w:rPr>
            <m:t xml:space="preserve"> </m:t>
          </m:r>
          <m:r>
            <w:rPr>
              <w:rFonts w:ascii="Cambria Math" w:eastAsia="Cambria Math" w:hAnsi="Cambria Math" w:cs="Cambria Math"/>
              <w:color w:val="4A86E8"/>
              <w:sz w:val="24"/>
              <w:szCs w:val="24"/>
            </w:rPr>
            <m:t xml:space="preserve">= </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0</m:t>
              </m:r>
            </m:sub>
          </m:sSub>
          <m:r>
            <w:rPr>
              <w:rFonts w:ascii="Cambria Math" w:eastAsia="Cambria Math" w:hAnsi="Cambria Math" w:cs="Cambria Math"/>
              <w:color w:val="4A86E8"/>
              <w:sz w:val="24"/>
              <w:szCs w:val="24"/>
            </w:rPr>
            <m:t xml:space="preserve">+ </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β</m:t>
              </m:r>
            </m:e>
            <m:sub>
              <m:r>
                <w:rPr>
                  <w:rFonts w:ascii="Cambria Math" w:eastAsia="Cambria Math" w:hAnsi="Cambria Math" w:cs="Cambria Math"/>
                  <w:color w:val="4A86E8"/>
                  <w:sz w:val="24"/>
                  <w:szCs w:val="24"/>
                </w:rPr>
                <m:t>1</m:t>
              </m:r>
            </m:sub>
          </m:sSub>
          <m:r>
            <w:rPr>
              <w:rFonts w:ascii="Cambria Math" w:eastAsia="Cambria Math" w:hAnsi="Cambria Math" w:cs="Cambria Math"/>
              <w:color w:val="4A86E8"/>
              <w:sz w:val="24"/>
              <w:szCs w:val="24"/>
            </w:rPr>
            <m:t>tim</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e</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 xml:space="preserve">+ </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γ</m:t>
              </m:r>
            </m:e>
            <m:sub>
              <m:r>
                <w:rPr>
                  <w:rFonts w:ascii="Cambria Math" w:eastAsia="Cambria Math" w:hAnsi="Cambria Math" w:cs="Cambria Math"/>
                  <w:color w:val="4A86E8"/>
                  <w:sz w:val="24"/>
                  <w:szCs w:val="24"/>
                </w:rPr>
                <m:t>2</m:t>
              </m:r>
            </m:sub>
          </m:sSub>
          <m:r>
            <w:rPr>
              <w:rFonts w:ascii="Cambria Math" w:eastAsia="Cambria Math" w:hAnsi="Cambria Math" w:cs="Cambria Math"/>
              <w:color w:val="4A86E8"/>
              <w:sz w:val="24"/>
              <w:szCs w:val="24"/>
            </w:rPr>
            <m:t>sin</m:t>
          </m:r>
          <m:r>
            <w:rPr>
              <w:rFonts w:ascii="Calibri" w:eastAsia="Calibri" w:hAnsi="Calibri" w:cs="Calibri"/>
              <w:color w:val="4A86E8"/>
            </w:rPr>
            <m:t xml:space="preserve"> </m:t>
          </m:r>
          <m:d>
            <m:dPr>
              <m:ctrlPr>
                <w:rPr>
                  <w:rFonts w:ascii="Calibri" w:eastAsia="Calibri" w:hAnsi="Calibri" w:cs="Calibri"/>
                  <w:color w:val="4A86E8"/>
                </w:rPr>
              </m:ctrlPr>
            </m:dPr>
            <m:e>
              <m:f>
                <m:fPr>
                  <m:ctrlPr>
                    <w:rPr>
                      <w:rFonts w:ascii="Cambria Math" w:eastAsia="Cambria Math" w:hAnsi="Cambria Math" w:cs="Cambria Math"/>
                      <w:color w:val="4A86E8"/>
                      <w:sz w:val="24"/>
                      <w:szCs w:val="24"/>
                    </w:rPr>
                  </m:ctrlPr>
                </m:fPr>
                <m:num>
                  <m:r>
                    <w:rPr>
                      <w:rFonts w:ascii="Cambria Math" w:eastAsia="Cambria Math" w:hAnsi="Cambria Math" w:cs="Cambria Math"/>
                      <w:color w:val="4A86E8"/>
                      <w:sz w:val="24"/>
                      <w:szCs w:val="24"/>
                    </w:rPr>
                    <m:t>2</m:t>
                  </m:r>
                  <m:r>
                    <w:rPr>
                      <w:rFonts w:ascii="Cambria Math" w:eastAsia="Cambria Math" w:hAnsi="Cambria Math" w:cs="Cambria Math"/>
                      <w:color w:val="4A86E8"/>
                      <w:sz w:val="24"/>
                      <w:szCs w:val="24"/>
                    </w:rPr>
                    <m:t>π</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 xml:space="preserve"> </m:t>
                      </m:r>
                      <m:r>
                        <w:rPr>
                          <w:rFonts w:ascii="Cambria Math" w:eastAsia="Cambria Math" w:hAnsi="Cambria Math" w:cs="Cambria Math"/>
                          <w:color w:val="4A86E8"/>
                          <w:sz w:val="24"/>
                          <w:szCs w:val="24"/>
                        </w:rPr>
                        <m:t>weekofyear</m:t>
                      </m:r>
                    </m:e>
                    <m:sub>
                      <m:r>
                        <w:rPr>
                          <w:rFonts w:ascii="Cambria Math" w:eastAsia="Cambria Math" w:hAnsi="Cambria Math" w:cs="Cambria Math"/>
                          <w:color w:val="4A86E8"/>
                          <w:sz w:val="24"/>
                          <w:szCs w:val="24"/>
                        </w:rPr>
                        <m:t>i</m:t>
                      </m:r>
                    </m:sub>
                  </m:sSub>
                </m:num>
                <m:den>
                  <m:r>
                    <w:rPr>
                      <w:rFonts w:ascii="Cambria Math" w:eastAsia="Cambria Math" w:hAnsi="Cambria Math" w:cs="Cambria Math"/>
                      <w:color w:val="4A86E8"/>
                      <w:sz w:val="24"/>
                      <w:szCs w:val="24"/>
                    </w:rPr>
                    <m:t>52</m:t>
                  </m:r>
                </m:den>
              </m:f>
            </m:e>
          </m:d>
          <m:r>
            <w:rPr>
              <w:rFonts w:ascii="Calibri" w:eastAsia="Calibri" w:hAnsi="Calibri" w:cs="Calibri"/>
              <w:color w:val="4A86E8"/>
            </w:rPr>
            <m:t xml:space="preserve"> </m:t>
          </m:r>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γ</m:t>
              </m:r>
            </m:e>
            <m:sub>
              <m:r>
                <w:rPr>
                  <w:rFonts w:ascii="Cambria Math" w:eastAsia="Cambria Math" w:hAnsi="Cambria Math" w:cs="Cambria Math"/>
                  <w:color w:val="4A86E8"/>
                  <w:sz w:val="24"/>
                  <w:szCs w:val="24"/>
                </w:rPr>
                <m:t>3</m:t>
              </m:r>
            </m:sub>
          </m:sSub>
          <m:r>
            <w:rPr>
              <w:rFonts w:ascii="Cambria Math" w:eastAsia="Cambria Math" w:hAnsi="Cambria Math" w:cs="Cambria Math"/>
              <w:color w:val="4A86E8"/>
              <w:sz w:val="24"/>
              <w:szCs w:val="24"/>
            </w:rPr>
            <m:t>cos</m:t>
          </m:r>
          <m:r>
            <w:rPr>
              <w:rFonts w:ascii="Calibri" w:eastAsia="Calibri" w:hAnsi="Calibri" w:cs="Calibri"/>
              <w:color w:val="4A86E8"/>
            </w:rPr>
            <m:t xml:space="preserve"> </m:t>
          </m:r>
          <m:d>
            <m:dPr>
              <m:ctrlPr>
                <w:rPr>
                  <w:rFonts w:ascii="Calibri" w:eastAsia="Calibri" w:hAnsi="Calibri" w:cs="Calibri"/>
                  <w:color w:val="4A86E8"/>
                </w:rPr>
              </m:ctrlPr>
            </m:dPr>
            <m:e>
              <m:f>
                <m:fPr>
                  <m:ctrlPr>
                    <w:rPr>
                      <w:rFonts w:ascii="Cambria Math" w:eastAsia="Cambria Math" w:hAnsi="Cambria Math" w:cs="Cambria Math"/>
                      <w:color w:val="4A86E8"/>
                      <w:sz w:val="24"/>
                      <w:szCs w:val="24"/>
                    </w:rPr>
                  </m:ctrlPr>
                </m:fPr>
                <m:num>
                  <m:r>
                    <w:rPr>
                      <w:rFonts w:ascii="Cambria Math" w:eastAsia="Cambria Math" w:hAnsi="Cambria Math" w:cs="Cambria Math"/>
                      <w:color w:val="4A86E8"/>
                      <w:sz w:val="24"/>
                      <w:szCs w:val="24"/>
                    </w:rPr>
                    <m:t>2</m:t>
                  </m:r>
                  <m:r>
                    <w:rPr>
                      <w:rFonts w:ascii="Cambria Math" w:eastAsia="Cambria Math" w:hAnsi="Cambria Math" w:cs="Cambria Math"/>
                      <w:color w:val="4A86E8"/>
                      <w:sz w:val="24"/>
                      <w:szCs w:val="24"/>
                    </w:rPr>
                    <m:t>π</m:t>
                  </m:r>
                  <m:r>
                    <w:rPr>
                      <w:rFonts w:ascii="Cambria Math" w:eastAsia="Cambria Math" w:hAnsi="Cambria Math" w:cs="Cambria Math"/>
                      <w:color w:val="4A86E8"/>
                      <w:sz w:val="24"/>
                      <w:szCs w:val="24"/>
                    </w:rPr>
                    <m:t xml:space="preserve"> </m:t>
                  </m:r>
                  <m:r>
                    <w:rPr>
                      <w:rFonts w:ascii="Cambria Math" w:eastAsia="Cambria Math" w:hAnsi="Cambria Math" w:cs="Cambria Math"/>
                      <w:color w:val="4A86E8"/>
                      <w:sz w:val="24"/>
                      <w:szCs w:val="24"/>
                    </w:rPr>
                    <m:t>weekofyea</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r</m:t>
                      </m:r>
                    </m:e>
                    <m:sub>
                      <m:r>
                        <w:rPr>
                          <w:rFonts w:ascii="Cambria Math" w:eastAsia="Cambria Math" w:hAnsi="Cambria Math" w:cs="Cambria Math"/>
                          <w:color w:val="4A86E8"/>
                          <w:sz w:val="24"/>
                          <w:szCs w:val="24"/>
                        </w:rPr>
                        <m:t>i</m:t>
                      </m:r>
                    </m:sub>
                  </m:sSub>
                </m:num>
                <m:den>
                  <m:r>
                    <w:rPr>
                      <w:rFonts w:ascii="Cambria Math" w:eastAsia="Cambria Math" w:hAnsi="Cambria Math" w:cs="Cambria Math"/>
                      <w:color w:val="4A86E8"/>
                      <w:sz w:val="24"/>
                      <w:szCs w:val="24"/>
                    </w:rPr>
                    <m:t>52</m:t>
                  </m:r>
                </m:den>
              </m:f>
            </m:e>
          </m:d>
          <m:r>
            <w:rPr>
              <w:rFonts w:ascii="Calibri" w:eastAsia="Calibri" w:hAnsi="Calibri" w:cs="Calibri"/>
              <w:color w:val="4A86E8"/>
            </w:rPr>
            <m:t xml:space="preserve"> </m:t>
          </m:r>
          <m:r>
            <w:rPr>
              <w:rFonts w:ascii="Cambria Math" w:eastAsia="Cambria Math" w:hAnsi="Cambria Math" w:cs="Cambria Math"/>
              <w:color w:val="4A86E8"/>
              <w:sz w:val="24"/>
              <w:szCs w:val="24"/>
            </w:rPr>
            <m:t>+</m:t>
          </m:r>
        </m:oMath>
      </m:oMathPara>
    </w:p>
    <w:p w14:paraId="0000002A" w14:textId="77777777" w:rsidR="00C3120B" w:rsidRDefault="0068474E">
      <w:pPr>
        <w:spacing w:after="160" w:line="259" w:lineRule="auto"/>
        <w:rPr>
          <w:rFonts w:ascii="Calibri" w:eastAsia="Calibri" w:hAnsi="Calibri" w:cs="Calibri"/>
          <w:color w:val="4A86E8"/>
        </w:rPr>
      </w:pPr>
      <w:bookmarkStart w:id="0" w:name="_30j0zll" w:colFirst="0" w:colLast="0"/>
      <w:bookmarkEnd w:id="0"/>
      <m:oMathPara>
        <m:oMath>
          <m:r>
            <w:rPr>
              <w:rFonts w:ascii="Cambria Math" w:eastAsia="Cambria Math" w:hAnsi="Cambria Math" w:cs="Cambria Math"/>
              <w:color w:val="4A86E8"/>
              <w:sz w:val="24"/>
              <w:szCs w:val="24"/>
            </w:rPr>
            <m:t xml:space="preserve"> </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γ</m:t>
              </m:r>
            </m:e>
            <m:sub>
              <m:r>
                <w:rPr>
                  <w:rFonts w:ascii="Cambria Math" w:eastAsia="Cambria Math" w:hAnsi="Cambria Math" w:cs="Cambria Math"/>
                  <w:color w:val="4A86E8"/>
                  <w:sz w:val="24"/>
                  <w:szCs w:val="24"/>
                </w:rPr>
                <m:t>4</m:t>
              </m:r>
            </m:sub>
          </m:sSub>
          <m:r>
            <w:rPr>
              <w:rFonts w:ascii="Cambria Math" w:eastAsia="Cambria Math" w:hAnsi="Cambria Math" w:cs="Cambria Math"/>
              <w:color w:val="4A86E8"/>
              <w:sz w:val="24"/>
              <w:szCs w:val="24"/>
            </w:rPr>
            <m:t>sin</m:t>
          </m:r>
          <m:r>
            <w:rPr>
              <w:rFonts w:ascii="Calibri" w:eastAsia="Calibri" w:hAnsi="Calibri" w:cs="Calibri"/>
              <w:color w:val="4A86E8"/>
            </w:rPr>
            <m:t xml:space="preserve"> </m:t>
          </m:r>
          <m:d>
            <m:dPr>
              <m:ctrlPr>
                <w:rPr>
                  <w:rFonts w:ascii="Calibri" w:eastAsia="Calibri" w:hAnsi="Calibri" w:cs="Calibri"/>
                  <w:color w:val="4A86E8"/>
                </w:rPr>
              </m:ctrlPr>
            </m:dPr>
            <m:e>
              <m:f>
                <m:fPr>
                  <m:ctrlPr>
                    <w:rPr>
                      <w:rFonts w:ascii="Cambria Math" w:eastAsia="Cambria Math" w:hAnsi="Cambria Math" w:cs="Cambria Math"/>
                      <w:color w:val="4A86E8"/>
                      <w:sz w:val="24"/>
                      <w:szCs w:val="24"/>
                    </w:rPr>
                  </m:ctrlPr>
                </m:fPr>
                <m:num>
                  <m:r>
                    <w:rPr>
                      <w:rFonts w:ascii="Cambria Math" w:eastAsia="Cambria Math" w:hAnsi="Cambria Math" w:cs="Cambria Math"/>
                      <w:color w:val="4A86E8"/>
                      <w:sz w:val="24"/>
                      <w:szCs w:val="24"/>
                    </w:rPr>
                    <m:t>2</m:t>
                  </m:r>
                  <m:r>
                    <w:rPr>
                      <w:rFonts w:ascii="Cambria Math" w:eastAsia="Cambria Math" w:hAnsi="Cambria Math" w:cs="Cambria Math"/>
                      <w:color w:val="4A86E8"/>
                      <w:sz w:val="24"/>
                      <w:szCs w:val="24"/>
                    </w:rPr>
                    <m:t>π</m:t>
                  </m:r>
                  <m:r>
                    <w:rPr>
                      <w:rFonts w:ascii="Cambria Math" w:eastAsia="Cambria Math" w:hAnsi="Cambria Math" w:cs="Cambria Math"/>
                      <w:color w:val="4A86E8"/>
                      <w:sz w:val="24"/>
                      <w:szCs w:val="24"/>
                    </w:rPr>
                    <m:t xml:space="preserve"> </m:t>
                  </m:r>
                  <m:r>
                    <w:rPr>
                      <w:rFonts w:ascii="Cambria Math" w:eastAsia="Cambria Math" w:hAnsi="Cambria Math" w:cs="Cambria Math"/>
                      <w:color w:val="4A86E8"/>
                      <w:sz w:val="24"/>
                      <w:szCs w:val="24"/>
                    </w:rPr>
                    <m:t>weekofyea</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r</m:t>
                      </m:r>
                    </m:e>
                    <m:sub>
                      <m:r>
                        <w:rPr>
                          <w:rFonts w:ascii="Cambria Math" w:eastAsia="Cambria Math" w:hAnsi="Cambria Math" w:cs="Cambria Math"/>
                          <w:color w:val="4A86E8"/>
                          <w:sz w:val="24"/>
                          <w:szCs w:val="24"/>
                        </w:rPr>
                        <m:t>i</m:t>
                      </m:r>
                    </m:sub>
                  </m:sSub>
                </m:num>
                <m:den>
                  <m:r>
                    <w:rPr>
                      <w:rFonts w:ascii="Cambria Math" w:eastAsia="Cambria Math" w:hAnsi="Cambria Math" w:cs="Cambria Math"/>
                      <w:color w:val="4A86E8"/>
                      <w:sz w:val="24"/>
                      <w:szCs w:val="24"/>
                    </w:rPr>
                    <m:t>26</m:t>
                  </m:r>
                </m:den>
              </m:f>
            </m:e>
          </m:d>
          <m:r>
            <w:rPr>
              <w:rFonts w:ascii="Calibri" w:eastAsia="Calibri" w:hAnsi="Calibri" w:cs="Calibri"/>
              <w:color w:val="4A86E8"/>
            </w:rPr>
            <m:t xml:space="preserve"> </m:t>
          </m:r>
          <m:r>
            <w:rPr>
              <w:rFonts w:ascii="Cambria Math" w:eastAsia="Cambria Math" w:hAnsi="Cambria Math" w:cs="Cambria Math"/>
              <w:color w:val="4A86E8"/>
              <w:sz w:val="24"/>
              <w:szCs w:val="24"/>
            </w:rPr>
            <m:t xml:space="preserve">+ </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γ</m:t>
              </m:r>
            </m:e>
            <m:sub>
              <m:r>
                <w:rPr>
                  <w:rFonts w:ascii="Cambria Math" w:eastAsia="Cambria Math" w:hAnsi="Cambria Math" w:cs="Cambria Math"/>
                  <w:color w:val="4A86E8"/>
                  <w:sz w:val="24"/>
                  <w:szCs w:val="24"/>
                </w:rPr>
                <m:t>5</m:t>
              </m:r>
            </m:sub>
          </m:sSub>
          <m:r>
            <w:rPr>
              <w:rFonts w:ascii="Cambria Math" w:eastAsia="Cambria Math" w:hAnsi="Cambria Math" w:cs="Cambria Math"/>
              <w:color w:val="4A86E8"/>
              <w:sz w:val="24"/>
              <w:szCs w:val="24"/>
            </w:rPr>
            <m:t>cos</m:t>
          </m:r>
          <m:r>
            <w:rPr>
              <w:rFonts w:ascii="Calibri" w:eastAsia="Calibri" w:hAnsi="Calibri" w:cs="Calibri"/>
              <w:color w:val="4A86E8"/>
            </w:rPr>
            <m:t xml:space="preserve"> </m:t>
          </m:r>
          <m:d>
            <m:dPr>
              <m:ctrlPr>
                <w:rPr>
                  <w:rFonts w:ascii="Calibri" w:eastAsia="Calibri" w:hAnsi="Calibri" w:cs="Calibri"/>
                  <w:color w:val="4A86E8"/>
                </w:rPr>
              </m:ctrlPr>
            </m:dPr>
            <m:e>
              <m:f>
                <m:fPr>
                  <m:ctrlPr>
                    <w:rPr>
                      <w:rFonts w:ascii="Cambria Math" w:eastAsia="Cambria Math" w:hAnsi="Cambria Math" w:cs="Cambria Math"/>
                      <w:color w:val="4A86E8"/>
                      <w:sz w:val="24"/>
                      <w:szCs w:val="24"/>
                    </w:rPr>
                  </m:ctrlPr>
                </m:fPr>
                <m:num>
                  <m:r>
                    <w:rPr>
                      <w:rFonts w:ascii="Cambria Math" w:eastAsia="Cambria Math" w:hAnsi="Cambria Math" w:cs="Cambria Math"/>
                      <w:color w:val="4A86E8"/>
                      <w:sz w:val="24"/>
                      <w:szCs w:val="24"/>
                    </w:rPr>
                    <m:t>2</m:t>
                  </m:r>
                  <m:r>
                    <w:rPr>
                      <w:rFonts w:ascii="Cambria Math" w:eastAsia="Cambria Math" w:hAnsi="Cambria Math" w:cs="Cambria Math"/>
                      <w:color w:val="4A86E8"/>
                      <w:sz w:val="24"/>
                      <w:szCs w:val="24"/>
                    </w:rPr>
                    <m:t>π</m:t>
                  </m:r>
                  <m:r>
                    <w:rPr>
                      <w:rFonts w:ascii="Cambria Math" w:eastAsia="Cambria Math" w:hAnsi="Cambria Math" w:cs="Cambria Math"/>
                      <w:color w:val="4A86E8"/>
                      <w:sz w:val="24"/>
                      <w:szCs w:val="24"/>
                    </w:rPr>
                    <m:t xml:space="preserve"> </m:t>
                  </m:r>
                  <m:r>
                    <w:rPr>
                      <w:rFonts w:ascii="Cambria Math" w:eastAsia="Cambria Math" w:hAnsi="Cambria Math" w:cs="Cambria Math"/>
                      <w:color w:val="4A86E8"/>
                      <w:sz w:val="24"/>
                      <w:szCs w:val="24"/>
                    </w:rPr>
                    <m:t>weekofyea</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r</m:t>
                      </m:r>
                    </m:e>
                    <m:sub>
                      <m:r>
                        <w:rPr>
                          <w:rFonts w:ascii="Cambria Math" w:eastAsia="Cambria Math" w:hAnsi="Cambria Math" w:cs="Cambria Math"/>
                          <w:color w:val="4A86E8"/>
                          <w:sz w:val="24"/>
                          <w:szCs w:val="24"/>
                        </w:rPr>
                        <m:t>i</m:t>
                      </m:r>
                    </m:sub>
                  </m:sSub>
                </m:num>
                <m:den>
                  <m:r>
                    <w:rPr>
                      <w:rFonts w:ascii="Cambria Math" w:eastAsia="Cambria Math" w:hAnsi="Cambria Math" w:cs="Cambria Math"/>
                      <w:color w:val="4A86E8"/>
                      <w:sz w:val="24"/>
                      <w:szCs w:val="24"/>
                    </w:rPr>
                    <m:t>26</m:t>
                  </m:r>
                </m:den>
              </m:f>
            </m:e>
          </m:d>
          <m:r>
            <w:rPr>
              <w:rFonts w:ascii="Cambria Math" w:eastAsia="Cambria Math" w:hAnsi="Cambria Math" w:cs="Cambria Math"/>
              <w:color w:val="4A86E8"/>
              <w:sz w:val="24"/>
              <w:szCs w:val="24"/>
            </w:rPr>
            <m:t>+</m:t>
          </m:r>
          <m:sSub>
            <m:sSubPr>
              <m:ctrlPr>
                <w:rPr>
                  <w:rFonts w:ascii="Cambria Math" w:eastAsia="Cambria Math" w:hAnsi="Cambria Math" w:cs="Cambria Math"/>
                  <w:color w:val="4A86E8"/>
                  <w:sz w:val="24"/>
                  <w:szCs w:val="24"/>
                </w:rPr>
              </m:ctrlPr>
            </m:sSubPr>
            <m:e>
              <m:r>
                <w:rPr>
                  <w:rFonts w:ascii="Cambria Math" w:eastAsia="Cambria Math" w:hAnsi="Cambria Math" w:cs="Cambria Math"/>
                  <w:color w:val="4A86E8"/>
                  <w:sz w:val="24"/>
                  <w:szCs w:val="24"/>
                </w:rPr>
                <m:t>log</m:t>
              </m:r>
              <m:r>
                <w:rPr>
                  <w:rFonts w:ascii="Cambria Math" w:eastAsia="Cambria Math" w:hAnsi="Cambria Math" w:cs="Cambria Math"/>
                  <w:color w:val="4A86E8"/>
                  <w:sz w:val="24"/>
                  <w:szCs w:val="24"/>
                </w:rPr>
                <m:t>(</m:t>
              </m:r>
              <m:r>
                <w:rPr>
                  <w:rFonts w:ascii="Cambria Math" w:eastAsia="Cambria Math" w:hAnsi="Cambria Math" w:cs="Cambria Math"/>
                  <w:color w:val="4A86E8"/>
                  <w:sz w:val="24"/>
                  <w:szCs w:val="24"/>
                </w:rPr>
                <m:t>θ</m:t>
              </m:r>
            </m:e>
            <m:sub>
              <m:r>
                <w:rPr>
                  <w:rFonts w:ascii="Cambria Math" w:eastAsia="Cambria Math" w:hAnsi="Cambria Math" w:cs="Cambria Math"/>
                  <w:color w:val="4A86E8"/>
                  <w:sz w:val="24"/>
                  <w:szCs w:val="24"/>
                </w:rPr>
                <m:t>i</m:t>
              </m:r>
            </m:sub>
          </m:sSub>
          <m:r>
            <w:rPr>
              <w:rFonts w:ascii="Cambria Math" w:eastAsia="Cambria Math" w:hAnsi="Cambria Math" w:cs="Cambria Math"/>
              <w:color w:val="4A86E8"/>
              <w:sz w:val="24"/>
              <w:szCs w:val="24"/>
            </w:rPr>
            <m:t>),</m:t>
          </m:r>
        </m:oMath>
      </m:oMathPara>
    </w:p>
    <w:p w14:paraId="0000002B" w14:textId="77777777" w:rsidR="00C3120B" w:rsidRDefault="0068474E">
      <w:pPr>
        <w:spacing w:after="160" w:line="259" w:lineRule="auto"/>
        <w:ind w:left="708"/>
        <w:rPr>
          <w:rFonts w:ascii="Times New Roman" w:eastAsia="Times New Roman" w:hAnsi="Times New Roman" w:cs="Times New Roman"/>
          <w:color w:val="4A86E8"/>
          <w:sz w:val="24"/>
          <w:szCs w:val="24"/>
        </w:rPr>
      </w:pPr>
      <w:bookmarkStart w:id="1" w:name="_fwfsxkamqsqz" w:colFirst="0" w:colLast="0"/>
      <w:bookmarkEnd w:id="1"/>
      <w:r>
        <w:rPr>
          <w:rFonts w:ascii="Times New Roman" w:eastAsia="Times New Roman" w:hAnsi="Times New Roman" w:cs="Times New Roman"/>
          <w:color w:val="4A86E8"/>
          <w:sz w:val="24"/>
          <w:szCs w:val="24"/>
        </w:rPr>
        <w:t>where all the terms are fully interacted with age and sex and “special weeks” are included in</w:t>
      </w:r>
      <w:r>
        <w:rPr>
          <w:rFonts w:ascii="Times New Roman" w:eastAsia="Times New Roman" w:hAnsi="Times New Roman" w:cs="Times New Roman"/>
          <w:color w:val="4A86E8"/>
          <w:sz w:val="24"/>
          <w:szCs w:val="24"/>
        </w:rPr>
        <w:t xml:space="preserve"> the same way as in the Generalized Additive models.</w:t>
      </w:r>
    </w:p>
    <w:p w14:paraId="0000002C" w14:textId="77777777" w:rsidR="00C3120B" w:rsidRDefault="0068474E">
      <w:pPr>
        <w:numPr>
          <w:ilvl w:val="0"/>
          <w:numId w:val="1"/>
        </w:numPr>
        <w:spacing w:after="160" w:line="259" w:lineRule="auto"/>
        <w:ind w:right="-427"/>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We constructed an empirical baseline mortality based on the average mortality rate over the previous five years 2015-19 within each week and stratum. The associated deaths from this approach result from </w:t>
      </w:r>
      <w:r>
        <w:rPr>
          <w:rFonts w:ascii="Times New Roman" w:eastAsia="Times New Roman" w:hAnsi="Times New Roman" w:cs="Times New Roman"/>
          <w:color w:val="4A86E8"/>
          <w:sz w:val="24"/>
          <w:szCs w:val="24"/>
        </w:rPr>
        <w:t xml:space="preserve">multiplying the average death rates by the population exposed to the risk. </w:t>
      </w:r>
    </w:p>
    <w:p w14:paraId="0000002D" w14:textId="77777777" w:rsidR="00C3120B" w:rsidRDefault="00C3120B">
      <w:pPr>
        <w:rPr>
          <w:rFonts w:ascii="Times New Roman" w:eastAsia="Times New Roman" w:hAnsi="Times New Roman" w:cs="Times New Roman"/>
          <w:color w:val="4A86E8"/>
          <w:sz w:val="24"/>
          <w:szCs w:val="24"/>
        </w:rPr>
      </w:pPr>
    </w:p>
    <w:p w14:paraId="0000002E"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By going beyond the straightforward annual average the paper addresses a critique that has been raised previously, and it is reassuring that there are no big differences between t</w:t>
      </w:r>
      <w:r>
        <w:rPr>
          <w:rFonts w:ascii="Times New Roman" w:eastAsia="Times New Roman" w:hAnsi="Times New Roman" w:cs="Times New Roman"/>
          <w:sz w:val="24"/>
          <w:szCs w:val="24"/>
        </w:rPr>
        <w:t xml:space="preserve">he results from </w:t>
      </w:r>
      <w:r>
        <w:rPr>
          <w:rFonts w:ascii="Times New Roman" w:eastAsia="Times New Roman" w:hAnsi="Times New Roman" w:cs="Times New Roman"/>
          <w:sz w:val="24"/>
          <w:szCs w:val="24"/>
        </w:rPr>
        <w:lastRenderedPageBreak/>
        <w:t xml:space="preserve">the various models. Also, the division of excess deaths by age and sex is a clear bonus and informative. </w:t>
      </w:r>
    </w:p>
    <w:p w14:paraId="0000002F" w14:textId="77777777" w:rsidR="00C3120B" w:rsidRDefault="00C3120B">
      <w:pPr>
        <w:rPr>
          <w:rFonts w:ascii="Times New Roman" w:eastAsia="Times New Roman" w:hAnsi="Times New Roman" w:cs="Times New Roman"/>
          <w:sz w:val="24"/>
          <w:szCs w:val="24"/>
        </w:rPr>
      </w:pPr>
    </w:p>
    <w:p w14:paraId="00000030"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We are pleased that the reviewer finds our approach useful. We note that the paper has been further updated with the latest information available through week 47 (ending November 20th, 2020) prior to resubmission. </w:t>
      </w:r>
    </w:p>
    <w:p w14:paraId="00000031" w14:textId="77777777" w:rsidR="00C3120B" w:rsidRDefault="00C3120B">
      <w:pPr>
        <w:rPr>
          <w:rFonts w:ascii="Times New Roman" w:eastAsia="Times New Roman" w:hAnsi="Times New Roman" w:cs="Times New Roman"/>
          <w:sz w:val="24"/>
          <w:szCs w:val="24"/>
        </w:rPr>
      </w:pPr>
    </w:p>
    <w:p w14:paraId="00000032"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life expectancy calculations are of </w:t>
      </w:r>
      <w:r>
        <w:rPr>
          <w:rFonts w:ascii="Times New Roman" w:eastAsia="Times New Roman" w:hAnsi="Times New Roman" w:cs="Times New Roman"/>
          <w:sz w:val="24"/>
          <w:szCs w:val="24"/>
        </w:rPr>
        <w:t>interest of course, as summary measures, but have been shown before for other countries. The discussion of how long it will take for the life expectancy to recover from the current down is not persuasive, though. After all, it is just a question about when</w:t>
      </w:r>
      <w:r>
        <w:rPr>
          <w:rFonts w:ascii="Times New Roman" w:eastAsia="Times New Roman" w:hAnsi="Times New Roman" w:cs="Times New Roman"/>
          <w:sz w:val="24"/>
          <w:szCs w:val="24"/>
        </w:rPr>
        <w:t xml:space="preserve"> death rates are back to “normal”. </w:t>
      </w:r>
    </w:p>
    <w:p w14:paraId="00000033" w14:textId="77777777" w:rsidR="00C3120B" w:rsidRDefault="00C3120B">
      <w:pPr>
        <w:rPr>
          <w:rFonts w:ascii="Times New Roman" w:eastAsia="Times New Roman" w:hAnsi="Times New Roman" w:cs="Times New Roman"/>
          <w:sz w:val="24"/>
          <w:szCs w:val="24"/>
        </w:rPr>
      </w:pPr>
    </w:p>
    <w:p w14:paraId="00000034"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We thank the reviewer for this observation. Indeed the question is about when will death rates be back to ‘normal’. However as recent trends have shown, going back to normal will not be easy and requires careful thought</w:t>
      </w:r>
      <w:r>
        <w:rPr>
          <w:rFonts w:ascii="Times New Roman" w:eastAsia="Times New Roman" w:hAnsi="Times New Roman" w:cs="Times New Roman"/>
          <w:color w:val="4A86E8"/>
          <w:sz w:val="24"/>
          <w:szCs w:val="24"/>
        </w:rPr>
        <w:t xml:space="preserve"> in light of the second wave that has hit England and Wales and a consideration of both short- and medium-term factors. Previous evidence suggests that mortality shocks from mortality crises such as wars (Human Mortality Database, 2020) and historical epid</w:t>
      </w:r>
      <w:r>
        <w:rPr>
          <w:rFonts w:ascii="Times New Roman" w:eastAsia="Times New Roman" w:hAnsi="Times New Roman" w:cs="Times New Roman"/>
          <w:color w:val="4A86E8"/>
          <w:sz w:val="24"/>
          <w:szCs w:val="24"/>
        </w:rPr>
        <w:t>emics and famines reduced life expectancy with a rapid recovery after these shocks (Zarulli et al, 2020). This evidence suggests a rapid recovery of life expectancy. However, previous mortality crises and wars generally happened in a context of lower level</w:t>
      </w:r>
      <w:r>
        <w:rPr>
          <w:rFonts w:ascii="Times New Roman" w:eastAsia="Times New Roman" w:hAnsi="Times New Roman" w:cs="Times New Roman"/>
          <w:color w:val="4A86E8"/>
          <w:sz w:val="24"/>
          <w:szCs w:val="24"/>
        </w:rPr>
        <w:t xml:space="preserve">s of life expectancy and affected mortality also at infancy and at young ages, while the Covid-19 pandemic has primarily affected older ages. </w:t>
      </w:r>
    </w:p>
    <w:p w14:paraId="00000035" w14:textId="77777777" w:rsidR="00C3120B" w:rsidRDefault="00C3120B">
      <w:pPr>
        <w:rPr>
          <w:rFonts w:ascii="Times New Roman" w:eastAsia="Times New Roman" w:hAnsi="Times New Roman" w:cs="Times New Roman"/>
          <w:color w:val="4A86E8"/>
          <w:sz w:val="24"/>
          <w:szCs w:val="24"/>
        </w:rPr>
      </w:pPr>
    </w:p>
    <w:p w14:paraId="00000036"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It is therefore not clear </w:t>
      </w:r>
      <w:r>
        <w:rPr>
          <w:rFonts w:ascii="Times New Roman" w:eastAsia="Times New Roman" w:hAnsi="Times New Roman" w:cs="Times New Roman"/>
          <w:i/>
          <w:color w:val="4A86E8"/>
          <w:sz w:val="24"/>
          <w:szCs w:val="24"/>
        </w:rPr>
        <w:t>a priori</w:t>
      </w:r>
      <w:r>
        <w:rPr>
          <w:rFonts w:ascii="Times New Roman" w:eastAsia="Times New Roman" w:hAnsi="Times New Roman" w:cs="Times New Roman"/>
          <w:color w:val="4A86E8"/>
          <w:sz w:val="24"/>
          <w:szCs w:val="24"/>
        </w:rPr>
        <w:t xml:space="preserve"> if life expectancy will return to the baseline level rapidly, and even if/whe</w:t>
      </w:r>
      <w:r>
        <w:rPr>
          <w:rFonts w:ascii="Times New Roman" w:eastAsia="Times New Roman" w:hAnsi="Times New Roman" w:cs="Times New Roman"/>
          <w:color w:val="4A86E8"/>
          <w:sz w:val="24"/>
          <w:szCs w:val="24"/>
        </w:rPr>
        <w:t>n it recovers, how mortality patterns will be different in the aftermath. The prospect of vaccination being likely in the near future suggests a rapid recovery of life expectancy, although this will depend on the speed, coverage and efficacy of the vaccine</w:t>
      </w:r>
      <w:r>
        <w:rPr>
          <w:rFonts w:ascii="Times New Roman" w:eastAsia="Times New Roman" w:hAnsi="Times New Roman" w:cs="Times New Roman"/>
          <w:color w:val="4A86E8"/>
          <w:sz w:val="24"/>
          <w:szCs w:val="24"/>
        </w:rPr>
        <w:t xml:space="preserve"> (Mills </w:t>
      </w:r>
      <w:r>
        <w:rPr>
          <w:rFonts w:ascii="Times New Roman" w:eastAsia="Times New Roman" w:hAnsi="Times New Roman" w:cs="Times New Roman"/>
          <w:i/>
          <w:color w:val="4A86E8"/>
          <w:sz w:val="24"/>
          <w:szCs w:val="24"/>
        </w:rPr>
        <w:t xml:space="preserve">et al </w:t>
      </w:r>
      <w:r>
        <w:rPr>
          <w:rFonts w:ascii="Times New Roman" w:eastAsia="Times New Roman" w:hAnsi="Times New Roman" w:cs="Times New Roman"/>
          <w:color w:val="4A86E8"/>
          <w:sz w:val="24"/>
          <w:szCs w:val="24"/>
        </w:rPr>
        <w:t>2020). In contrast, the combination of the after-effects of Covid-19, such as the long term consequences of the disease on individuals' health (</w:t>
      </w:r>
      <w:proofErr w:type="spellStart"/>
      <w:r>
        <w:rPr>
          <w:rFonts w:ascii="Times New Roman" w:eastAsia="Times New Roman" w:hAnsi="Times New Roman" w:cs="Times New Roman"/>
          <w:color w:val="4A86E8"/>
          <w:sz w:val="24"/>
          <w:szCs w:val="24"/>
        </w:rPr>
        <w:t>Mahase</w:t>
      </w:r>
      <w:proofErr w:type="spellEnd"/>
      <w:r>
        <w:rPr>
          <w:rFonts w:ascii="Times New Roman" w:eastAsia="Times New Roman" w:hAnsi="Times New Roman" w:cs="Times New Roman"/>
          <w:color w:val="4A86E8"/>
          <w:sz w:val="24"/>
          <w:szCs w:val="24"/>
        </w:rPr>
        <w:t xml:space="preserve">, 2020), the implications of lockdown and non-pharmaceutical interventions on </w:t>
      </w:r>
      <w:proofErr w:type="spellStart"/>
      <w:r>
        <w:rPr>
          <w:rFonts w:ascii="Times New Roman" w:eastAsia="Times New Roman" w:hAnsi="Times New Roman" w:cs="Times New Roman"/>
          <w:color w:val="4A86E8"/>
          <w:sz w:val="24"/>
          <w:szCs w:val="24"/>
        </w:rPr>
        <w:t>behaviours</w:t>
      </w:r>
      <w:proofErr w:type="spellEnd"/>
      <w:r>
        <w:rPr>
          <w:rFonts w:ascii="Times New Roman" w:eastAsia="Times New Roman" w:hAnsi="Times New Roman" w:cs="Times New Roman"/>
          <w:color w:val="4A86E8"/>
          <w:sz w:val="24"/>
          <w:szCs w:val="24"/>
        </w:rPr>
        <w:t xml:space="preserve"> and</w:t>
      </w:r>
      <w:r>
        <w:rPr>
          <w:rFonts w:ascii="Times New Roman" w:eastAsia="Times New Roman" w:hAnsi="Times New Roman" w:cs="Times New Roman"/>
          <w:color w:val="4A86E8"/>
          <w:sz w:val="24"/>
          <w:szCs w:val="24"/>
        </w:rPr>
        <w:t xml:space="preserve"> mental health (</w:t>
      </w:r>
      <w:proofErr w:type="spellStart"/>
      <w:r>
        <w:rPr>
          <w:rFonts w:ascii="Times New Roman" w:eastAsia="Times New Roman" w:hAnsi="Times New Roman" w:cs="Times New Roman"/>
          <w:color w:val="4A86E8"/>
          <w:sz w:val="24"/>
          <w:szCs w:val="24"/>
        </w:rPr>
        <w:t>Xiaowei</w:t>
      </w:r>
      <w:proofErr w:type="spellEnd"/>
      <w:r>
        <w:rPr>
          <w:rFonts w:ascii="Times New Roman" w:eastAsia="Times New Roman" w:hAnsi="Times New Roman" w:cs="Times New Roman"/>
          <w:color w:val="4A86E8"/>
          <w:sz w:val="24"/>
          <w:szCs w:val="24"/>
        </w:rPr>
        <w:t xml:space="preserve"> and James 2020), cancer and other diseases treatment delay associated with increased mortality (Hanna </w:t>
      </w:r>
      <w:r>
        <w:rPr>
          <w:rFonts w:ascii="Times New Roman" w:eastAsia="Times New Roman" w:hAnsi="Times New Roman" w:cs="Times New Roman"/>
          <w:i/>
          <w:color w:val="4A86E8"/>
          <w:sz w:val="24"/>
          <w:szCs w:val="24"/>
        </w:rPr>
        <w:t>et al</w:t>
      </w:r>
      <w:r>
        <w:rPr>
          <w:rFonts w:ascii="Times New Roman" w:eastAsia="Times New Roman" w:hAnsi="Times New Roman" w:cs="Times New Roman"/>
          <w:color w:val="4A86E8"/>
          <w:sz w:val="24"/>
          <w:szCs w:val="24"/>
        </w:rPr>
        <w:t xml:space="preserve"> 2020), and the unequal impact of Covid-19 across subgroups (by age, sex, ethnicity, SES) as suggested by Reviewer 2 (Bambra </w:t>
      </w:r>
      <w:r>
        <w:rPr>
          <w:rFonts w:ascii="Times New Roman" w:eastAsia="Times New Roman" w:hAnsi="Times New Roman" w:cs="Times New Roman"/>
          <w:i/>
          <w:color w:val="4A86E8"/>
          <w:sz w:val="24"/>
          <w:szCs w:val="24"/>
        </w:rPr>
        <w:t>et al</w:t>
      </w:r>
      <w:r>
        <w:rPr>
          <w:rFonts w:ascii="Times New Roman" w:eastAsia="Times New Roman" w:hAnsi="Times New Roman" w:cs="Times New Roman"/>
          <w:color w:val="4A86E8"/>
          <w:sz w:val="24"/>
          <w:szCs w:val="24"/>
        </w:rPr>
        <w:t xml:space="preserve"> 2020) and regions (</w:t>
      </w:r>
      <w:proofErr w:type="spellStart"/>
      <w:r>
        <w:rPr>
          <w:rFonts w:ascii="Times New Roman" w:eastAsia="Times New Roman" w:hAnsi="Times New Roman" w:cs="Times New Roman"/>
          <w:color w:val="4A86E8"/>
          <w:sz w:val="24"/>
          <w:szCs w:val="24"/>
        </w:rPr>
        <w:t>Trias-Llimós</w:t>
      </w:r>
      <w:proofErr w:type="spellEnd"/>
      <w:r>
        <w:rPr>
          <w:rFonts w:ascii="Times New Roman" w:eastAsia="Times New Roman" w:hAnsi="Times New Roman" w:cs="Times New Roman"/>
          <w:color w:val="4A86E8"/>
          <w:sz w:val="24"/>
          <w:szCs w:val="24"/>
        </w:rPr>
        <w:t xml:space="preserve"> et al 2020), can create an unseen mortality profile that can maintain life expectancy at lower levels than the baseline beyond the short-term into the medium-term. </w:t>
      </w:r>
    </w:p>
    <w:p w14:paraId="00000037" w14:textId="77777777" w:rsidR="00C3120B" w:rsidRDefault="00C3120B">
      <w:pPr>
        <w:rPr>
          <w:rFonts w:ascii="Times New Roman" w:eastAsia="Times New Roman" w:hAnsi="Times New Roman" w:cs="Times New Roman"/>
          <w:color w:val="4A86E8"/>
          <w:sz w:val="24"/>
          <w:szCs w:val="24"/>
        </w:rPr>
      </w:pPr>
    </w:p>
    <w:p w14:paraId="00000038"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Life expectancy is a useful indicator for understand</w:t>
      </w:r>
      <w:r>
        <w:rPr>
          <w:rFonts w:ascii="Times New Roman" w:eastAsia="Times New Roman" w:hAnsi="Times New Roman" w:cs="Times New Roman"/>
          <w:color w:val="4A86E8"/>
          <w:sz w:val="24"/>
          <w:szCs w:val="24"/>
        </w:rPr>
        <w:t>ing the toll of the pandemic compared to previous years because the differences are intuitively expressed in years, and as an age-</w:t>
      </w:r>
      <w:proofErr w:type="spellStart"/>
      <w:r>
        <w:rPr>
          <w:rFonts w:ascii="Times New Roman" w:eastAsia="Times New Roman" w:hAnsi="Times New Roman" w:cs="Times New Roman"/>
          <w:color w:val="4A86E8"/>
          <w:sz w:val="24"/>
          <w:szCs w:val="24"/>
        </w:rPr>
        <w:t>standardised</w:t>
      </w:r>
      <w:proofErr w:type="spellEnd"/>
      <w:r>
        <w:rPr>
          <w:rFonts w:ascii="Times New Roman" w:eastAsia="Times New Roman" w:hAnsi="Times New Roman" w:cs="Times New Roman"/>
          <w:color w:val="4A86E8"/>
          <w:sz w:val="24"/>
          <w:szCs w:val="24"/>
        </w:rPr>
        <w:t xml:space="preserve"> indicator makes comparison over time (and space) possible. We have now included </w:t>
      </w:r>
      <w:r>
        <w:rPr>
          <w:rFonts w:ascii="Times New Roman" w:eastAsia="Times New Roman" w:hAnsi="Times New Roman" w:cs="Times New Roman"/>
          <w:color w:val="4A86E8"/>
          <w:sz w:val="24"/>
          <w:szCs w:val="24"/>
        </w:rPr>
        <w:lastRenderedPageBreak/>
        <w:t>a discussion of the aforementione</w:t>
      </w:r>
      <w:r>
        <w:rPr>
          <w:rFonts w:ascii="Times New Roman" w:eastAsia="Times New Roman" w:hAnsi="Times New Roman" w:cs="Times New Roman"/>
          <w:color w:val="4A86E8"/>
          <w:sz w:val="24"/>
          <w:szCs w:val="24"/>
        </w:rPr>
        <w:t>d issues in the revised Discussion section of the paper and have replaced the discussion about the expected second wave at time of the first submission with:</w:t>
      </w:r>
    </w:p>
    <w:p w14:paraId="00000039" w14:textId="77777777" w:rsidR="00C3120B" w:rsidRDefault="00C3120B">
      <w:pPr>
        <w:rPr>
          <w:rFonts w:ascii="Times New Roman" w:eastAsia="Times New Roman" w:hAnsi="Times New Roman" w:cs="Times New Roman"/>
          <w:color w:val="4A86E8"/>
          <w:sz w:val="24"/>
          <w:szCs w:val="24"/>
        </w:rPr>
      </w:pPr>
    </w:p>
    <w:p w14:paraId="0000003A"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i/>
          <w:color w:val="4A86E8"/>
          <w:sz w:val="24"/>
          <w:szCs w:val="24"/>
        </w:rPr>
        <w:t xml:space="preserve">Looking forward, it is unclear if life expectancy will return to the baseline level rapidly, and </w:t>
      </w:r>
      <w:r>
        <w:rPr>
          <w:rFonts w:ascii="Times New Roman" w:eastAsia="Times New Roman" w:hAnsi="Times New Roman" w:cs="Times New Roman"/>
          <w:i/>
          <w:color w:val="4A86E8"/>
          <w:sz w:val="24"/>
          <w:szCs w:val="24"/>
        </w:rPr>
        <w:t xml:space="preserve">even if/when it recovers, how mortality will be different. The prospect of vaccination being likely in the near future suggests a potential for the rapid recovery of life expectancy, although this will depend on the rollout speed, coverage and efficacy of </w:t>
      </w:r>
      <w:r>
        <w:rPr>
          <w:rFonts w:ascii="Times New Roman" w:eastAsia="Times New Roman" w:hAnsi="Times New Roman" w:cs="Times New Roman"/>
          <w:i/>
          <w:color w:val="4A86E8"/>
          <w:sz w:val="24"/>
          <w:szCs w:val="24"/>
        </w:rPr>
        <w:t xml:space="preserve">the vaccine[38]. In contrast, the combination of the after-effects of Covid-19, such as the long term consequences of the disease on individuals' health[39], the implications of lockdown and non-pharmaceutical interventions on </w:t>
      </w:r>
      <w:proofErr w:type="spellStart"/>
      <w:r>
        <w:rPr>
          <w:rFonts w:ascii="Times New Roman" w:eastAsia="Times New Roman" w:hAnsi="Times New Roman" w:cs="Times New Roman"/>
          <w:i/>
          <w:color w:val="4A86E8"/>
          <w:sz w:val="24"/>
          <w:szCs w:val="24"/>
        </w:rPr>
        <w:t>behaviours</w:t>
      </w:r>
      <w:proofErr w:type="spellEnd"/>
      <w:r>
        <w:rPr>
          <w:rFonts w:ascii="Times New Roman" w:eastAsia="Times New Roman" w:hAnsi="Times New Roman" w:cs="Times New Roman"/>
          <w:i/>
          <w:color w:val="4A86E8"/>
          <w:sz w:val="24"/>
          <w:szCs w:val="24"/>
        </w:rPr>
        <w:t xml:space="preserve"> and mental health </w:t>
      </w:r>
      <w:r>
        <w:rPr>
          <w:rFonts w:ascii="Times New Roman" w:eastAsia="Times New Roman" w:hAnsi="Times New Roman" w:cs="Times New Roman"/>
          <w:i/>
          <w:color w:val="4A86E8"/>
          <w:sz w:val="24"/>
          <w:szCs w:val="24"/>
        </w:rPr>
        <w:t>[40], cancer treatment delay associated with increased mortality[41], and the unequal impact of Covid-19 across subgroups by age, sex, ethnicity, SES and regions[42,43], can create an unseen mortality profile that can maintain life expectancy at lower leve</w:t>
      </w:r>
      <w:r>
        <w:rPr>
          <w:rFonts w:ascii="Times New Roman" w:eastAsia="Times New Roman" w:hAnsi="Times New Roman" w:cs="Times New Roman"/>
          <w:i/>
          <w:color w:val="4A86E8"/>
          <w:sz w:val="24"/>
          <w:szCs w:val="24"/>
        </w:rPr>
        <w:t>ls than beyond the short-term into the medium-term.</w:t>
      </w:r>
    </w:p>
    <w:p w14:paraId="0000003B" w14:textId="77777777" w:rsidR="00C3120B" w:rsidRDefault="00C3120B">
      <w:pPr>
        <w:rPr>
          <w:rFonts w:ascii="Times New Roman" w:eastAsia="Times New Roman" w:hAnsi="Times New Roman" w:cs="Times New Roman"/>
          <w:color w:val="4A86E8"/>
          <w:sz w:val="24"/>
          <w:szCs w:val="24"/>
        </w:rPr>
      </w:pPr>
    </w:p>
    <w:p w14:paraId="0000003C"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reviewer misses the significance of the life span inequality part of the paper. The way it is defined does not make immediate sense, and the discussion of whether it should decrease or incr</w:t>
      </w:r>
      <w:r>
        <w:rPr>
          <w:rFonts w:ascii="Times New Roman" w:eastAsia="Times New Roman" w:hAnsi="Times New Roman" w:cs="Times New Roman"/>
          <w:sz w:val="24"/>
          <w:szCs w:val="24"/>
        </w:rPr>
        <w:t xml:space="preserve">ease with increasing mortality is also not quite clear. This section may fit better in some other context where it can be discussed broader. </w:t>
      </w:r>
    </w:p>
    <w:p w14:paraId="0000003D" w14:textId="77777777" w:rsidR="00C3120B" w:rsidRDefault="00C3120B">
      <w:pPr>
        <w:rPr>
          <w:rFonts w:ascii="Times New Roman" w:eastAsia="Times New Roman" w:hAnsi="Times New Roman" w:cs="Times New Roman"/>
          <w:sz w:val="24"/>
          <w:szCs w:val="24"/>
        </w:rPr>
      </w:pPr>
    </w:p>
    <w:p w14:paraId="0000003E"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Life expectancy is a key indicator used widely to capture mortality and health conditions of a population as it d</w:t>
      </w:r>
      <w:r>
        <w:rPr>
          <w:rFonts w:ascii="Times New Roman" w:eastAsia="Times New Roman" w:hAnsi="Times New Roman" w:cs="Times New Roman"/>
          <w:color w:val="4A86E8"/>
          <w:sz w:val="24"/>
          <w:szCs w:val="24"/>
        </w:rPr>
        <w:t xml:space="preserve">escribes the average length of life individuals in a population would live if they experienced a given schedule of mortality rates. Lifespan inequality on the other hand focuses on a second dimension of mortality, the </w:t>
      </w:r>
      <w:r>
        <w:rPr>
          <w:rFonts w:ascii="Times New Roman" w:eastAsia="Times New Roman" w:hAnsi="Times New Roman" w:cs="Times New Roman"/>
          <w:i/>
          <w:color w:val="4A86E8"/>
          <w:sz w:val="24"/>
          <w:szCs w:val="24"/>
        </w:rPr>
        <w:t>variation</w:t>
      </w:r>
      <w:r>
        <w:rPr>
          <w:rFonts w:ascii="Times New Roman" w:eastAsia="Times New Roman" w:hAnsi="Times New Roman" w:cs="Times New Roman"/>
          <w:color w:val="4A86E8"/>
          <w:sz w:val="24"/>
          <w:szCs w:val="24"/>
        </w:rPr>
        <w:t xml:space="preserve"> in lifespans between individ</w:t>
      </w:r>
      <w:r>
        <w:rPr>
          <w:rFonts w:ascii="Times New Roman" w:eastAsia="Times New Roman" w:hAnsi="Times New Roman" w:cs="Times New Roman"/>
          <w:color w:val="4A86E8"/>
          <w:sz w:val="24"/>
          <w:szCs w:val="24"/>
        </w:rPr>
        <w:t>uals and groups of individuals in a population (</w:t>
      </w:r>
      <w:proofErr w:type="spellStart"/>
      <w:r>
        <w:rPr>
          <w:rFonts w:ascii="Times New Roman" w:eastAsia="Times New Roman" w:hAnsi="Times New Roman" w:cs="Times New Roman"/>
          <w:color w:val="4A86E8"/>
          <w:sz w:val="24"/>
          <w:szCs w:val="24"/>
        </w:rPr>
        <w:t>Tuljapurkar</w:t>
      </w:r>
      <w:proofErr w:type="spellEnd"/>
      <w:r>
        <w:rPr>
          <w:rFonts w:ascii="Times New Roman" w:eastAsia="Times New Roman" w:hAnsi="Times New Roman" w:cs="Times New Roman"/>
          <w:color w:val="4A86E8"/>
          <w:sz w:val="24"/>
          <w:szCs w:val="24"/>
        </w:rPr>
        <w:t>, 2010). As we mention in the manuscript, lifespan inequality is one of the most fundamental measures of inequality because it reflects how unevenly population health improvements (or deterioration</w:t>
      </w:r>
      <w:r>
        <w:rPr>
          <w:rFonts w:ascii="Times New Roman" w:eastAsia="Times New Roman" w:hAnsi="Times New Roman" w:cs="Times New Roman"/>
          <w:color w:val="4A86E8"/>
          <w:sz w:val="24"/>
          <w:szCs w:val="24"/>
        </w:rPr>
        <w:t>) are shared within a population, moving beyond the perspective offered by an average-based measure. The significance of lifespan inequality lies in that it monitors the inequality as captured by the variation in the distribution in survival improvement (o</w:t>
      </w:r>
      <w:r>
        <w:rPr>
          <w:rFonts w:ascii="Times New Roman" w:eastAsia="Times New Roman" w:hAnsi="Times New Roman" w:cs="Times New Roman"/>
          <w:color w:val="4A86E8"/>
          <w:sz w:val="24"/>
          <w:szCs w:val="24"/>
        </w:rPr>
        <w:t xml:space="preserve">r worsening) and it uncovers underlying heterogeneity in health that can be overlooked by only focusing on </w:t>
      </w:r>
      <w:proofErr w:type="spellStart"/>
      <w:r>
        <w:rPr>
          <w:rFonts w:ascii="Times New Roman" w:eastAsia="Times New Roman" w:hAnsi="Times New Roman" w:cs="Times New Roman"/>
          <w:color w:val="4A86E8"/>
          <w:sz w:val="24"/>
          <w:szCs w:val="24"/>
        </w:rPr>
        <w:t>standardised</w:t>
      </w:r>
      <w:proofErr w:type="spellEnd"/>
      <w:r>
        <w:rPr>
          <w:rFonts w:ascii="Times New Roman" w:eastAsia="Times New Roman" w:hAnsi="Times New Roman" w:cs="Times New Roman"/>
          <w:color w:val="4A86E8"/>
          <w:sz w:val="24"/>
          <w:szCs w:val="24"/>
        </w:rPr>
        <w:t xml:space="preserve"> mortality rates or life expectancies alone. Two populations that share the same level of life expectancy could experience substantial di</w:t>
      </w:r>
      <w:r>
        <w:rPr>
          <w:rFonts w:ascii="Times New Roman" w:eastAsia="Times New Roman" w:hAnsi="Times New Roman" w:cs="Times New Roman"/>
          <w:color w:val="4A86E8"/>
          <w:sz w:val="24"/>
          <w:szCs w:val="24"/>
        </w:rPr>
        <w:t>fferences in the timing of death, e.g., deaths could be more evenly spread over age in one population than another (Aburto et al, 2020). In our view, including lifespan inequality alongside excess mortality and life expectancy is the path toward a comprehe</w:t>
      </w:r>
      <w:r>
        <w:rPr>
          <w:rFonts w:ascii="Times New Roman" w:eastAsia="Times New Roman" w:hAnsi="Times New Roman" w:cs="Times New Roman"/>
          <w:color w:val="4A86E8"/>
          <w:sz w:val="24"/>
          <w:szCs w:val="24"/>
        </w:rPr>
        <w:t>nsive measurement of mortality, and this has been acknowledged in recent work on population health (e.g. van Raalte et al (2018), Aburto et al (2020), Vaupel et al (2011), Seligman et al. (2016)).</w:t>
      </w:r>
    </w:p>
    <w:p w14:paraId="0000003F" w14:textId="77777777" w:rsidR="00C3120B" w:rsidRDefault="00C3120B">
      <w:pPr>
        <w:rPr>
          <w:rFonts w:ascii="Times New Roman" w:eastAsia="Times New Roman" w:hAnsi="Times New Roman" w:cs="Times New Roman"/>
          <w:color w:val="4A86E8"/>
          <w:sz w:val="24"/>
          <w:szCs w:val="24"/>
        </w:rPr>
      </w:pPr>
    </w:p>
    <w:p w14:paraId="00000040"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To better motivate the consideration of lifespan inequalit</w:t>
      </w:r>
      <w:r>
        <w:rPr>
          <w:rFonts w:ascii="Times New Roman" w:eastAsia="Times New Roman" w:hAnsi="Times New Roman" w:cs="Times New Roman"/>
          <w:color w:val="4A86E8"/>
          <w:sz w:val="24"/>
          <w:szCs w:val="24"/>
        </w:rPr>
        <w:t xml:space="preserve">y and its dynamics, and also following Reviewer 2’s advice, we have extended the motivation to monitor lifespan inequality by pointing </w:t>
      </w:r>
      <w:r>
        <w:rPr>
          <w:rFonts w:ascii="Times New Roman" w:eastAsia="Times New Roman" w:hAnsi="Times New Roman" w:cs="Times New Roman"/>
          <w:color w:val="4A86E8"/>
          <w:sz w:val="24"/>
          <w:szCs w:val="24"/>
        </w:rPr>
        <w:lastRenderedPageBreak/>
        <w:t>out that it has been historically decreasing together with increasing life expectancy and the modal age at death, and tha</w:t>
      </w:r>
      <w:r>
        <w:rPr>
          <w:rFonts w:ascii="Times New Roman" w:eastAsia="Times New Roman" w:hAnsi="Times New Roman" w:cs="Times New Roman"/>
          <w:color w:val="4A86E8"/>
          <w:sz w:val="24"/>
          <w:szCs w:val="24"/>
        </w:rPr>
        <w:t xml:space="preserve">t two populations with similar life expectancies could have substantially different levels of lifespan inequality. We additionally include a short explanation about how age-specific mortality changes affect life expectancy and lifespan inequality. </w:t>
      </w:r>
    </w:p>
    <w:p w14:paraId="00000041" w14:textId="77777777" w:rsidR="00C3120B" w:rsidRDefault="00C3120B">
      <w:pPr>
        <w:rPr>
          <w:rFonts w:ascii="Times New Roman" w:eastAsia="Times New Roman" w:hAnsi="Times New Roman" w:cs="Times New Roman"/>
          <w:color w:val="4A86E8"/>
          <w:sz w:val="24"/>
          <w:szCs w:val="24"/>
        </w:rPr>
      </w:pPr>
    </w:p>
    <w:p w14:paraId="00000042"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Specif</w:t>
      </w:r>
      <w:r>
        <w:rPr>
          <w:rFonts w:ascii="Times New Roman" w:eastAsia="Times New Roman" w:hAnsi="Times New Roman" w:cs="Times New Roman"/>
          <w:color w:val="4A86E8"/>
          <w:sz w:val="24"/>
          <w:szCs w:val="24"/>
        </w:rPr>
        <w:t>ically we have added the following:</w:t>
      </w:r>
    </w:p>
    <w:p w14:paraId="00000043" w14:textId="77777777" w:rsidR="00C3120B" w:rsidRDefault="00C3120B">
      <w:pPr>
        <w:rPr>
          <w:rFonts w:ascii="Times New Roman" w:eastAsia="Times New Roman" w:hAnsi="Times New Roman" w:cs="Times New Roman"/>
          <w:i/>
          <w:color w:val="4A86E8"/>
          <w:sz w:val="24"/>
          <w:szCs w:val="24"/>
        </w:rPr>
      </w:pPr>
    </w:p>
    <w:p w14:paraId="00000044"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In the introduction:</w:t>
      </w:r>
    </w:p>
    <w:p w14:paraId="00000045" w14:textId="77777777" w:rsidR="00C3120B" w:rsidRDefault="0068474E">
      <w:pPr>
        <w:spacing w:line="240" w:lineRule="auto"/>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 xml:space="preserve">Lifespan inequality is another complementary indicator of population health with implications for public health planning, which has increasingly been reported in population health research </w:t>
      </w:r>
      <w:hyperlink r:id="rId5">
        <w:r>
          <w:rPr>
            <w:rFonts w:ascii="Times New Roman" w:eastAsia="Times New Roman" w:hAnsi="Times New Roman" w:cs="Times New Roman"/>
            <w:i/>
            <w:color w:val="4A86E8"/>
            <w:sz w:val="24"/>
            <w:szCs w:val="24"/>
          </w:rPr>
          <w:t>[13–15]</w:t>
        </w:r>
      </w:hyperlink>
      <w:r>
        <w:rPr>
          <w:rFonts w:ascii="Times New Roman" w:eastAsia="Times New Roman" w:hAnsi="Times New Roman" w:cs="Times New Roman"/>
          <w:i/>
          <w:color w:val="4A86E8"/>
          <w:sz w:val="24"/>
          <w:szCs w:val="24"/>
        </w:rPr>
        <w:t>. While life expectancy is a measure of average mortality, lifespan inequality focuses on a second dimension of mortality, the variation in length of life between individuals in a population. It i</w:t>
      </w:r>
      <w:r>
        <w:rPr>
          <w:rFonts w:ascii="Times New Roman" w:eastAsia="Times New Roman" w:hAnsi="Times New Roman" w:cs="Times New Roman"/>
          <w:i/>
          <w:color w:val="4A86E8"/>
          <w:sz w:val="24"/>
          <w:szCs w:val="24"/>
        </w:rPr>
        <w:t>s possible for two populations to have the same life expectancy (i.e. average) with different levels of lifespan inequality because of the variation in the distribution of the ages of death. Thus, lifespan inequality provides a complementary perspective th</w:t>
      </w:r>
      <w:r>
        <w:rPr>
          <w:rFonts w:ascii="Times New Roman" w:eastAsia="Times New Roman" w:hAnsi="Times New Roman" w:cs="Times New Roman"/>
          <w:i/>
          <w:color w:val="4A86E8"/>
          <w:sz w:val="24"/>
          <w:szCs w:val="24"/>
        </w:rPr>
        <w:t>at reflects how unevenly population health improvements are shared within a population, which has important implications for health and social care planning</w:t>
      </w:r>
      <w:hyperlink r:id="rId6">
        <w:r>
          <w:rPr>
            <w:rFonts w:ascii="Times New Roman" w:eastAsia="Times New Roman" w:hAnsi="Times New Roman" w:cs="Times New Roman"/>
            <w:i/>
            <w:color w:val="4A86E8"/>
            <w:sz w:val="24"/>
            <w:szCs w:val="24"/>
          </w:rPr>
          <w:t>.</w:t>
        </w:r>
      </w:hyperlink>
      <w:r>
        <w:rPr>
          <w:rFonts w:ascii="Times New Roman" w:eastAsia="Times New Roman" w:hAnsi="Times New Roman" w:cs="Times New Roman"/>
          <w:i/>
          <w:color w:val="4A86E8"/>
          <w:sz w:val="24"/>
          <w:szCs w:val="24"/>
        </w:rPr>
        <w:t xml:space="preserve"> Trends over the twentieth-century fr</w:t>
      </w:r>
      <w:r>
        <w:rPr>
          <w:rFonts w:ascii="Times New Roman" w:eastAsia="Times New Roman" w:hAnsi="Times New Roman" w:cs="Times New Roman"/>
          <w:i/>
          <w:color w:val="4A86E8"/>
          <w:sz w:val="24"/>
          <w:szCs w:val="24"/>
        </w:rPr>
        <w:t>om high-income countries, including England and Wales, show that as life expectancy and the modal age at death have increased, lifespan inequality has tended to decrease</w:t>
      </w:r>
      <w:hyperlink r:id="rId7">
        <w:r>
          <w:rPr>
            <w:rFonts w:ascii="Times New Roman" w:eastAsia="Times New Roman" w:hAnsi="Times New Roman" w:cs="Times New Roman"/>
            <w:i/>
            <w:color w:val="4A86E8"/>
            <w:sz w:val="24"/>
            <w:szCs w:val="24"/>
          </w:rPr>
          <w:t>[16]</w:t>
        </w:r>
      </w:hyperlink>
      <w:r>
        <w:rPr>
          <w:rFonts w:ascii="Times New Roman" w:eastAsia="Times New Roman" w:hAnsi="Times New Roman" w:cs="Times New Roman"/>
          <w:i/>
          <w:color w:val="4A86E8"/>
          <w:sz w:val="24"/>
          <w:szCs w:val="24"/>
        </w:rPr>
        <w:t>. Nevertheless, the a</w:t>
      </w:r>
      <w:r>
        <w:rPr>
          <w:rFonts w:ascii="Times New Roman" w:eastAsia="Times New Roman" w:hAnsi="Times New Roman" w:cs="Times New Roman"/>
          <w:i/>
          <w:color w:val="4A86E8"/>
          <w:sz w:val="24"/>
          <w:szCs w:val="24"/>
        </w:rPr>
        <w:t>ge dynamics driving improvement in each indicator are different. Reducing mortality at any age increases life expectancy. However for lifespan inequality to decrease when life expectancy is increasing, more lives need to be saved at younger than older ages</w:t>
      </w:r>
      <w:r>
        <w:rPr>
          <w:rFonts w:ascii="Times New Roman" w:eastAsia="Times New Roman" w:hAnsi="Times New Roman" w:cs="Times New Roman"/>
          <w:i/>
          <w:color w:val="4A86E8"/>
          <w:sz w:val="24"/>
          <w:szCs w:val="24"/>
        </w:rPr>
        <w:t>, usually below life expectancy</w:t>
      </w:r>
      <w:hyperlink r:id="rId8">
        <w:r>
          <w:rPr>
            <w:rFonts w:ascii="Times New Roman" w:eastAsia="Times New Roman" w:hAnsi="Times New Roman" w:cs="Times New Roman"/>
            <w:i/>
            <w:color w:val="4A86E8"/>
            <w:sz w:val="24"/>
            <w:szCs w:val="24"/>
          </w:rPr>
          <w:t>[13]</w:t>
        </w:r>
      </w:hyperlink>
      <w:r>
        <w:rPr>
          <w:rFonts w:ascii="Times New Roman" w:eastAsia="Times New Roman" w:hAnsi="Times New Roman" w:cs="Times New Roman"/>
          <w:i/>
          <w:color w:val="4A86E8"/>
          <w:sz w:val="24"/>
          <w:szCs w:val="24"/>
        </w:rPr>
        <w:t xml:space="preserve">. This compresses the distribution of deaths, making ages at death more similar. </w:t>
      </w:r>
    </w:p>
    <w:p w14:paraId="00000046" w14:textId="77777777" w:rsidR="00C3120B" w:rsidRDefault="00C3120B">
      <w:pPr>
        <w:spacing w:line="240" w:lineRule="auto"/>
        <w:rPr>
          <w:rFonts w:ascii="Times New Roman" w:eastAsia="Times New Roman" w:hAnsi="Times New Roman" w:cs="Times New Roman"/>
          <w:i/>
          <w:color w:val="4A86E8"/>
          <w:sz w:val="24"/>
          <w:szCs w:val="24"/>
        </w:rPr>
      </w:pPr>
    </w:p>
    <w:p w14:paraId="00000047" w14:textId="77777777" w:rsidR="00C3120B" w:rsidRDefault="00C3120B">
      <w:pPr>
        <w:spacing w:line="240" w:lineRule="auto"/>
        <w:rPr>
          <w:rFonts w:ascii="Times New Roman" w:eastAsia="Times New Roman" w:hAnsi="Times New Roman" w:cs="Times New Roman"/>
          <w:color w:val="4A86E8"/>
          <w:sz w:val="24"/>
          <w:szCs w:val="24"/>
        </w:rPr>
      </w:pPr>
    </w:p>
    <w:p w14:paraId="00000048" w14:textId="77777777" w:rsidR="00C3120B" w:rsidRDefault="0068474E">
      <w:p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In the discussion:</w:t>
      </w:r>
    </w:p>
    <w:p w14:paraId="00000049" w14:textId="77777777" w:rsidR="00C3120B" w:rsidRDefault="0068474E">
      <w:pPr>
        <w:spacing w:line="240" w:lineRule="auto"/>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Within a broader context of population health in which m</w:t>
      </w:r>
      <w:r>
        <w:rPr>
          <w:rFonts w:ascii="Times New Roman" w:eastAsia="Times New Roman" w:hAnsi="Times New Roman" w:cs="Times New Roman"/>
          <w:i/>
          <w:color w:val="4A86E8"/>
          <w:sz w:val="24"/>
          <w:szCs w:val="24"/>
        </w:rPr>
        <w:t>ortality is now largely concentrated at older ages, the elevated excess death rates at older age groups observed during the COVID-19 pandemic so far have reduced life expectancy. However, the disproportionate shift in the distribution of ages at death to o</w:t>
      </w:r>
      <w:r>
        <w:rPr>
          <w:rFonts w:ascii="Times New Roman" w:eastAsia="Times New Roman" w:hAnsi="Times New Roman" w:cs="Times New Roman"/>
          <w:i/>
          <w:color w:val="4A86E8"/>
          <w:sz w:val="24"/>
          <w:szCs w:val="24"/>
        </w:rPr>
        <w:t>lder age groups made ages at death more similar thereby reducing variation but at the expense of increasing overall average mortality. As a result of these dynamics, life expectancy and lifespan inequality moved in the same, undesired direction.</w:t>
      </w:r>
    </w:p>
    <w:p w14:paraId="0000004A" w14:textId="77777777" w:rsidR="00C3120B" w:rsidRDefault="00C3120B">
      <w:pPr>
        <w:rPr>
          <w:rFonts w:ascii="Times New Roman" w:eastAsia="Times New Roman" w:hAnsi="Times New Roman" w:cs="Times New Roman"/>
          <w:i/>
          <w:color w:val="4A86E8"/>
          <w:sz w:val="24"/>
          <w:szCs w:val="24"/>
        </w:rPr>
      </w:pPr>
    </w:p>
    <w:p w14:paraId="0000004B"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section in the discussion on implications for health care planning does not contribute much. </w:t>
      </w:r>
    </w:p>
    <w:p w14:paraId="0000004C" w14:textId="77777777" w:rsidR="00C3120B" w:rsidRDefault="00C3120B">
      <w:pPr>
        <w:rPr>
          <w:rFonts w:ascii="Times New Roman" w:eastAsia="Times New Roman" w:hAnsi="Times New Roman" w:cs="Times New Roman"/>
          <w:sz w:val="24"/>
          <w:szCs w:val="24"/>
        </w:rPr>
      </w:pPr>
    </w:p>
    <w:p w14:paraId="0000004D"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We agree that it did not add much and hence we have shortened the section and instead elaborated on our findings more thoroughly as explained in the other po</w:t>
      </w:r>
      <w:r>
        <w:rPr>
          <w:rFonts w:ascii="Times New Roman" w:eastAsia="Times New Roman" w:hAnsi="Times New Roman" w:cs="Times New Roman"/>
          <w:color w:val="4A86E8"/>
          <w:sz w:val="24"/>
          <w:szCs w:val="24"/>
        </w:rPr>
        <w:t>ints.</w:t>
      </w:r>
    </w:p>
    <w:p w14:paraId="0000004E" w14:textId="77777777" w:rsidR="00C3120B" w:rsidRDefault="00C3120B">
      <w:pPr>
        <w:rPr>
          <w:rFonts w:ascii="Times New Roman" w:eastAsia="Times New Roman" w:hAnsi="Times New Roman" w:cs="Times New Roman"/>
          <w:sz w:val="24"/>
          <w:szCs w:val="24"/>
        </w:rPr>
      </w:pPr>
    </w:p>
    <w:p w14:paraId="0000004F"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finally, covid-19 deaths may be both over- and underreported in the cause of death statistics.</w:t>
      </w:r>
    </w:p>
    <w:p w14:paraId="00000050" w14:textId="77777777" w:rsidR="00C3120B" w:rsidRDefault="00C3120B">
      <w:pPr>
        <w:rPr>
          <w:rFonts w:ascii="Times New Roman" w:eastAsia="Times New Roman" w:hAnsi="Times New Roman" w:cs="Times New Roman"/>
          <w:i/>
          <w:color w:val="4A86E8"/>
          <w:sz w:val="24"/>
          <w:szCs w:val="24"/>
        </w:rPr>
      </w:pPr>
    </w:p>
    <w:p w14:paraId="00000051"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color w:val="4A86E8"/>
          <w:sz w:val="24"/>
          <w:szCs w:val="24"/>
        </w:rPr>
        <w:t>Thanks for this observation. We agree that COVID-19 may be both over- and under reported in the cause of death statistics. To avoid any misinterpretation we have rephrased the instances now referring to the potential of misclassification of causes of death</w:t>
      </w:r>
      <w:r>
        <w:rPr>
          <w:rFonts w:ascii="Times New Roman" w:eastAsia="Times New Roman" w:hAnsi="Times New Roman" w:cs="Times New Roman"/>
          <w:color w:val="4A86E8"/>
          <w:sz w:val="24"/>
          <w:szCs w:val="24"/>
        </w:rPr>
        <w:t xml:space="preserve">, which includes both (over and under) possibilities, and also point out challenges linked to the measurement of COVID-19 </w:t>
      </w:r>
      <w:r>
        <w:rPr>
          <w:rFonts w:ascii="Times New Roman" w:eastAsia="Times New Roman" w:hAnsi="Times New Roman" w:cs="Times New Roman"/>
          <w:color w:val="4A86E8"/>
          <w:sz w:val="24"/>
          <w:szCs w:val="24"/>
        </w:rPr>
        <w:lastRenderedPageBreak/>
        <w:t>mortality due to definitional inconsistencies across different sources. This further motivates the analysis of excess mortality throug</w:t>
      </w:r>
      <w:r>
        <w:rPr>
          <w:rFonts w:ascii="Times New Roman" w:eastAsia="Times New Roman" w:hAnsi="Times New Roman" w:cs="Times New Roman"/>
          <w:color w:val="4A86E8"/>
          <w:sz w:val="24"/>
          <w:szCs w:val="24"/>
        </w:rPr>
        <w:t>h the focus on all-cause mortality, as our results are unaffected by issues of misclassification in causes of death.</w:t>
      </w:r>
    </w:p>
    <w:p w14:paraId="00000052" w14:textId="77777777" w:rsidR="00C3120B" w:rsidRDefault="00C3120B">
      <w:pPr>
        <w:rPr>
          <w:rFonts w:ascii="Times New Roman" w:eastAsia="Times New Roman" w:hAnsi="Times New Roman" w:cs="Times New Roman"/>
          <w:sz w:val="24"/>
          <w:szCs w:val="24"/>
        </w:rPr>
      </w:pPr>
    </w:p>
    <w:p w14:paraId="00000053" w14:textId="77777777" w:rsidR="00C3120B" w:rsidRDefault="006847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2</w:t>
      </w:r>
    </w:p>
    <w:p w14:paraId="00000054" w14:textId="77777777" w:rsidR="00C3120B" w:rsidRDefault="00C3120B">
      <w:pPr>
        <w:rPr>
          <w:rFonts w:ascii="Times New Roman" w:eastAsia="Times New Roman" w:hAnsi="Times New Roman" w:cs="Times New Roman"/>
          <w:sz w:val="24"/>
          <w:szCs w:val="24"/>
        </w:rPr>
      </w:pPr>
    </w:p>
    <w:p w14:paraId="00000055"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to the Author</w:t>
      </w:r>
    </w:p>
    <w:p w14:paraId="00000056"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important paper quantifying the excess deaths due to COVID-19 and the effect on life expect</w:t>
      </w:r>
      <w:r>
        <w:rPr>
          <w:rFonts w:ascii="Times New Roman" w:eastAsia="Times New Roman" w:hAnsi="Times New Roman" w:cs="Times New Roman"/>
          <w:sz w:val="24"/>
          <w:szCs w:val="24"/>
        </w:rPr>
        <w:t>ancy and lifespan inequality in England and Wales. It is a thorough piece of work, well written and generally easy to read. I have therefore only a couple of typographical errors to point out and then two areas that I think the authors could elucidate more</w:t>
      </w:r>
      <w:r>
        <w:rPr>
          <w:rFonts w:ascii="Times New Roman" w:eastAsia="Times New Roman" w:hAnsi="Times New Roman" w:cs="Times New Roman"/>
          <w:sz w:val="24"/>
          <w:szCs w:val="24"/>
        </w:rPr>
        <w:t xml:space="preserve"> clearly.</w:t>
      </w:r>
    </w:p>
    <w:p w14:paraId="00000057" w14:textId="77777777" w:rsidR="00C3120B" w:rsidRDefault="00C3120B">
      <w:pPr>
        <w:rPr>
          <w:rFonts w:ascii="Times New Roman" w:eastAsia="Times New Roman" w:hAnsi="Times New Roman" w:cs="Times New Roman"/>
          <w:sz w:val="24"/>
          <w:szCs w:val="24"/>
        </w:rPr>
      </w:pPr>
    </w:p>
    <w:p w14:paraId="00000058"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We thank the reviewer for the comments and we are pleased to hear that the reviewer found our manuscript well written and important.</w:t>
      </w:r>
    </w:p>
    <w:p w14:paraId="00000059" w14:textId="77777777" w:rsidR="00C3120B" w:rsidRDefault="00C3120B">
      <w:pPr>
        <w:rPr>
          <w:rFonts w:ascii="Times New Roman" w:eastAsia="Times New Roman" w:hAnsi="Times New Roman" w:cs="Times New Roman"/>
          <w:sz w:val="24"/>
          <w:szCs w:val="24"/>
        </w:rPr>
      </w:pPr>
    </w:p>
    <w:p w14:paraId="0000005A"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Typographical errors:</w:t>
      </w:r>
    </w:p>
    <w:p w14:paraId="0000005B"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1. Page 4 para 3. Sentence beginning 'Furthermore, life can shed ..' should read 'Further</w:t>
      </w:r>
      <w:r>
        <w:rPr>
          <w:rFonts w:ascii="Times New Roman" w:eastAsia="Times New Roman" w:hAnsi="Times New Roman" w:cs="Times New Roman"/>
          <w:sz w:val="24"/>
          <w:szCs w:val="24"/>
        </w:rPr>
        <w:t>more, life expectancy can shed'.</w:t>
      </w:r>
    </w:p>
    <w:p w14:paraId="0000005C" w14:textId="77777777" w:rsidR="00C3120B" w:rsidRDefault="00C3120B">
      <w:pPr>
        <w:rPr>
          <w:rFonts w:ascii="Times New Roman" w:eastAsia="Times New Roman" w:hAnsi="Times New Roman" w:cs="Times New Roman"/>
          <w:sz w:val="24"/>
          <w:szCs w:val="24"/>
        </w:rPr>
      </w:pPr>
    </w:p>
    <w:p w14:paraId="0000005D"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It has been rephrased as:</w:t>
      </w:r>
    </w:p>
    <w:p w14:paraId="0000005E" w14:textId="77777777" w:rsidR="00C3120B" w:rsidRDefault="00C3120B">
      <w:pPr>
        <w:spacing w:line="240" w:lineRule="auto"/>
        <w:rPr>
          <w:rFonts w:ascii="Times New Roman" w:eastAsia="Times New Roman" w:hAnsi="Times New Roman" w:cs="Times New Roman"/>
          <w:color w:val="4A86E8"/>
          <w:sz w:val="24"/>
          <w:szCs w:val="24"/>
        </w:rPr>
      </w:pPr>
    </w:p>
    <w:p w14:paraId="0000005F" w14:textId="77777777" w:rsidR="00C3120B" w:rsidRDefault="0068474E">
      <w:pPr>
        <w:spacing w:line="240" w:lineRule="auto"/>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 xml:space="preserve">Furthermore, as life expectancy is sensitive to the ages at which deaths occur and because it is comparable across time, it can shed additional light on the cumulative burden of a crisis such as </w:t>
      </w:r>
      <w:r>
        <w:rPr>
          <w:rFonts w:ascii="Times New Roman" w:eastAsia="Times New Roman" w:hAnsi="Times New Roman" w:cs="Times New Roman"/>
          <w:i/>
          <w:color w:val="4A86E8"/>
          <w:sz w:val="24"/>
          <w:szCs w:val="24"/>
        </w:rPr>
        <w:t>COVID-19 on population health and enable comparisons with previous population health conditions.</w:t>
      </w:r>
    </w:p>
    <w:p w14:paraId="00000060" w14:textId="77777777" w:rsidR="00C3120B" w:rsidRDefault="00C3120B">
      <w:pPr>
        <w:rPr>
          <w:rFonts w:ascii="Times New Roman" w:eastAsia="Times New Roman" w:hAnsi="Times New Roman" w:cs="Times New Roman"/>
          <w:sz w:val="24"/>
          <w:szCs w:val="24"/>
        </w:rPr>
      </w:pPr>
    </w:p>
    <w:p w14:paraId="00000061"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2. Figure 2. In the legend for the lines in the 85+ age group Males are incorrectly denoted as Females.</w:t>
      </w:r>
    </w:p>
    <w:p w14:paraId="00000062" w14:textId="77777777" w:rsidR="00C3120B" w:rsidRDefault="00C3120B">
      <w:pPr>
        <w:rPr>
          <w:rFonts w:ascii="Times New Roman" w:eastAsia="Times New Roman" w:hAnsi="Times New Roman" w:cs="Times New Roman"/>
          <w:sz w:val="24"/>
          <w:szCs w:val="24"/>
        </w:rPr>
      </w:pPr>
    </w:p>
    <w:p w14:paraId="00000063"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Thanks for noting this mistake, we have corrected it.</w:t>
      </w:r>
    </w:p>
    <w:p w14:paraId="00000064" w14:textId="77777777" w:rsidR="00C3120B" w:rsidRDefault="00C3120B">
      <w:pPr>
        <w:rPr>
          <w:rFonts w:ascii="Times New Roman" w:eastAsia="Times New Roman" w:hAnsi="Times New Roman" w:cs="Times New Roman"/>
          <w:sz w:val="24"/>
          <w:szCs w:val="24"/>
        </w:rPr>
      </w:pPr>
    </w:p>
    <w:p w14:paraId="00000065"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Minor comments:</w:t>
      </w:r>
    </w:p>
    <w:p w14:paraId="00000066"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Although most readers have a good understanding of life expectancy, I think fewer will be familiar with lifespan inequality. Though the authors explain it in the introduction in terms of its similarity to the Gini coefficient, again I </w:t>
      </w:r>
      <w:r>
        <w:rPr>
          <w:rFonts w:ascii="Times New Roman" w:eastAsia="Times New Roman" w:hAnsi="Times New Roman" w:cs="Times New Roman"/>
          <w:sz w:val="24"/>
          <w:szCs w:val="24"/>
        </w:rPr>
        <w:t xml:space="preserve">think this is a more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statistic. It would help the more general reader to have a better explanation of lifespan inequality, perhaps pointing out that it has been decreasing (as the authors pointed out in the discussion) and making comparisons wi</w:t>
      </w:r>
      <w:r>
        <w:rPr>
          <w:rFonts w:ascii="Times New Roman" w:eastAsia="Times New Roman" w:hAnsi="Times New Roman" w:cs="Times New Roman"/>
          <w:sz w:val="24"/>
          <w:szCs w:val="24"/>
        </w:rPr>
        <w:t xml:space="preserve">th the modal age at death. </w:t>
      </w:r>
    </w:p>
    <w:p w14:paraId="00000067" w14:textId="77777777" w:rsidR="00C3120B" w:rsidRDefault="00C3120B">
      <w:pPr>
        <w:rPr>
          <w:rFonts w:ascii="Times New Roman" w:eastAsia="Times New Roman" w:hAnsi="Times New Roman" w:cs="Times New Roman"/>
          <w:sz w:val="24"/>
          <w:szCs w:val="24"/>
        </w:rPr>
      </w:pPr>
    </w:p>
    <w:p w14:paraId="00000068"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lastRenderedPageBreak/>
        <w:t xml:space="preserve">Thank you for this comment. Reviewer 1 also </w:t>
      </w:r>
      <w:proofErr w:type="spellStart"/>
      <w:r>
        <w:rPr>
          <w:rFonts w:ascii="Times New Roman" w:eastAsia="Times New Roman" w:hAnsi="Times New Roman" w:cs="Times New Roman"/>
          <w:color w:val="4A86E8"/>
          <w:sz w:val="24"/>
          <w:szCs w:val="24"/>
        </w:rPr>
        <w:t>emphasised</w:t>
      </w:r>
      <w:proofErr w:type="spellEnd"/>
      <w:r>
        <w:rPr>
          <w:rFonts w:ascii="Times New Roman" w:eastAsia="Times New Roman" w:hAnsi="Times New Roman" w:cs="Times New Roman"/>
          <w:color w:val="4A86E8"/>
          <w:sz w:val="24"/>
          <w:szCs w:val="24"/>
        </w:rPr>
        <w:t xml:space="preserve"> the need to better motivate the significance of lifespan inequality. To explain the importance of lifespan inequality we have followed your suggestions along with Reviewer 1. </w:t>
      </w:r>
    </w:p>
    <w:p w14:paraId="00000069" w14:textId="77777777" w:rsidR="00C3120B" w:rsidRDefault="00C3120B">
      <w:pPr>
        <w:rPr>
          <w:rFonts w:ascii="Times New Roman" w:eastAsia="Times New Roman" w:hAnsi="Times New Roman" w:cs="Times New Roman"/>
          <w:color w:val="4A86E8"/>
          <w:sz w:val="24"/>
          <w:szCs w:val="24"/>
        </w:rPr>
      </w:pPr>
    </w:p>
    <w:p w14:paraId="0000006A"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Specifically we have add</w:t>
      </w:r>
      <w:r>
        <w:rPr>
          <w:rFonts w:ascii="Times New Roman" w:eastAsia="Times New Roman" w:hAnsi="Times New Roman" w:cs="Times New Roman"/>
          <w:color w:val="4A86E8"/>
          <w:sz w:val="24"/>
          <w:szCs w:val="24"/>
        </w:rPr>
        <w:t>ed the following:</w:t>
      </w:r>
    </w:p>
    <w:p w14:paraId="0000006B" w14:textId="77777777" w:rsidR="00C3120B" w:rsidRDefault="00C3120B">
      <w:pPr>
        <w:rPr>
          <w:rFonts w:ascii="Times New Roman" w:eastAsia="Times New Roman" w:hAnsi="Times New Roman" w:cs="Times New Roman"/>
          <w:i/>
          <w:color w:val="4A86E8"/>
          <w:sz w:val="24"/>
          <w:szCs w:val="24"/>
        </w:rPr>
      </w:pPr>
    </w:p>
    <w:p w14:paraId="0000006C"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In the introduction:</w:t>
      </w:r>
    </w:p>
    <w:p w14:paraId="0000006D" w14:textId="4F3556EB" w:rsidR="00C3120B" w:rsidRDefault="0068474E">
      <w:pPr>
        <w:spacing w:line="240" w:lineRule="auto"/>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 xml:space="preserve">Lifespan inequality is another complementary indicator of population health with implications for public health planning, which has increasingly been reported in population health research </w:t>
      </w:r>
      <w:hyperlink r:id="rId9">
        <w:r>
          <w:rPr>
            <w:rFonts w:ascii="Times New Roman" w:eastAsia="Times New Roman" w:hAnsi="Times New Roman" w:cs="Times New Roman"/>
            <w:i/>
            <w:color w:val="4A86E8"/>
            <w:sz w:val="24"/>
            <w:szCs w:val="24"/>
          </w:rPr>
          <w:t>[13–15]</w:t>
        </w:r>
      </w:hyperlink>
      <w:r>
        <w:rPr>
          <w:rFonts w:ascii="Times New Roman" w:eastAsia="Times New Roman" w:hAnsi="Times New Roman" w:cs="Times New Roman"/>
          <w:i/>
          <w:color w:val="4A86E8"/>
          <w:sz w:val="24"/>
          <w:szCs w:val="24"/>
        </w:rPr>
        <w:t>. While life expectancy is a measure of average mortality, lifespan inequality focuses on a second dimension of mortality, the variation in length of life between individuals in a populatio</w:t>
      </w:r>
      <w:r>
        <w:rPr>
          <w:rFonts w:ascii="Times New Roman" w:eastAsia="Times New Roman" w:hAnsi="Times New Roman" w:cs="Times New Roman"/>
          <w:i/>
          <w:color w:val="4A86E8"/>
          <w:sz w:val="24"/>
          <w:szCs w:val="24"/>
        </w:rPr>
        <w:t>n. It is possible for two populations to have the same life expectancy (i.e. average) with different levels of lifespan inequality because of the variation in the distribution of the ages of death. Thus, lifespan inequality provides a complementary perspec</w:t>
      </w:r>
      <w:r>
        <w:rPr>
          <w:rFonts w:ascii="Times New Roman" w:eastAsia="Times New Roman" w:hAnsi="Times New Roman" w:cs="Times New Roman"/>
          <w:i/>
          <w:color w:val="4A86E8"/>
          <w:sz w:val="24"/>
          <w:szCs w:val="24"/>
        </w:rPr>
        <w:t>tive that reflects how unevenly population health improvements are shared within a population, which has important implications for health and social care planning</w:t>
      </w:r>
      <w:hyperlink r:id="rId10">
        <w:r>
          <w:rPr>
            <w:rFonts w:ascii="Times New Roman" w:eastAsia="Times New Roman" w:hAnsi="Times New Roman" w:cs="Times New Roman"/>
            <w:i/>
            <w:color w:val="4A86E8"/>
            <w:sz w:val="24"/>
            <w:szCs w:val="24"/>
          </w:rPr>
          <w:t>.</w:t>
        </w:r>
      </w:hyperlink>
      <w:r>
        <w:rPr>
          <w:rFonts w:ascii="Times New Roman" w:eastAsia="Times New Roman" w:hAnsi="Times New Roman" w:cs="Times New Roman"/>
          <w:i/>
          <w:color w:val="4A86E8"/>
          <w:sz w:val="24"/>
          <w:szCs w:val="24"/>
        </w:rPr>
        <w:t xml:space="preserve"> Trends over the twentieth-cen</w:t>
      </w:r>
      <w:r>
        <w:rPr>
          <w:rFonts w:ascii="Times New Roman" w:eastAsia="Times New Roman" w:hAnsi="Times New Roman" w:cs="Times New Roman"/>
          <w:i/>
          <w:color w:val="4A86E8"/>
          <w:sz w:val="24"/>
          <w:szCs w:val="24"/>
        </w:rPr>
        <w:t>tury from high-income countries, including England and Wales, show that as life expectancy and the modal age at death have increased, lifespan inequality has tended to decrease</w:t>
      </w:r>
      <w:hyperlink r:id="rId11">
        <w:r>
          <w:rPr>
            <w:rFonts w:ascii="Times New Roman" w:eastAsia="Times New Roman" w:hAnsi="Times New Roman" w:cs="Times New Roman"/>
            <w:i/>
            <w:color w:val="4A86E8"/>
            <w:sz w:val="24"/>
            <w:szCs w:val="24"/>
          </w:rPr>
          <w:t>[16]</w:t>
        </w:r>
      </w:hyperlink>
      <w:r>
        <w:rPr>
          <w:rFonts w:ascii="Times New Roman" w:eastAsia="Times New Roman" w:hAnsi="Times New Roman" w:cs="Times New Roman"/>
          <w:i/>
          <w:color w:val="4A86E8"/>
          <w:sz w:val="24"/>
          <w:szCs w:val="24"/>
        </w:rPr>
        <w:t>. Nevertheless</w:t>
      </w:r>
      <w:r>
        <w:rPr>
          <w:rFonts w:ascii="Times New Roman" w:eastAsia="Times New Roman" w:hAnsi="Times New Roman" w:cs="Times New Roman"/>
          <w:i/>
          <w:color w:val="4A86E8"/>
          <w:sz w:val="24"/>
          <w:szCs w:val="24"/>
        </w:rPr>
        <w:t>, the age dynamics driving improvement in each indicator are different. Reducing mortality at any age increases life expectancy. However,</w:t>
      </w:r>
      <w:r>
        <w:rPr>
          <w:rFonts w:ascii="Times New Roman" w:eastAsia="Times New Roman" w:hAnsi="Times New Roman" w:cs="Times New Roman"/>
          <w:i/>
          <w:color w:val="4A86E8"/>
          <w:sz w:val="24"/>
          <w:szCs w:val="24"/>
        </w:rPr>
        <w:t xml:space="preserve"> for lifespan inequality to decrease when life expectancy is increasing, more lives need to be saved at younger than old</w:t>
      </w:r>
      <w:r>
        <w:rPr>
          <w:rFonts w:ascii="Times New Roman" w:eastAsia="Times New Roman" w:hAnsi="Times New Roman" w:cs="Times New Roman"/>
          <w:i/>
          <w:color w:val="4A86E8"/>
          <w:sz w:val="24"/>
          <w:szCs w:val="24"/>
        </w:rPr>
        <w:t>er ages, usually below life expectancy</w:t>
      </w:r>
      <w:hyperlink r:id="rId12">
        <w:r>
          <w:rPr>
            <w:rFonts w:ascii="Times New Roman" w:eastAsia="Times New Roman" w:hAnsi="Times New Roman" w:cs="Times New Roman"/>
            <w:i/>
            <w:color w:val="4A86E8"/>
            <w:sz w:val="24"/>
            <w:szCs w:val="24"/>
          </w:rPr>
          <w:t>[13]</w:t>
        </w:r>
      </w:hyperlink>
      <w:r>
        <w:rPr>
          <w:rFonts w:ascii="Times New Roman" w:eastAsia="Times New Roman" w:hAnsi="Times New Roman" w:cs="Times New Roman"/>
          <w:i/>
          <w:color w:val="4A86E8"/>
          <w:sz w:val="24"/>
          <w:szCs w:val="24"/>
        </w:rPr>
        <w:t xml:space="preserve">. This compresses the distribution of deaths, making ages at death more similar. </w:t>
      </w:r>
    </w:p>
    <w:p w14:paraId="0000006E" w14:textId="77777777" w:rsidR="00C3120B" w:rsidRDefault="00C3120B">
      <w:pPr>
        <w:spacing w:line="240" w:lineRule="auto"/>
        <w:rPr>
          <w:rFonts w:ascii="Times New Roman" w:eastAsia="Times New Roman" w:hAnsi="Times New Roman" w:cs="Times New Roman"/>
          <w:i/>
          <w:color w:val="4A86E8"/>
          <w:sz w:val="24"/>
          <w:szCs w:val="24"/>
        </w:rPr>
      </w:pPr>
    </w:p>
    <w:p w14:paraId="0000006F" w14:textId="77777777" w:rsidR="00C3120B" w:rsidRDefault="00C3120B">
      <w:pPr>
        <w:spacing w:line="240" w:lineRule="auto"/>
        <w:rPr>
          <w:rFonts w:ascii="Times New Roman" w:eastAsia="Times New Roman" w:hAnsi="Times New Roman" w:cs="Times New Roman"/>
          <w:color w:val="4A86E8"/>
          <w:sz w:val="24"/>
          <w:szCs w:val="24"/>
        </w:rPr>
      </w:pPr>
    </w:p>
    <w:p w14:paraId="00000070" w14:textId="77777777" w:rsidR="00C3120B" w:rsidRDefault="0068474E">
      <w:pPr>
        <w:spacing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In the discussion:</w:t>
      </w:r>
    </w:p>
    <w:p w14:paraId="00000071" w14:textId="77777777" w:rsidR="00C3120B" w:rsidRDefault="0068474E">
      <w:pPr>
        <w:spacing w:line="240" w:lineRule="auto"/>
        <w:rPr>
          <w:rFonts w:ascii="Times New Roman" w:eastAsia="Times New Roman" w:hAnsi="Times New Roman" w:cs="Times New Roman"/>
          <w:i/>
          <w:color w:val="4A86E8"/>
          <w:sz w:val="24"/>
          <w:szCs w:val="24"/>
        </w:rPr>
      </w:pPr>
      <w:bookmarkStart w:id="2" w:name="_rl52nyruyudz" w:colFirst="0" w:colLast="0"/>
      <w:bookmarkEnd w:id="2"/>
      <w:r>
        <w:rPr>
          <w:rFonts w:ascii="Times New Roman" w:eastAsia="Times New Roman" w:hAnsi="Times New Roman" w:cs="Times New Roman"/>
          <w:i/>
          <w:color w:val="4A86E8"/>
          <w:sz w:val="24"/>
          <w:szCs w:val="24"/>
        </w:rPr>
        <w:t xml:space="preserve">Within a broader context of population health in </w:t>
      </w:r>
      <w:r>
        <w:rPr>
          <w:rFonts w:ascii="Times New Roman" w:eastAsia="Times New Roman" w:hAnsi="Times New Roman" w:cs="Times New Roman"/>
          <w:i/>
          <w:color w:val="4A86E8"/>
          <w:sz w:val="24"/>
          <w:szCs w:val="24"/>
        </w:rPr>
        <w:t>which mortality is now largely concentrated at older ages, the elevated excess death rates at older age groups observed during the COVID-19 pandemic so far have reduced life expectancy. However, the disproportionate shift in the distribution of ages at dea</w:t>
      </w:r>
      <w:r>
        <w:rPr>
          <w:rFonts w:ascii="Times New Roman" w:eastAsia="Times New Roman" w:hAnsi="Times New Roman" w:cs="Times New Roman"/>
          <w:i/>
          <w:color w:val="4A86E8"/>
          <w:sz w:val="24"/>
          <w:szCs w:val="24"/>
        </w:rPr>
        <w:t>th to older age groups made ages at death more similar thereby reducing variation but at the expense of increasing overall average mortality. As a result of these dynamics, life expectancy and lifespan inequality moved in the same, undesired direction.</w:t>
      </w:r>
    </w:p>
    <w:p w14:paraId="00000072" w14:textId="77777777" w:rsidR="00C3120B" w:rsidRDefault="00C3120B">
      <w:pPr>
        <w:rPr>
          <w:rFonts w:ascii="Times New Roman" w:eastAsia="Times New Roman" w:hAnsi="Times New Roman" w:cs="Times New Roman"/>
          <w:sz w:val="24"/>
          <w:szCs w:val="24"/>
        </w:rPr>
      </w:pPr>
    </w:p>
    <w:p w14:paraId="00000073" w14:textId="77777777" w:rsidR="00C3120B" w:rsidRDefault="0068474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In the discussion page 9 lines 18-19 the authors make a rather opaque reference to the inequalities in life and healthy life expectancy between social (particularly deprivation) groups in England and Wales. I would like to see a clearer exposition of the </w:t>
      </w:r>
      <w:r>
        <w:rPr>
          <w:rFonts w:ascii="Times New Roman" w:eastAsia="Times New Roman" w:hAnsi="Times New Roman" w:cs="Times New Roman"/>
          <w:sz w:val="24"/>
          <w:szCs w:val="24"/>
        </w:rPr>
        <w:t xml:space="preserve">form of this inequality with perhaps reference to another JECH paper recently published (Bambra C, Riordan R, Ford J, Matthews F. The COVID-19 pandemic and health inequalities. J Epidemiol Community Health. 2020 Nov;74(11):964-968.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10.1136/jech-2020-2</w:t>
      </w:r>
      <w:r>
        <w:rPr>
          <w:rFonts w:ascii="Times New Roman" w:eastAsia="Times New Roman" w:hAnsi="Times New Roman" w:cs="Times New Roman"/>
          <w:sz w:val="24"/>
          <w:szCs w:val="24"/>
        </w:rPr>
        <w:t xml:space="preserve">14401. </w:t>
      </w:r>
      <w:proofErr w:type="spellStart"/>
      <w:r>
        <w:rPr>
          <w:rFonts w:ascii="Times New Roman" w:eastAsia="Times New Roman" w:hAnsi="Times New Roman" w:cs="Times New Roman"/>
          <w:sz w:val="24"/>
          <w:szCs w:val="24"/>
        </w:rPr>
        <w:t>Epub</w:t>
      </w:r>
      <w:proofErr w:type="spellEnd"/>
      <w:r>
        <w:rPr>
          <w:rFonts w:ascii="Times New Roman" w:eastAsia="Times New Roman" w:hAnsi="Times New Roman" w:cs="Times New Roman"/>
          <w:sz w:val="24"/>
          <w:szCs w:val="24"/>
        </w:rPr>
        <w:t xml:space="preserve"> 2020 Jun 13. PMID: 32535550; PMCID: PMC7298201).</w:t>
      </w:r>
    </w:p>
    <w:p w14:paraId="00000074" w14:textId="77777777" w:rsidR="00C3120B" w:rsidRDefault="00C3120B">
      <w:pPr>
        <w:rPr>
          <w:rFonts w:ascii="Times New Roman" w:eastAsia="Times New Roman" w:hAnsi="Times New Roman" w:cs="Times New Roman"/>
          <w:sz w:val="24"/>
          <w:szCs w:val="24"/>
        </w:rPr>
      </w:pPr>
    </w:p>
    <w:p w14:paraId="00000075" w14:textId="77777777" w:rsidR="00C3120B" w:rsidRDefault="0068474E">
      <w:pPr>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We thank the reviewer for pointing out Bambra et al (2020)’s article. We have included this reference and reinforced the point that based on previous research the impact of pandemics has affecte</w:t>
      </w:r>
      <w:r>
        <w:rPr>
          <w:rFonts w:ascii="Times New Roman" w:eastAsia="Times New Roman" w:hAnsi="Times New Roman" w:cs="Times New Roman"/>
          <w:color w:val="4A86E8"/>
          <w:sz w:val="24"/>
          <w:szCs w:val="24"/>
        </w:rPr>
        <w:t xml:space="preserve">d more populations in lower socioeconomic groups and also that there are potential long-term impacts on life expectancy and lifespan inequality. More research at the subgroup level is </w:t>
      </w:r>
      <w:r>
        <w:rPr>
          <w:rFonts w:ascii="Times New Roman" w:eastAsia="Times New Roman" w:hAnsi="Times New Roman" w:cs="Times New Roman"/>
          <w:color w:val="4A86E8"/>
          <w:sz w:val="24"/>
          <w:szCs w:val="24"/>
        </w:rPr>
        <w:lastRenderedPageBreak/>
        <w:t>needed to put in context our findings and we see this as a potential are</w:t>
      </w:r>
      <w:r>
        <w:rPr>
          <w:rFonts w:ascii="Times New Roman" w:eastAsia="Times New Roman" w:hAnsi="Times New Roman" w:cs="Times New Roman"/>
          <w:color w:val="4A86E8"/>
          <w:sz w:val="24"/>
          <w:szCs w:val="24"/>
        </w:rPr>
        <w:t>a of research work when data become available. We included the following:</w:t>
      </w:r>
    </w:p>
    <w:p w14:paraId="00000076" w14:textId="77777777" w:rsidR="00C3120B" w:rsidRDefault="00C3120B">
      <w:pPr>
        <w:rPr>
          <w:rFonts w:ascii="Times New Roman" w:eastAsia="Times New Roman" w:hAnsi="Times New Roman" w:cs="Times New Roman"/>
          <w:color w:val="4A86E8"/>
          <w:sz w:val="24"/>
          <w:szCs w:val="24"/>
        </w:rPr>
      </w:pPr>
    </w:p>
    <w:p w14:paraId="00000077" w14:textId="77777777" w:rsidR="00C3120B" w:rsidRDefault="0068474E">
      <w:pPr>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In contrast, the combination of the after-effects of Covid-19, such as the long term consequences of the disease on individuals' health</w:t>
      </w:r>
      <w:hyperlink r:id="rId13">
        <w:r>
          <w:rPr>
            <w:rFonts w:ascii="Times New Roman" w:eastAsia="Times New Roman" w:hAnsi="Times New Roman" w:cs="Times New Roman"/>
            <w:i/>
            <w:color w:val="4A86E8"/>
            <w:sz w:val="24"/>
            <w:szCs w:val="24"/>
          </w:rPr>
          <w:t>[39]</w:t>
        </w:r>
      </w:hyperlink>
      <w:r>
        <w:rPr>
          <w:rFonts w:ascii="Times New Roman" w:eastAsia="Times New Roman" w:hAnsi="Times New Roman" w:cs="Times New Roman"/>
          <w:i/>
          <w:color w:val="4A86E8"/>
          <w:sz w:val="24"/>
          <w:szCs w:val="24"/>
        </w:rPr>
        <w:t xml:space="preserve">, the implications of lockdown and non-pharmaceutical interventions on </w:t>
      </w:r>
      <w:proofErr w:type="spellStart"/>
      <w:r>
        <w:rPr>
          <w:rFonts w:ascii="Times New Roman" w:eastAsia="Times New Roman" w:hAnsi="Times New Roman" w:cs="Times New Roman"/>
          <w:i/>
          <w:color w:val="4A86E8"/>
          <w:sz w:val="24"/>
          <w:szCs w:val="24"/>
        </w:rPr>
        <w:t>behaviours</w:t>
      </w:r>
      <w:proofErr w:type="spellEnd"/>
      <w:r>
        <w:rPr>
          <w:rFonts w:ascii="Times New Roman" w:eastAsia="Times New Roman" w:hAnsi="Times New Roman" w:cs="Times New Roman"/>
          <w:i/>
          <w:color w:val="4A86E8"/>
          <w:sz w:val="24"/>
          <w:szCs w:val="24"/>
        </w:rPr>
        <w:t xml:space="preserve"> and mental health </w:t>
      </w:r>
      <w:hyperlink r:id="rId14">
        <w:r>
          <w:rPr>
            <w:rFonts w:ascii="Times New Roman" w:eastAsia="Times New Roman" w:hAnsi="Times New Roman" w:cs="Times New Roman"/>
            <w:i/>
            <w:color w:val="4A86E8"/>
            <w:sz w:val="24"/>
            <w:szCs w:val="24"/>
          </w:rPr>
          <w:t>[40]</w:t>
        </w:r>
      </w:hyperlink>
      <w:r>
        <w:rPr>
          <w:rFonts w:ascii="Times New Roman" w:eastAsia="Times New Roman" w:hAnsi="Times New Roman" w:cs="Times New Roman"/>
          <w:i/>
          <w:color w:val="4A86E8"/>
          <w:sz w:val="24"/>
          <w:szCs w:val="24"/>
        </w:rPr>
        <w:t>, cancer treatment delay associated with increased mortality</w:t>
      </w:r>
      <w:hyperlink r:id="rId15">
        <w:r>
          <w:rPr>
            <w:rFonts w:ascii="Times New Roman" w:eastAsia="Times New Roman" w:hAnsi="Times New Roman" w:cs="Times New Roman"/>
            <w:i/>
            <w:color w:val="4A86E8"/>
            <w:sz w:val="24"/>
            <w:szCs w:val="24"/>
          </w:rPr>
          <w:t>[41]</w:t>
        </w:r>
      </w:hyperlink>
      <w:r>
        <w:rPr>
          <w:rFonts w:ascii="Times New Roman" w:eastAsia="Times New Roman" w:hAnsi="Times New Roman" w:cs="Times New Roman"/>
          <w:i/>
          <w:color w:val="4A86E8"/>
          <w:sz w:val="24"/>
          <w:szCs w:val="24"/>
        </w:rPr>
        <w:t>, and the unequal impact of Covid-19 across subgroups by age, sex, ethnicity, SES and regions</w:t>
      </w:r>
      <w:hyperlink r:id="rId16">
        <w:r>
          <w:rPr>
            <w:rFonts w:ascii="Times New Roman" w:eastAsia="Times New Roman" w:hAnsi="Times New Roman" w:cs="Times New Roman"/>
            <w:i/>
            <w:color w:val="4A86E8"/>
            <w:sz w:val="24"/>
            <w:szCs w:val="24"/>
          </w:rPr>
          <w:t>[42,43]</w:t>
        </w:r>
      </w:hyperlink>
      <w:r>
        <w:rPr>
          <w:rFonts w:ascii="Times New Roman" w:eastAsia="Times New Roman" w:hAnsi="Times New Roman" w:cs="Times New Roman"/>
          <w:i/>
          <w:color w:val="4A86E8"/>
          <w:sz w:val="24"/>
          <w:szCs w:val="24"/>
        </w:rPr>
        <w:t>, can create an unseen mortality profi</w:t>
      </w:r>
      <w:r>
        <w:rPr>
          <w:rFonts w:ascii="Times New Roman" w:eastAsia="Times New Roman" w:hAnsi="Times New Roman" w:cs="Times New Roman"/>
          <w:i/>
          <w:color w:val="4A86E8"/>
          <w:sz w:val="24"/>
          <w:szCs w:val="24"/>
        </w:rPr>
        <w:t>le that can maintain life expectancy at lower levels than beyond the short-term into the medium-term.</w:t>
      </w:r>
    </w:p>
    <w:p w14:paraId="00000078" w14:textId="77777777" w:rsidR="00C3120B" w:rsidRDefault="00C3120B">
      <w:pPr>
        <w:rPr>
          <w:rFonts w:ascii="Times New Roman" w:eastAsia="Times New Roman" w:hAnsi="Times New Roman" w:cs="Times New Roman"/>
          <w:i/>
          <w:color w:val="4A86E8"/>
          <w:sz w:val="24"/>
          <w:szCs w:val="24"/>
        </w:rPr>
      </w:pPr>
    </w:p>
    <w:p w14:paraId="00000079" w14:textId="77777777" w:rsidR="00C3120B" w:rsidRDefault="00C3120B">
      <w:pPr>
        <w:rPr>
          <w:rFonts w:ascii="Times New Roman" w:eastAsia="Times New Roman" w:hAnsi="Times New Roman" w:cs="Times New Roman"/>
          <w:sz w:val="24"/>
          <w:szCs w:val="24"/>
        </w:rPr>
      </w:pPr>
    </w:p>
    <w:p w14:paraId="0000007A" w14:textId="77777777" w:rsidR="00C3120B" w:rsidRDefault="006847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used in the reply to reviewers</w:t>
      </w:r>
    </w:p>
    <w:p w14:paraId="0000007B" w14:textId="77777777" w:rsidR="00C3120B" w:rsidRDefault="00C3120B">
      <w:pPr>
        <w:spacing w:line="324" w:lineRule="auto"/>
        <w:ind w:left="880" w:hanging="440"/>
        <w:rPr>
          <w:rFonts w:ascii="Times New Roman" w:eastAsia="Times New Roman" w:hAnsi="Times New Roman" w:cs="Times New Roman"/>
          <w:sz w:val="24"/>
          <w:szCs w:val="24"/>
        </w:rPr>
      </w:pPr>
    </w:p>
    <w:p w14:paraId="0000007C"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Aburto, José Manuel, Francisco Villavicencio, </w:t>
      </w:r>
      <w:proofErr w:type="spellStart"/>
      <w:r>
        <w:rPr>
          <w:rFonts w:ascii="Times New Roman" w:eastAsia="Times New Roman" w:hAnsi="Times New Roman" w:cs="Times New Roman"/>
          <w:color w:val="4A86E8"/>
          <w:sz w:val="24"/>
          <w:szCs w:val="24"/>
        </w:rPr>
        <w:t>Ugofilippo</w:t>
      </w:r>
      <w:proofErr w:type="spellEnd"/>
      <w:r>
        <w:rPr>
          <w:rFonts w:ascii="Times New Roman" w:eastAsia="Times New Roman" w:hAnsi="Times New Roman" w:cs="Times New Roman"/>
          <w:color w:val="4A86E8"/>
          <w:sz w:val="24"/>
          <w:szCs w:val="24"/>
        </w:rPr>
        <w:t xml:space="preserve"> </w:t>
      </w:r>
      <w:proofErr w:type="spellStart"/>
      <w:r>
        <w:rPr>
          <w:rFonts w:ascii="Times New Roman" w:eastAsia="Times New Roman" w:hAnsi="Times New Roman" w:cs="Times New Roman"/>
          <w:color w:val="4A86E8"/>
          <w:sz w:val="24"/>
          <w:szCs w:val="24"/>
        </w:rPr>
        <w:t>Basellini</w:t>
      </w:r>
      <w:proofErr w:type="spellEnd"/>
      <w:r>
        <w:rPr>
          <w:rFonts w:ascii="Times New Roman" w:eastAsia="Times New Roman" w:hAnsi="Times New Roman" w:cs="Times New Roman"/>
          <w:color w:val="4A86E8"/>
          <w:sz w:val="24"/>
          <w:szCs w:val="24"/>
        </w:rPr>
        <w:t xml:space="preserve">, </w:t>
      </w:r>
      <w:proofErr w:type="spellStart"/>
      <w:r>
        <w:rPr>
          <w:rFonts w:ascii="Times New Roman" w:eastAsia="Times New Roman" w:hAnsi="Times New Roman" w:cs="Times New Roman"/>
          <w:color w:val="4A86E8"/>
          <w:sz w:val="24"/>
          <w:szCs w:val="24"/>
        </w:rPr>
        <w:t>Søren</w:t>
      </w:r>
      <w:proofErr w:type="spellEnd"/>
      <w:r>
        <w:rPr>
          <w:rFonts w:ascii="Times New Roman" w:eastAsia="Times New Roman" w:hAnsi="Times New Roman" w:cs="Times New Roman"/>
          <w:color w:val="4A86E8"/>
          <w:sz w:val="24"/>
          <w:szCs w:val="24"/>
        </w:rPr>
        <w:t xml:space="preserve"> </w:t>
      </w:r>
      <w:proofErr w:type="spellStart"/>
      <w:r>
        <w:rPr>
          <w:rFonts w:ascii="Times New Roman" w:eastAsia="Times New Roman" w:hAnsi="Times New Roman" w:cs="Times New Roman"/>
          <w:color w:val="4A86E8"/>
          <w:sz w:val="24"/>
          <w:szCs w:val="24"/>
        </w:rPr>
        <w:t>Kjærgaard</w:t>
      </w:r>
      <w:proofErr w:type="spellEnd"/>
      <w:r>
        <w:rPr>
          <w:rFonts w:ascii="Times New Roman" w:eastAsia="Times New Roman" w:hAnsi="Times New Roman" w:cs="Times New Roman"/>
          <w:color w:val="4A86E8"/>
          <w:sz w:val="24"/>
          <w:szCs w:val="24"/>
        </w:rPr>
        <w:t xml:space="preserve">, and James W. Vaupel. ‘Dynamics of Life Expectancy and Life Span Equality’. </w:t>
      </w:r>
      <w:r>
        <w:rPr>
          <w:rFonts w:ascii="Times New Roman" w:eastAsia="Times New Roman" w:hAnsi="Times New Roman" w:cs="Times New Roman"/>
          <w:i/>
          <w:color w:val="4A86E8"/>
          <w:sz w:val="24"/>
          <w:szCs w:val="24"/>
        </w:rPr>
        <w:t>Proceedings of the National Academy of Sciences</w:t>
      </w:r>
      <w:r>
        <w:rPr>
          <w:rFonts w:ascii="Times New Roman" w:eastAsia="Times New Roman" w:hAnsi="Times New Roman" w:cs="Times New Roman"/>
          <w:color w:val="4A86E8"/>
          <w:sz w:val="24"/>
          <w:szCs w:val="24"/>
        </w:rPr>
        <w:t xml:space="preserve"> 117, no. 10 (10 March 2020): 5250–59.</w:t>
      </w:r>
      <w:hyperlink r:id="rId17">
        <w:r>
          <w:rPr>
            <w:rFonts w:ascii="Times New Roman" w:eastAsia="Times New Roman" w:hAnsi="Times New Roman" w:cs="Times New Roman"/>
            <w:color w:val="4A86E8"/>
            <w:sz w:val="24"/>
            <w:szCs w:val="24"/>
          </w:rPr>
          <w:t xml:space="preserve"> </w:t>
        </w:r>
      </w:hyperlink>
      <w:hyperlink r:id="rId18">
        <w:r>
          <w:rPr>
            <w:rFonts w:ascii="Times New Roman" w:eastAsia="Times New Roman" w:hAnsi="Times New Roman" w:cs="Times New Roman"/>
            <w:color w:val="4A86E8"/>
            <w:sz w:val="24"/>
            <w:szCs w:val="24"/>
            <w:u w:val="single"/>
          </w:rPr>
          <w:t>https://doi.org/10.1073/pnas.1915884117</w:t>
        </w:r>
      </w:hyperlink>
      <w:r>
        <w:rPr>
          <w:rFonts w:ascii="Times New Roman" w:eastAsia="Times New Roman" w:hAnsi="Times New Roman" w:cs="Times New Roman"/>
          <w:color w:val="4A86E8"/>
          <w:sz w:val="24"/>
          <w:szCs w:val="24"/>
        </w:rPr>
        <w:t>.</w:t>
      </w:r>
    </w:p>
    <w:p w14:paraId="0000007D" w14:textId="77777777" w:rsidR="00C3120B" w:rsidRDefault="00C3120B">
      <w:pPr>
        <w:spacing w:line="324" w:lineRule="auto"/>
        <w:ind w:left="880" w:hanging="440"/>
        <w:rPr>
          <w:rFonts w:ascii="Times New Roman" w:eastAsia="Times New Roman" w:hAnsi="Times New Roman" w:cs="Times New Roman"/>
          <w:sz w:val="24"/>
          <w:szCs w:val="24"/>
        </w:rPr>
      </w:pPr>
    </w:p>
    <w:p w14:paraId="0000007E"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Bambra, Clare, Ryan Riordan, John Ford, and Fiona Matthews. ‘The COVID-19 Pandemic and Health Inequalities</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i/>
          <w:color w:val="4A86E8"/>
          <w:sz w:val="24"/>
          <w:szCs w:val="24"/>
        </w:rPr>
        <w:t>J Epidemiol Community Health</w:t>
      </w:r>
      <w:r>
        <w:rPr>
          <w:rFonts w:ascii="Times New Roman" w:eastAsia="Times New Roman" w:hAnsi="Times New Roman" w:cs="Times New Roman"/>
          <w:color w:val="4A86E8"/>
          <w:sz w:val="24"/>
          <w:szCs w:val="24"/>
        </w:rPr>
        <w:t xml:space="preserve"> 74, no. 11 (1 November 2020): 964–68.</w:t>
      </w:r>
      <w:hyperlink r:id="rId19">
        <w:r>
          <w:rPr>
            <w:rFonts w:ascii="Times New Roman" w:eastAsia="Times New Roman" w:hAnsi="Times New Roman" w:cs="Times New Roman"/>
            <w:color w:val="4A86E8"/>
            <w:sz w:val="24"/>
            <w:szCs w:val="24"/>
          </w:rPr>
          <w:t xml:space="preserve"> </w:t>
        </w:r>
      </w:hyperlink>
      <w:hyperlink r:id="rId20">
        <w:r>
          <w:rPr>
            <w:rFonts w:ascii="Times New Roman" w:eastAsia="Times New Roman" w:hAnsi="Times New Roman" w:cs="Times New Roman"/>
            <w:color w:val="4A86E8"/>
            <w:sz w:val="24"/>
            <w:szCs w:val="24"/>
            <w:u w:val="single"/>
          </w:rPr>
          <w:t>https://doi.org/10.1136/jech-2020-214401</w:t>
        </w:r>
      </w:hyperlink>
      <w:r>
        <w:rPr>
          <w:rFonts w:ascii="Times New Roman" w:eastAsia="Times New Roman" w:hAnsi="Times New Roman" w:cs="Times New Roman"/>
          <w:color w:val="4A86E8"/>
          <w:sz w:val="24"/>
          <w:szCs w:val="24"/>
        </w:rPr>
        <w:t>.</w:t>
      </w:r>
    </w:p>
    <w:p w14:paraId="0000007F" w14:textId="77777777" w:rsidR="00C3120B" w:rsidRDefault="00C3120B">
      <w:pPr>
        <w:rPr>
          <w:rFonts w:ascii="Times New Roman" w:eastAsia="Times New Roman" w:hAnsi="Times New Roman" w:cs="Times New Roman"/>
          <w:sz w:val="24"/>
          <w:szCs w:val="24"/>
        </w:rPr>
      </w:pPr>
    </w:p>
    <w:p w14:paraId="00000080"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Hanna, Timothy P., Will</w:t>
      </w:r>
      <w:r>
        <w:rPr>
          <w:rFonts w:ascii="Times New Roman" w:eastAsia="Times New Roman" w:hAnsi="Times New Roman" w:cs="Times New Roman"/>
          <w:color w:val="4A86E8"/>
          <w:sz w:val="24"/>
          <w:szCs w:val="24"/>
        </w:rPr>
        <w:t xml:space="preserve"> D. King, Stephane Thibodeau, Matthew </w:t>
      </w:r>
      <w:proofErr w:type="spellStart"/>
      <w:r>
        <w:rPr>
          <w:rFonts w:ascii="Times New Roman" w:eastAsia="Times New Roman" w:hAnsi="Times New Roman" w:cs="Times New Roman"/>
          <w:color w:val="4A86E8"/>
          <w:sz w:val="24"/>
          <w:szCs w:val="24"/>
        </w:rPr>
        <w:t>Jalink</w:t>
      </w:r>
      <w:proofErr w:type="spellEnd"/>
      <w:r>
        <w:rPr>
          <w:rFonts w:ascii="Times New Roman" w:eastAsia="Times New Roman" w:hAnsi="Times New Roman" w:cs="Times New Roman"/>
          <w:color w:val="4A86E8"/>
          <w:sz w:val="24"/>
          <w:szCs w:val="24"/>
        </w:rPr>
        <w:t xml:space="preserve">, Gregory A. Paulin, Elizabeth Harvey-Jones, Dylan E. O’Sullivan, Christopher M. Booth, Richard Sullivan, and Ajay Aggarwal. ‘Mortality Due to Cancer Treatment Delay: Systematic Review and Meta-Analysis’. </w:t>
      </w:r>
      <w:r>
        <w:rPr>
          <w:rFonts w:ascii="Times New Roman" w:eastAsia="Times New Roman" w:hAnsi="Times New Roman" w:cs="Times New Roman"/>
          <w:i/>
          <w:color w:val="4A86E8"/>
          <w:sz w:val="24"/>
          <w:szCs w:val="24"/>
        </w:rPr>
        <w:t>BMJ</w:t>
      </w:r>
      <w:r>
        <w:rPr>
          <w:rFonts w:ascii="Times New Roman" w:eastAsia="Times New Roman" w:hAnsi="Times New Roman" w:cs="Times New Roman"/>
          <w:color w:val="4A86E8"/>
          <w:sz w:val="24"/>
          <w:szCs w:val="24"/>
        </w:rPr>
        <w:t xml:space="preserve"> 371</w:t>
      </w:r>
      <w:r>
        <w:rPr>
          <w:rFonts w:ascii="Times New Roman" w:eastAsia="Times New Roman" w:hAnsi="Times New Roman" w:cs="Times New Roman"/>
          <w:color w:val="4A86E8"/>
          <w:sz w:val="24"/>
          <w:szCs w:val="24"/>
        </w:rPr>
        <w:t xml:space="preserve"> (4 November 2020).</w:t>
      </w:r>
      <w:hyperlink r:id="rId21">
        <w:r>
          <w:rPr>
            <w:rFonts w:ascii="Times New Roman" w:eastAsia="Times New Roman" w:hAnsi="Times New Roman" w:cs="Times New Roman"/>
            <w:color w:val="4A86E8"/>
            <w:sz w:val="24"/>
            <w:szCs w:val="24"/>
          </w:rPr>
          <w:t xml:space="preserve"> </w:t>
        </w:r>
      </w:hyperlink>
      <w:hyperlink r:id="rId22">
        <w:r>
          <w:rPr>
            <w:rFonts w:ascii="Times New Roman" w:eastAsia="Times New Roman" w:hAnsi="Times New Roman" w:cs="Times New Roman"/>
            <w:color w:val="4A86E8"/>
            <w:sz w:val="24"/>
            <w:szCs w:val="24"/>
            <w:u w:val="single"/>
          </w:rPr>
          <w:t>https://doi.org/10.1136/bmj.m4087</w:t>
        </w:r>
      </w:hyperlink>
      <w:r>
        <w:rPr>
          <w:rFonts w:ascii="Times New Roman" w:eastAsia="Times New Roman" w:hAnsi="Times New Roman" w:cs="Times New Roman"/>
          <w:color w:val="4A86E8"/>
          <w:sz w:val="24"/>
          <w:szCs w:val="24"/>
        </w:rPr>
        <w:t>.</w:t>
      </w:r>
    </w:p>
    <w:p w14:paraId="00000081" w14:textId="77777777" w:rsidR="00C3120B" w:rsidRDefault="00C3120B">
      <w:pPr>
        <w:rPr>
          <w:rFonts w:ascii="Times New Roman" w:eastAsia="Times New Roman" w:hAnsi="Times New Roman" w:cs="Times New Roman"/>
          <w:sz w:val="24"/>
          <w:szCs w:val="24"/>
        </w:rPr>
      </w:pPr>
    </w:p>
    <w:p w14:paraId="00000082" w14:textId="77777777" w:rsidR="00C3120B" w:rsidRDefault="0068474E">
      <w:pPr>
        <w:spacing w:line="324" w:lineRule="auto"/>
        <w:ind w:left="880" w:hanging="440"/>
        <w:rPr>
          <w:rFonts w:ascii="Times New Roman" w:eastAsia="Times New Roman" w:hAnsi="Times New Roman" w:cs="Times New Roman"/>
          <w:color w:val="4A86E8"/>
          <w:sz w:val="24"/>
          <w:szCs w:val="24"/>
        </w:rPr>
      </w:pPr>
      <w:proofErr w:type="spellStart"/>
      <w:r>
        <w:rPr>
          <w:rFonts w:ascii="Times New Roman" w:eastAsia="Times New Roman" w:hAnsi="Times New Roman" w:cs="Times New Roman"/>
          <w:color w:val="4A86E8"/>
          <w:sz w:val="24"/>
          <w:szCs w:val="24"/>
        </w:rPr>
        <w:t>Mahase</w:t>
      </w:r>
      <w:proofErr w:type="spellEnd"/>
      <w:r>
        <w:rPr>
          <w:rFonts w:ascii="Times New Roman" w:eastAsia="Times New Roman" w:hAnsi="Times New Roman" w:cs="Times New Roman"/>
          <w:color w:val="4A86E8"/>
          <w:sz w:val="24"/>
          <w:szCs w:val="24"/>
        </w:rPr>
        <w:t xml:space="preserve">, Elisabeth. ‘Covid-19: What Do We Know about “Long </w:t>
      </w:r>
      <w:proofErr w:type="spellStart"/>
      <w:r>
        <w:rPr>
          <w:rFonts w:ascii="Times New Roman" w:eastAsia="Times New Roman" w:hAnsi="Times New Roman" w:cs="Times New Roman"/>
          <w:color w:val="4A86E8"/>
          <w:sz w:val="24"/>
          <w:szCs w:val="24"/>
        </w:rPr>
        <w:t>Covid</w:t>
      </w:r>
      <w:proofErr w:type="spellEnd"/>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i/>
          <w:color w:val="4A86E8"/>
          <w:sz w:val="24"/>
          <w:szCs w:val="24"/>
        </w:rPr>
        <w:t>BMJ</w:t>
      </w:r>
      <w:r>
        <w:rPr>
          <w:rFonts w:ascii="Times New Roman" w:eastAsia="Times New Roman" w:hAnsi="Times New Roman" w:cs="Times New Roman"/>
          <w:color w:val="4A86E8"/>
          <w:sz w:val="24"/>
          <w:szCs w:val="24"/>
        </w:rPr>
        <w:t xml:space="preserve"> 370 (14 July 2020).</w:t>
      </w:r>
      <w:hyperlink r:id="rId23">
        <w:r>
          <w:rPr>
            <w:rFonts w:ascii="Times New Roman" w:eastAsia="Times New Roman" w:hAnsi="Times New Roman" w:cs="Times New Roman"/>
            <w:color w:val="4A86E8"/>
            <w:sz w:val="24"/>
            <w:szCs w:val="24"/>
          </w:rPr>
          <w:t xml:space="preserve"> </w:t>
        </w:r>
      </w:hyperlink>
      <w:hyperlink r:id="rId24">
        <w:r>
          <w:rPr>
            <w:rFonts w:ascii="Times New Roman" w:eastAsia="Times New Roman" w:hAnsi="Times New Roman" w:cs="Times New Roman"/>
            <w:color w:val="4A86E8"/>
            <w:sz w:val="24"/>
            <w:szCs w:val="24"/>
            <w:u w:val="single"/>
          </w:rPr>
          <w:t>https://doi.org/10.1136/bmj.m2815</w:t>
        </w:r>
      </w:hyperlink>
      <w:r>
        <w:rPr>
          <w:rFonts w:ascii="Times New Roman" w:eastAsia="Times New Roman" w:hAnsi="Times New Roman" w:cs="Times New Roman"/>
          <w:color w:val="4A86E8"/>
          <w:sz w:val="24"/>
          <w:szCs w:val="24"/>
        </w:rPr>
        <w:t>.</w:t>
      </w:r>
    </w:p>
    <w:p w14:paraId="00000083" w14:textId="77777777" w:rsidR="00C3120B" w:rsidRDefault="00C3120B">
      <w:pPr>
        <w:rPr>
          <w:rFonts w:ascii="Times New Roman" w:eastAsia="Times New Roman" w:hAnsi="Times New Roman" w:cs="Times New Roman"/>
          <w:sz w:val="24"/>
          <w:szCs w:val="24"/>
        </w:rPr>
      </w:pPr>
    </w:p>
    <w:p w14:paraId="00000084"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Mills, Melinda C., Charles Rahal, David M. Brazel, and Sofia </w:t>
      </w:r>
      <w:proofErr w:type="spellStart"/>
      <w:r>
        <w:rPr>
          <w:rFonts w:ascii="Times New Roman" w:eastAsia="Times New Roman" w:hAnsi="Times New Roman" w:cs="Times New Roman"/>
          <w:color w:val="4A86E8"/>
          <w:sz w:val="24"/>
          <w:szCs w:val="24"/>
        </w:rPr>
        <w:t>Gieysztor</w:t>
      </w:r>
      <w:proofErr w:type="spellEnd"/>
      <w:r>
        <w:rPr>
          <w:rFonts w:ascii="Times New Roman" w:eastAsia="Times New Roman" w:hAnsi="Times New Roman" w:cs="Times New Roman"/>
          <w:color w:val="4A86E8"/>
          <w:sz w:val="24"/>
          <w:szCs w:val="24"/>
        </w:rPr>
        <w:t xml:space="preserve">. ‘COVID-19 Vaccine Deployment: </w:t>
      </w:r>
      <w:proofErr w:type="spellStart"/>
      <w:r>
        <w:rPr>
          <w:rFonts w:ascii="Times New Roman" w:eastAsia="Times New Roman" w:hAnsi="Times New Roman" w:cs="Times New Roman"/>
          <w:color w:val="4A86E8"/>
          <w:sz w:val="24"/>
          <w:szCs w:val="24"/>
        </w:rPr>
        <w:t>Behaviour</w:t>
      </w:r>
      <w:proofErr w:type="spellEnd"/>
      <w:r>
        <w:rPr>
          <w:rFonts w:ascii="Times New Roman" w:eastAsia="Times New Roman" w:hAnsi="Times New Roman" w:cs="Times New Roman"/>
          <w:color w:val="4A86E8"/>
          <w:sz w:val="24"/>
          <w:szCs w:val="24"/>
        </w:rPr>
        <w:t>, Ethics, Misinformation and Policy Strategies’. Royal Society SET-C Report, Accessed 26 November 2020.</w:t>
      </w:r>
      <w:hyperlink r:id="rId25">
        <w:r>
          <w:rPr>
            <w:rFonts w:ascii="Times New Roman" w:eastAsia="Times New Roman" w:hAnsi="Times New Roman" w:cs="Times New Roman"/>
            <w:color w:val="4A86E8"/>
            <w:sz w:val="24"/>
            <w:szCs w:val="24"/>
          </w:rPr>
          <w:t xml:space="preserve"> </w:t>
        </w:r>
      </w:hyperlink>
      <w:hyperlink r:id="rId26">
        <w:r>
          <w:rPr>
            <w:rFonts w:ascii="Times New Roman" w:eastAsia="Times New Roman" w:hAnsi="Times New Roman" w:cs="Times New Roman"/>
            <w:color w:val="4A86E8"/>
            <w:sz w:val="24"/>
            <w:szCs w:val="24"/>
            <w:u w:val="single"/>
          </w:rPr>
          <w:t>https://royalsociety.org/news/2020/11/vaccine-hesitancy-threate</w:t>
        </w:r>
        <w:r>
          <w:rPr>
            <w:rFonts w:ascii="Times New Roman" w:eastAsia="Times New Roman" w:hAnsi="Times New Roman" w:cs="Times New Roman"/>
            <w:color w:val="4A86E8"/>
            <w:sz w:val="24"/>
            <w:szCs w:val="24"/>
            <w:u w:val="single"/>
          </w:rPr>
          <w:t>ns-to-undermine-pandemic-response/</w:t>
        </w:r>
      </w:hyperlink>
      <w:r>
        <w:rPr>
          <w:rFonts w:ascii="Times New Roman" w:eastAsia="Times New Roman" w:hAnsi="Times New Roman" w:cs="Times New Roman"/>
          <w:color w:val="4A86E8"/>
          <w:sz w:val="24"/>
          <w:szCs w:val="24"/>
        </w:rPr>
        <w:t>.</w:t>
      </w:r>
    </w:p>
    <w:p w14:paraId="00000085" w14:textId="77777777" w:rsidR="00C3120B" w:rsidRDefault="00C3120B">
      <w:pPr>
        <w:rPr>
          <w:rFonts w:ascii="Times New Roman" w:eastAsia="Times New Roman" w:hAnsi="Times New Roman" w:cs="Times New Roman"/>
          <w:sz w:val="24"/>
          <w:szCs w:val="24"/>
        </w:rPr>
      </w:pPr>
    </w:p>
    <w:p w14:paraId="00000086" w14:textId="77777777" w:rsidR="00C3120B" w:rsidRDefault="0068474E">
      <w:pPr>
        <w:spacing w:line="324" w:lineRule="auto"/>
        <w:ind w:left="880" w:hanging="440"/>
        <w:rPr>
          <w:rFonts w:ascii="Times New Roman" w:eastAsia="Times New Roman" w:hAnsi="Times New Roman" w:cs="Times New Roman"/>
          <w:color w:val="4A86E8"/>
          <w:sz w:val="24"/>
          <w:szCs w:val="24"/>
        </w:rPr>
      </w:pPr>
      <w:proofErr w:type="spellStart"/>
      <w:r>
        <w:rPr>
          <w:rFonts w:ascii="Times New Roman" w:eastAsia="Times New Roman" w:hAnsi="Times New Roman" w:cs="Times New Roman"/>
          <w:color w:val="4A86E8"/>
          <w:sz w:val="24"/>
          <w:szCs w:val="24"/>
        </w:rPr>
        <w:lastRenderedPageBreak/>
        <w:t>Tuljapurkar</w:t>
      </w:r>
      <w:proofErr w:type="spellEnd"/>
      <w:r>
        <w:rPr>
          <w:rFonts w:ascii="Times New Roman" w:eastAsia="Times New Roman" w:hAnsi="Times New Roman" w:cs="Times New Roman"/>
          <w:color w:val="4A86E8"/>
          <w:sz w:val="24"/>
          <w:szCs w:val="24"/>
        </w:rPr>
        <w:t>, Shripad. ‘The Final Inequality: Variance in Age at Death’. National Bureau of Economic Research, 22 November 2010.</w:t>
      </w:r>
      <w:hyperlink r:id="rId27">
        <w:r>
          <w:rPr>
            <w:rFonts w:ascii="Times New Roman" w:eastAsia="Times New Roman" w:hAnsi="Times New Roman" w:cs="Times New Roman"/>
            <w:color w:val="4A86E8"/>
            <w:sz w:val="24"/>
            <w:szCs w:val="24"/>
          </w:rPr>
          <w:t xml:space="preserve"> </w:t>
        </w:r>
      </w:hyperlink>
      <w:hyperlink r:id="rId28">
        <w:r>
          <w:rPr>
            <w:rFonts w:ascii="Times New Roman" w:eastAsia="Times New Roman" w:hAnsi="Times New Roman" w:cs="Times New Roman"/>
            <w:color w:val="4A86E8"/>
            <w:sz w:val="24"/>
            <w:szCs w:val="24"/>
            <w:u w:val="single"/>
          </w:rPr>
          <w:t>https://www.nber.org/books-and-chapters/demography-and-economy/final-inequality-variance-age-death</w:t>
        </w:r>
      </w:hyperlink>
      <w:r>
        <w:rPr>
          <w:rFonts w:ascii="Times New Roman" w:eastAsia="Times New Roman" w:hAnsi="Times New Roman" w:cs="Times New Roman"/>
          <w:color w:val="4A86E8"/>
          <w:sz w:val="24"/>
          <w:szCs w:val="24"/>
        </w:rPr>
        <w:t>.</w:t>
      </w:r>
    </w:p>
    <w:p w14:paraId="00000087"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88"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Raalte, Al</w:t>
      </w:r>
      <w:r>
        <w:rPr>
          <w:rFonts w:ascii="Times New Roman" w:eastAsia="Times New Roman" w:hAnsi="Times New Roman" w:cs="Times New Roman"/>
          <w:color w:val="4A86E8"/>
          <w:sz w:val="24"/>
          <w:szCs w:val="24"/>
        </w:rPr>
        <w:t xml:space="preserve">yson A. van, Isaac </w:t>
      </w:r>
      <w:proofErr w:type="spellStart"/>
      <w:r>
        <w:rPr>
          <w:rFonts w:ascii="Times New Roman" w:eastAsia="Times New Roman" w:hAnsi="Times New Roman" w:cs="Times New Roman"/>
          <w:color w:val="4A86E8"/>
          <w:sz w:val="24"/>
          <w:szCs w:val="24"/>
        </w:rPr>
        <w:t>Sasson</w:t>
      </w:r>
      <w:proofErr w:type="spellEnd"/>
      <w:r>
        <w:rPr>
          <w:rFonts w:ascii="Times New Roman" w:eastAsia="Times New Roman" w:hAnsi="Times New Roman" w:cs="Times New Roman"/>
          <w:color w:val="4A86E8"/>
          <w:sz w:val="24"/>
          <w:szCs w:val="24"/>
        </w:rPr>
        <w:t xml:space="preserve">, and </w:t>
      </w:r>
      <w:proofErr w:type="spellStart"/>
      <w:r>
        <w:rPr>
          <w:rFonts w:ascii="Times New Roman" w:eastAsia="Times New Roman" w:hAnsi="Times New Roman" w:cs="Times New Roman"/>
          <w:color w:val="4A86E8"/>
          <w:sz w:val="24"/>
          <w:szCs w:val="24"/>
        </w:rPr>
        <w:t>Pekka</w:t>
      </w:r>
      <w:proofErr w:type="spellEnd"/>
      <w:r>
        <w:rPr>
          <w:rFonts w:ascii="Times New Roman" w:eastAsia="Times New Roman" w:hAnsi="Times New Roman" w:cs="Times New Roman"/>
          <w:color w:val="4A86E8"/>
          <w:sz w:val="24"/>
          <w:szCs w:val="24"/>
        </w:rPr>
        <w:t xml:space="preserve"> </w:t>
      </w:r>
      <w:proofErr w:type="spellStart"/>
      <w:r>
        <w:rPr>
          <w:rFonts w:ascii="Times New Roman" w:eastAsia="Times New Roman" w:hAnsi="Times New Roman" w:cs="Times New Roman"/>
          <w:color w:val="4A86E8"/>
          <w:sz w:val="24"/>
          <w:szCs w:val="24"/>
        </w:rPr>
        <w:t>Martikainen</w:t>
      </w:r>
      <w:proofErr w:type="spellEnd"/>
      <w:r>
        <w:rPr>
          <w:rFonts w:ascii="Times New Roman" w:eastAsia="Times New Roman" w:hAnsi="Times New Roman" w:cs="Times New Roman"/>
          <w:color w:val="4A86E8"/>
          <w:sz w:val="24"/>
          <w:szCs w:val="24"/>
        </w:rPr>
        <w:t xml:space="preserve">. ‘The Case for Monitoring Life-Span Inequality’. </w:t>
      </w:r>
      <w:r>
        <w:rPr>
          <w:rFonts w:ascii="Times New Roman" w:eastAsia="Times New Roman" w:hAnsi="Times New Roman" w:cs="Times New Roman"/>
          <w:i/>
          <w:color w:val="4A86E8"/>
          <w:sz w:val="24"/>
          <w:szCs w:val="24"/>
        </w:rPr>
        <w:t>Science</w:t>
      </w:r>
      <w:r>
        <w:rPr>
          <w:rFonts w:ascii="Times New Roman" w:eastAsia="Times New Roman" w:hAnsi="Times New Roman" w:cs="Times New Roman"/>
          <w:color w:val="4A86E8"/>
          <w:sz w:val="24"/>
          <w:szCs w:val="24"/>
        </w:rPr>
        <w:t xml:space="preserve"> 362, no. 6418 (30 November 2018): 1002–4.</w:t>
      </w:r>
      <w:hyperlink r:id="rId29">
        <w:r>
          <w:rPr>
            <w:rFonts w:ascii="Times New Roman" w:eastAsia="Times New Roman" w:hAnsi="Times New Roman" w:cs="Times New Roman"/>
            <w:color w:val="4A86E8"/>
            <w:sz w:val="24"/>
            <w:szCs w:val="24"/>
          </w:rPr>
          <w:t xml:space="preserve"> </w:t>
        </w:r>
      </w:hyperlink>
      <w:hyperlink r:id="rId30">
        <w:r>
          <w:rPr>
            <w:rFonts w:ascii="Times New Roman" w:eastAsia="Times New Roman" w:hAnsi="Times New Roman" w:cs="Times New Roman"/>
            <w:color w:val="4A86E8"/>
            <w:sz w:val="24"/>
            <w:szCs w:val="24"/>
            <w:u w:val="single"/>
          </w:rPr>
          <w:t>https://doi.org/10.1126/science.aau5811</w:t>
        </w:r>
      </w:hyperlink>
      <w:r>
        <w:rPr>
          <w:rFonts w:ascii="Times New Roman" w:eastAsia="Times New Roman" w:hAnsi="Times New Roman" w:cs="Times New Roman"/>
          <w:color w:val="4A86E8"/>
          <w:sz w:val="24"/>
          <w:szCs w:val="24"/>
        </w:rPr>
        <w:t>.</w:t>
      </w:r>
    </w:p>
    <w:p w14:paraId="00000089"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8A"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Seligman, Benjamin, Gabi Greenberg, and Shripad </w:t>
      </w:r>
      <w:proofErr w:type="spellStart"/>
      <w:r>
        <w:rPr>
          <w:rFonts w:ascii="Times New Roman" w:eastAsia="Times New Roman" w:hAnsi="Times New Roman" w:cs="Times New Roman"/>
          <w:color w:val="4A86E8"/>
          <w:sz w:val="24"/>
          <w:szCs w:val="24"/>
        </w:rPr>
        <w:t>Tuljapurkar</w:t>
      </w:r>
      <w:proofErr w:type="spellEnd"/>
      <w:r>
        <w:rPr>
          <w:rFonts w:ascii="Times New Roman" w:eastAsia="Times New Roman" w:hAnsi="Times New Roman" w:cs="Times New Roman"/>
          <w:color w:val="4A86E8"/>
          <w:sz w:val="24"/>
          <w:szCs w:val="24"/>
        </w:rPr>
        <w:t xml:space="preserve">. ‘Equity and Length of Lifespan Are Not the Same’. </w:t>
      </w:r>
      <w:r>
        <w:rPr>
          <w:rFonts w:ascii="Times New Roman" w:eastAsia="Times New Roman" w:hAnsi="Times New Roman" w:cs="Times New Roman"/>
          <w:i/>
          <w:color w:val="4A86E8"/>
          <w:sz w:val="24"/>
          <w:szCs w:val="24"/>
        </w:rPr>
        <w:t>Proceedings of the National Academy of Sciences</w:t>
      </w:r>
      <w:r>
        <w:rPr>
          <w:rFonts w:ascii="Times New Roman" w:eastAsia="Times New Roman" w:hAnsi="Times New Roman" w:cs="Times New Roman"/>
          <w:color w:val="4A86E8"/>
          <w:sz w:val="24"/>
          <w:szCs w:val="24"/>
        </w:rPr>
        <w:t xml:space="preserve"> 113, no. 30 (26 July 2016): 8420–23.</w:t>
      </w:r>
      <w:hyperlink r:id="rId31">
        <w:r>
          <w:rPr>
            <w:rFonts w:ascii="Times New Roman" w:eastAsia="Times New Roman" w:hAnsi="Times New Roman" w:cs="Times New Roman"/>
            <w:color w:val="4A86E8"/>
            <w:sz w:val="24"/>
            <w:szCs w:val="24"/>
          </w:rPr>
          <w:t xml:space="preserve"> </w:t>
        </w:r>
      </w:hyperlink>
      <w:hyperlink r:id="rId32">
        <w:r>
          <w:rPr>
            <w:rFonts w:ascii="Times New Roman" w:eastAsia="Times New Roman" w:hAnsi="Times New Roman" w:cs="Times New Roman"/>
            <w:color w:val="4A86E8"/>
            <w:sz w:val="24"/>
            <w:szCs w:val="24"/>
            <w:u w:val="single"/>
          </w:rPr>
          <w:t>https://doi.org/10.1073/pnas.1601112113</w:t>
        </w:r>
      </w:hyperlink>
      <w:r>
        <w:rPr>
          <w:rFonts w:ascii="Times New Roman" w:eastAsia="Times New Roman" w:hAnsi="Times New Roman" w:cs="Times New Roman"/>
          <w:color w:val="4A86E8"/>
          <w:sz w:val="24"/>
          <w:szCs w:val="24"/>
        </w:rPr>
        <w:t>.</w:t>
      </w:r>
    </w:p>
    <w:p w14:paraId="0000008B"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8C" w14:textId="77777777" w:rsidR="00C3120B" w:rsidRDefault="0068474E">
      <w:pPr>
        <w:spacing w:line="324" w:lineRule="auto"/>
        <w:ind w:left="880" w:hanging="440"/>
        <w:rPr>
          <w:rFonts w:ascii="Times New Roman" w:eastAsia="Times New Roman" w:hAnsi="Times New Roman" w:cs="Times New Roman"/>
          <w:color w:val="4A86E8"/>
          <w:sz w:val="24"/>
          <w:szCs w:val="24"/>
        </w:rPr>
      </w:pPr>
      <w:proofErr w:type="spellStart"/>
      <w:r>
        <w:rPr>
          <w:rFonts w:ascii="Times New Roman" w:eastAsia="Times New Roman" w:hAnsi="Times New Roman" w:cs="Times New Roman"/>
          <w:color w:val="4A86E8"/>
          <w:sz w:val="24"/>
          <w:szCs w:val="24"/>
        </w:rPr>
        <w:t>Trias-Llimós</w:t>
      </w:r>
      <w:proofErr w:type="spellEnd"/>
      <w:r>
        <w:rPr>
          <w:rFonts w:ascii="Times New Roman" w:eastAsia="Times New Roman" w:hAnsi="Times New Roman" w:cs="Times New Roman"/>
          <w:color w:val="4A86E8"/>
          <w:sz w:val="24"/>
          <w:szCs w:val="24"/>
        </w:rPr>
        <w:t xml:space="preserve">, </w:t>
      </w:r>
      <w:proofErr w:type="spellStart"/>
      <w:r>
        <w:rPr>
          <w:rFonts w:ascii="Times New Roman" w:eastAsia="Times New Roman" w:hAnsi="Times New Roman" w:cs="Times New Roman"/>
          <w:color w:val="4A86E8"/>
          <w:sz w:val="24"/>
          <w:szCs w:val="24"/>
        </w:rPr>
        <w:t>Sergi</w:t>
      </w:r>
      <w:proofErr w:type="spellEnd"/>
      <w:r>
        <w:rPr>
          <w:rFonts w:ascii="Times New Roman" w:eastAsia="Times New Roman" w:hAnsi="Times New Roman" w:cs="Times New Roman"/>
          <w:color w:val="4A86E8"/>
          <w:sz w:val="24"/>
          <w:szCs w:val="24"/>
        </w:rPr>
        <w:t xml:space="preserve">, Tim Riffe, and Usama Bilal. ‘Monitoring Life Expectancy Levels during the COVID-19 </w:t>
      </w:r>
      <w:r>
        <w:rPr>
          <w:rFonts w:ascii="Times New Roman" w:eastAsia="Times New Roman" w:hAnsi="Times New Roman" w:cs="Times New Roman"/>
          <w:color w:val="4A86E8"/>
          <w:sz w:val="24"/>
          <w:szCs w:val="24"/>
        </w:rPr>
        <w:t xml:space="preserve">Pandemic: Example of the Unequal Impact of the First Wave on Spanish Regions’. </w:t>
      </w:r>
      <w:r>
        <w:rPr>
          <w:rFonts w:ascii="Times New Roman" w:eastAsia="Times New Roman" w:hAnsi="Times New Roman" w:cs="Times New Roman"/>
          <w:i/>
          <w:color w:val="4A86E8"/>
          <w:sz w:val="24"/>
          <w:szCs w:val="24"/>
        </w:rPr>
        <w:t>PLOS ONE</w:t>
      </w:r>
      <w:r>
        <w:rPr>
          <w:rFonts w:ascii="Times New Roman" w:eastAsia="Times New Roman" w:hAnsi="Times New Roman" w:cs="Times New Roman"/>
          <w:color w:val="4A86E8"/>
          <w:sz w:val="24"/>
          <w:szCs w:val="24"/>
        </w:rPr>
        <w:t xml:space="preserve"> 15, no. 11 (5 November 2020): e0241952.</w:t>
      </w:r>
      <w:hyperlink r:id="rId33">
        <w:r>
          <w:rPr>
            <w:rFonts w:ascii="Times New Roman" w:eastAsia="Times New Roman" w:hAnsi="Times New Roman" w:cs="Times New Roman"/>
            <w:color w:val="4A86E8"/>
            <w:sz w:val="24"/>
            <w:szCs w:val="24"/>
          </w:rPr>
          <w:t xml:space="preserve"> </w:t>
        </w:r>
      </w:hyperlink>
      <w:hyperlink r:id="rId34">
        <w:r>
          <w:rPr>
            <w:rFonts w:ascii="Times New Roman" w:eastAsia="Times New Roman" w:hAnsi="Times New Roman" w:cs="Times New Roman"/>
            <w:color w:val="1155CC"/>
            <w:sz w:val="24"/>
            <w:szCs w:val="24"/>
            <w:u w:val="single"/>
          </w:rPr>
          <w:t>https://doi.org/10.1371/journal.pone.0241952</w:t>
        </w:r>
      </w:hyperlink>
      <w:r>
        <w:rPr>
          <w:rFonts w:ascii="Times New Roman" w:eastAsia="Times New Roman" w:hAnsi="Times New Roman" w:cs="Times New Roman"/>
          <w:color w:val="4A86E8"/>
          <w:sz w:val="24"/>
          <w:szCs w:val="24"/>
        </w:rPr>
        <w:t>.</w:t>
      </w:r>
    </w:p>
    <w:p w14:paraId="0000008D"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8E"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Vaupel, J. W., Z. Zhang, and A. A. van Raalte. ‘Life Expectancy and Disparity: An International Comparison of Life Table Data’. </w:t>
      </w:r>
      <w:r>
        <w:rPr>
          <w:rFonts w:ascii="Times New Roman" w:eastAsia="Times New Roman" w:hAnsi="Times New Roman" w:cs="Times New Roman"/>
          <w:i/>
          <w:color w:val="4A86E8"/>
          <w:sz w:val="24"/>
          <w:szCs w:val="24"/>
        </w:rPr>
        <w:t>BMJ Open</w:t>
      </w:r>
      <w:r>
        <w:rPr>
          <w:rFonts w:ascii="Times New Roman" w:eastAsia="Times New Roman" w:hAnsi="Times New Roman" w:cs="Times New Roman"/>
          <w:color w:val="4A86E8"/>
          <w:sz w:val="24"/>
          <w:szCs w:val="24"/>
        </w:rPr>
        <w:t xml:space="preserve"> 1, no. 1 (2 September 2011): e000128–e000128.</w:t>
      </w:r>
      <w:hyperlink r:id="rId35">
        <w:r>
          <w:rPr>
            <w:rFonts w:ascii="Times New Roman" w:eastAsia="Times New Roman" w:hAnsi="Times New Roman" w:cs="Times New Roman"/>
            <w:color w:val="4A86E8"/>
            <w:sz w:val="24"/>
            <w:szCs w:val="24"/>
          </w:rPr>
          <w:t xml:space="preserve"> </w:t>
        </w:r>
      </w:hyperlink>
      <w:hyperlink r:id="rId36">
        <w:r>
          <w:rPr>
            <w:rFonts w:ascii="Times New Roman" w:eastAsia="Times New Roman" w:hAnsi="Times New Roman" w:cs="Times New Roman"/>
            <w:color w:val="4A86E8"/>
            <w:sz w:val="24"/>
            <w:szCs w:val="24"/>
            <w:u w:val="single"/>
          </w:rPr>
          <w:t>https://doi.org/10.1136/bmjopen-2011-000128</w:t>
        </w:r>
      </w:hyperlink>
      <w:r>
        <w:rPr>
          <w:rFonts w:ascii="Times New Roman" w:eastAsia="Times New Roman" w:hAnsi="Times New Roman" w:cs="Times New Roman"/>
          <w:color w:val="4A86E8"/>
          <w:sz w:val="24"/>
          <w:szCs w:val="24"/>
        </w:rPr>
        <w:t>.</w:t>
      </w:r>
    </w:p>
    <w:p w14:paraId="0000008F" w14:textId="77777777" w:rsidR="00C3120B" w:rsidRDefault="00C3120B">
      <w:pPr>
        <w:rPr>
          <w:rFonts w:ascii="Times New Roman" w:eastAsia="Times New Roman" w:hAnsi="Times New Roman" w:cs="Times New Roman"/>
          <w:color w:val="4A86E8"/>
          <w:sz w:val="24"/>
          <w:szCs w:val="24"/>
        </w:rPr>
      </w:pPr>
    </w:p>
    <w:p w14:paraId="00000090"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Vigezzi, Serena, José M. Aburto, </w:t>
      </w:r>
      <w:proofErr w:type="spellStart"/>
      <w:r>
        <w:rPr>
          <w:rFonts w:ascii="Times New Roman" w:eastAsia="Times New Roman" w:hAnsi="Times New Roman" w:cs="Times New Roman"/>
          <w:color w:val="4A86E8"/>
          <w:sz w:val="24"/>
          <w:szCs w:val="24"/>
        </w:rPr>
        <w:t>Inaki</w:t>
      </w:r>
      <w:proofErr w:type="spellEnd"/>
      <w:r>
        <w:rPr>
          <w:rFonts w:ascii="Times New Roman" w:eastAsia="Times New Roman" w:hAnsi="Times New Roman" w:cs="Times New Roman"/>
          <w:color w:val="4A86E8"/>
          <w:sz w:val="24"/>
          <w:szCs w:val="24"/>
        </w:rPr>
        <w:t xml:space="preserve"> Permanyer, and Virginia Zarulli . ‘Lifespan variation during mortality </w:t>
      </w:r>
      <w:r>
        <w:rPr>
          <w:rFonts w:ascii="Times New Roman" w:eastAsia="Times New Roman" w:hAnsi="Times New Roman" w:cs="Times New Roman"/>
          <w:color w:val="4A86E8"/>
          <w:sz w:val="24"/>
          <w:szCs w:val="24"/>
        </w:rPr>
        <w:t>crises’. Manuscript under review. Available upon request.</w:t>
      </w:r>
    </w:p>
    <w:p w14:paraId="00000091"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92"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Xu, </w:t>
      </w:r>
      <w:proofErr w:type="spellStart"/>
      <w:r>
        <w:rPr>
          <w:rFonts w:ascii="Times New Roman" w:eastAsia="Times New Roman" w:hAnsi="Times New Roman" w:cs="Times New Roman"/>
          <w:color w:val="4A86E8"/>
          <w:sz w:val="24"/>
          <w:szCs w:val="24"/>
        </w:rPr>
        <w:t>Xiaowei</w:t>
      </w:r>
      <w:proofErr w:type="spellEnd"/>
      <w:r>
        <w:rPr>
          <w:rFonts w:ascii="Times New Roman" w:eastAsia="Times New Roman" w:hAnsi="Times New Roman" w:cs="Times New Roman"/>
          <w:color w:val="4A86E8"/>
          <w:sz w:val="24"/>
          <w:szCs w:val="24"/>
        </w:rPr>
        <w:t>, and James Banks. ‘The Mental Health Effects of the First Two Months of Lockdown and Social Distancing during the Covid-19 Pandemic in the UK’. The IFS, 10 June 2020.</w:t>
      </w:r>
      <w:hyperlink r:id="rId37">
        <w:r>
          <w:rPr>
            <w:rFonts w:ascii="Times New Roman" w:eastAsia="Times New Roman" w:hAnsi="Times New Roman" w:cs="Times New Roman"/>
            <w:color w:val="4A86E8"/>
            <w:sz w:val="24"/>
            <w:szCs w:val="24"/>
          </w:rPr>
          <w:t xml:space="preserve"> </w:t>
        </w:r>
      </w:hyperlink>
      <w:hyperlink r:id="rId38">
        <w:r>
          <w:rPr>
            <w:rFonts w:ascii="Times New Roman" w:eastAsia="Times New Roman" w:hAnsi="Times New Roman" w:cs="Times New Roman"/>
            <w:color w:val="4A86E8"/>
            <w:sz w:val="24"/>
            <w:szCs w:val="24"/>
            <w:u w:val="single"/>
          </w:rPr>
          <w:t>https://doi.org/10.1920/wp.ifs.2020.1620</w:t>
        </w:r>
      </w:hyperlink>
      <w:r>
        <w:rPr>
          <w:rFonts w:ascii="Times New Roman" w:eastAsia="Times New Roman" w:hAnsi="Times New Roman" w:cs="Times New Roman"/>
          <w:color w:val="4A86E8"/>
          <w:sz w:val="24"/>
          <w:szCs w:val="24"/>
        </w:rPr>
        <w:t>.</w:t>
      </w:r>
    </w:p>
    <w:p w14:paraId="00000093"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94" w14:textId="77777777" w:rsidR="00C3120B" w:rsidRDefault="0068474E">
      <w:pPr>
        <w:spacing w:line="324" w:lineRule="auto"/>
        <w:ind w:left="880" w:hanging="440"/>
        <w:rPr>
          <w:rFonts w:ascii="Times New Roman" w:eastAsia="Times New Roman" w:hAnsi="Times New Roman" w:cs="Times New Roman"/>
          <w:color w:val="4A86E8"/>
          <w:sz w:val="24"/>
          <w:szCs w:val="24"/>
        </w:rPr>
      </w:pPr>
      <w:r>
        <w:rPr>
          <w:rFonts w:ascii="Times New Roman" w:eastAsia="Times New Roman" w:hAnsi="Times New Roman" w:cs="Times New Roman"/>
          <w:color w:val="4A86E8"/>
          <w:sz w:val="24"/>
          <w:szCs w:val="24"/>
        </w:rPr>
        <w:t xml:space="preserve">Zarulli, Virginia, Julia A. </w:t>
      </w:r>
      <w:proofErr w:type="spellStart"/>
      <w:r>
        <w:rPr>
          <w:rFonts w:ascii="Times New Roman" w:eastAsia="Times New Roman" w:hAnsi="Times New Roman" w:cs="Times New Roman"/>
          <w:color w:val="4A86E8"/>
          <w:sz w:val="24"/>
          <w:szCs w:val="24"/>
        </w:rPr>
        <w:t>Barthold</w:t>
      </w:r>
      <w:proofErr w:type="spellEnd"/>
      <w:r>
        <w:rPr>
          <w:rFonts w:ascii="Times New Roman" w:eastAsia="Times New Roman" w:hAnsi="Times New Roman" w:cs="Times New Roman"/>
          <w:color w:val="4A86E8"/>
          <w:sz w:val="24"/>
          <w:szCs w:val="24"/>
        </w:rPr>
        <w:t xml:space="preserve"> Jones, Anna </w:t>
      </w:r>
      <w:proofErr w:type="spellStart"/>
      <w:r>
        <w:rPr>
          <w:rFonts w:ascii="Times New Roman" w:eastAsia="Times New Roman" w:hAnsi="Times New Roman" w:cs="Times New Roman"/>
          <w:color w:val="4A86E8"/>
          <w:sz w:val="24"/>
          <w:szCs w:val="24"/>
        </w:rPr>
        <w:t>Oksuzyan</w:t>
      </w:r>
      <w:proofErr w:type="spellEnd"/>
      <w:r>
        <w:rPr>
          <w:rFonts w:ascii="Times New Roman" w:eastAsia="Times New Roman" w:hAnsi="Times New Roman" w:cs="Times New Roman"/>
          <w:color w:val="4A86E8"/>
          <w:sz w:val="24"/>
          <w:szCs w:val="24"/>
        </w:rPr>
        <w:t xml:space="preserve">, Rune Lindahl-Jacobsen, </w:t>
      </w:r>
      <w:proofErr w:type="spellStart"/>
      <w:r>
        <w:rPr>
          <w:rFonts w:ascii="Times New Roman" w:eastAsia="Times New Roman" w:hAnsi="Times New Roman" w:cs="Times New Roman"/>
          <w:color w:val="4A86E8"/>
          <w:sz w:val="24"/>
          <w:szCs w:val="24"/>
        </w:rPr>
        <w:t>Kaare</w:t>
      </w:r>
      <w:proofErr w:type="spellEnd"/>
      <w:r>
        <w:rPr>
          <w:rFonts w:ascii="Times New Roman" w:eastAsia="Times New Roman" w:hAnsi="Times New Roman" w:cs="Times New Roman"/>
          <w:color w:val="4A86E8"/>
          <w:sz w:val="24"/>
          <w:szCs w:val="24"/>
        </w:rPr>
        <w:t xml:space="preserve"> Christensen, and James </w:t>
      </w:r>
      <w:r>
        <w:rPr>
          <w:rFonts w:ascii="Times New Roman" w:eastAsia="Times New Roman" w:hAnsi="Times New Roman" w:cs="Times New Roman"/>
          <w:color w:val="4A86E8"/>
          <w:sz w:val="24"/>
          <w:szCs w:val="24"/>
        </w:rPr>
        <w:t xml:space="preserve">W. Vaupel. ‘Women Live Longer than Men Even during Severe Famines and Epidemics’. </w:t>
      </w:r>
      <w:r>
        <w:rPr>
          <w:rFonts w:ascii="Times New Roman" w:eastAsia="Times New Roman" w:hAnsi="Times New Roman" w:cs="Times New Roman"/>
          <w:i/>
          <w:color w:val="4A86E8"/>
          <w:sz w:val="24"/>
          <w:szCs w:val="24"/>
        </w:rPr>
        <w:t>Proceedings of the National Academy of Sciences</w:t>
      </w:r>
      <w:r>
        <w:rPr>
          <w:rFonts w:ascii="Times New Roman" w:eastAsia="Times New Roman" w:hAnsi="Times New Roman" w:cs="Times New Roman"/>
          <w:color w:val="4A86E8"/>
          <w:sz w:val="24"/>
          <w:szCs w:val="24"/>
        </w:rPr>
        <w:t xml:space="preserve"> 115, no. 4 (23 January 2018): E832–40.</w:t>
      </w:r>
      <w:hyperlink r:id="rId39">
        <w:r>
          <w:rPr>
            <w:rFonts w:ascii="Times New Roman" w:eastAsia="Times New Roman" w:hAnsi="Times New Roman" w:cs="Times New Roman"/>
            <w:color w:val="4A86E8"/>
            <w:sz w:val="24"/>
            <w:szCs w:val="24"/>
          </w:rPr>
          <w:t xml:space="preserve"> </w:t>
        </w:r>
      </w:hyperlink>
      <w:hyperlink r:id="rId40">
        <w:r>
          <w:rPr>
            <w:rFonts w:ascii="Times New Roman" w:eastAsia="Times New Roman" w:hAnsi="Times New Roman" w:cs="Times New Roman"/>
            <w:color w:val="4A86E8"/>
            <w:sz w:val="24"/>
            <w:szCs w:val="24"/>
            <w:u w:val="single"/>
          </w:rPr>
          <w:t>https://doi.org/10.1073/pnas.1701535115</w:t>
        </w:r>
      </w:hyperlink>
      <w:r>
        <w:rPr>
          <w:rFonts w:ascii="Times New Roman" w:eastAsia="Times New Roman" w:hAnsi="Times New Roman" w:cs="Times New Roman"/>
          <w:color w:val="4A86E8"/>
          <w:sz w:val="24"/>
          <w:szCs w:val="24"/>
        </w:rPr>
        <w:t>.</w:t>
      </w:r>
    </w:p>
    <w:p w14:paraId="00000095" w14:textId="77777777" w:rsidR="00C3120B" w:rsidRDefault="00C3120B">
      <w:pPr>
        <w:spacing w:line="324" w:lineRule="auto"/>
        <w:ind w:left="880" w:hanging="440"/>
        <w:rPr>
          <w:rFonts w:ascii="Times New Roman" w:eastAsia="Times New Roman" w:hAnsi="Times New Roman" w:cs="Times New Roman"/>
          <w:color w:val="4A86E8"/>
          <w:sz w:val="24"/>
          <w:szCs w:val="24"/>
        </w:rPr>
      </w:pPr>
    </w:p>
    <w:p w14:paraId="00000096" w14:textId="77777777" w:rsidR="00C3120B" w:rsidRDefault="00C3120B">
      <w:pPr>
        <w:rPr>
          <w:rFonts w:ascii="Times New Roman" w:eastAsia="Times New Roman" w:hAnsi="Times New Roman" w:cs="Times New Roman"/>
          <w:color w:val="4A86E8"/>
          <w:sz w:val="24"/>
          <w:szCs w:val="24"/>
        </w:rPr>
      </w:pPr>
    </w:p>
    <w:sectPr w:rsidR="00C31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E4879"/>
    <w:multiLevelType w:val="multilevel"/>
    <w:tmpl w:val="06C4D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20B"/>
    <w:rsid w:val="004B1A83"/>
    <w:rsid w:val="0068474E"/>
    <w:rsid w:val="00C31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9C78"/>
  <w15:docId w15:val="{CF73A40C-141B-46B9-904C-EEB7C559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Se01pw" TargetMode="External"/><Relationship Id="rId18" Type="http://schemas.openxmlformats.org/officeDocument/2006/relationships/hyperlink" Target="https://doi.org/10.1073/pnas.1915884117" TargetMode="External"/><Relationship Id="rId26" Type="http://schemas.openxmlformats.org/officeDocument/2006/relationships/hyperlink" Target="https://royalsociety.org/news/2020/11/vaccine-hesitancy-threatens-to-undermine-pandemic-response/" TargetMode="External"/><Relationship Id="rId39" Type="http://schemas.openxmlformats.org/officeDocument/2006/relationships/hyperlink" Target="https://doi.org/10.1073/pnas.1701535115" TargetMode="External"/><Relationship Id="rId21" Type="http://schemas.openxmlformats.org/officeDocument/2006/relationships/hyperlink" Target="https://doi.org/10.1136/bmj.m4087" TargetMode="External"/><Relationship Id="rId34" Type="http://schemas.openxmlformats.org/officeDocument/2006/relationships/hyperlink" Target="https://doi.org/10.1371/journal.pone.0241952" TargetMode="External"/><Relationship Id="rId42" Type="http://schemas.openxmlformats.org/officeDocument/2006/relationships/theme" Target="theme/theme1.xml"/><Relationship Id="rId7" Type="http://schemas.openxmlformats.org/officeDocument/2006/relationships/hyperlink" Target="https://www.zotero.org/google-docs/?eH0RgN" TargetMode="External"/><Relationship Id="rId2" Type="http://schemas.openxmlformats.org/officeDocument/2006/relationships/styles" Target="styles.xml"/><Relationship Id="rId16" Type="http://schemas.openxmlformats.org/officeDocument/2006/relationships/hyperlink" Target="https://www.zotero.org/google-docs/?YvJ85s" TargetMode="External"/><Relationship Id="rId20" Type="http://schemas.openxmlformats.org/officeDocument/2006/relationships/hyperlink" Target="https://doi.org/10.1136/jech-2020-214401" TargetMode="External"/><Relationship Id="rId29" Type="http://schemas.openxmlformats.org/officeDocument/2006/relationships/hyperlink" Target="https://doi.org/10.1126/science.aau581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otero.org/google-docs/?E1NU7C" TargetMode="External"/><Relationship Id="rId11" Type="http://schemas.openxmlformats.org/officeDocument/2006/relationships/hyperlink" Target="https://www.zotero.org/google-docs/?eH0RgN" TargetMode="External"/><Relationship Id="rId24" Type="http://schemas.openxmlformats.org/officeDocument/2006/relationships/hyperlink" Target="https://doi.org/10.1136/bmj.m2815" TargetMode="External"/><Relationship Id="rId32" Type="http://schemas.openxmlformats.org/officeDocument/2006/relationships/hyperlink" Target="https://doi.org/10.1073/pnas.1601112113" TargetMode="External"/><Relationship Id="rId37" Type="http://schemas.openxmlformats.org/officeDocument/2006/relationships/hyperlink" Target="https://doi.org/10.1920/wp.ifs.2020.1620" TargetMode="External"/><Relationship Id="rId40" Type="http://schemas.openxmlformats.org/officeDocument/2006/relationships/hyperlink" Target="https://doi.org/10.1073/pnas.1701535115" TargetMode="External"/><Relationship Id="rId5" Type="http://schemas.openxmlformats.org/officeDocument/2006/relationships/hyperlink" Target="https://www.zotero.org/google-docs/?tFZNgc" TargetMode="External"/><Relationship Id="rId15" Type="http://schemas.openxmlformats.org/officeDocument/2006/relationships/hyperlink" Target="https://www.zotero.org/google-docs/?B0ETLV" TargetMode="External"/><Relationship Id="rId23" Type="http://schemas.openxmlformats.org/officeDocument/2006/relationships/hyperlink" Target="https://doi.org/10.1136/bmj.m2815" TargetMode="External"/><Relationship Id="rId28" Type="http://schemas.openxmlformats.org/officeDocument/2006/relationships/hyperlink" Target="https://www.nber.org/books-and-chapters/demography-and-economy/final-inequality-variance-age-death" TargetMode="External"/><Relationship Id="rId36" Type="http://schemas.openxmlformats.org/officeDocument/2006/relationships/hyperlink" Target="https://doi.org/10.1136/bmjopen-2011-000128" TargetMode="External"/><Relationship Id="rId10" Type="http://schemas.openxmlformats.org/officeDocument/2006/relationships/hyperlink" Target="https://www.zotero.org/google-docs/?E1NU7C" TargetMode="External"/><Relationship Id="rId19" Type="http://schemas.openxmlformats.org/officeDocument/2006/relationships/hyperlink" Target="https://doi.org/10.1136/jech-2020-214401" TargetMode="External"/><Relationship Id="rId31" Type="http://schemas.openxmlformats.org/officeDocument/2006/relationships/hyperlink" Target="https://doi.org/10.1073/pnas.1601112113" TargetMode="External"/><Relationship Id="rId4" Type="http://schemas.openxmlformats.org/officeDocument/2006/relationships/webSettings" Target="webSettings.xml"/><Relationship Id="rId9" Type="http://schemas.openxmlformats.org/officeDocument/2006/relationships/hyperlink" Target="https://www.zotero.org/google-docs/?tFZNgc" TargetMode="External"/><Relationship Id="rId14" Type="http://schemas.openxmlformats.org/officeDocument/2006/relationships/hyperlink" Target="https://www.zotero.org/google-docs/?XYCa6C" TargetMode="External"/><Relationship Id="rId22" Type="http://schemas.openxmlformats.org/officeDocument/2006/relationships/hyperlink" Target="https://doi.org/10.1136/bmj.m4087" TargetMode="External"/><Relationship Id="rId27" Type="http://schemas.openxmlformats.org/officeDocument/2006/relationships/hyperlink" Target="https://www.nber.org/books-and-chapters/demography-and-economy/final-inequality-variance-age-death" TargetMode="External"/><Relationship Id="rId30" Type="http://schemas.openxmlformats.org/officeDocument/2006/relationships/hyperlink" Target="https://doi.org/10.1126/science.aau5811" TargetMode="External"/><Relationship Id="rId35" Type="http://schemas.openxmlformats.org/officeDocument/2006/relationships/hyperlink" Target="https://doi.org/10.1136/bmjopen-2011-000128" TargetMode="External"/><Relationship Id="rId8" Type="http://schemas.openxmlformats.org/officeDocument/2006/relationships/hyperlink" Target="https://www.zotero.org/google-docs/?YWnA3g" TargetMode="External"/><Relationship Id="rId3" Type="http://schemas.openxmlformats.org/officeDocument/2006/relationships/settings" Target="settings.xml"/><Relationship Id="rId12" Type="http://schemas.openxmlformats.org/officeDocument/2006/relationships/hyperlink" Target="https://www.zotero.org/google-docs/?YWnA3g" TargetMode="External"/><Relationship Id="rId17" Type="http://schemas.openxmlformats.org/officeDocument/2006/relationships/hyperlink" Target="https://doi.org/10.1073/pnas.1915884117" TargetMode="External"/><Relationship Id="rId25" Type="http://schemas.openxmlformats.org/officeDocument/2006/relationships/hyperlink" Target="https://royalsociety.org/news/2020/11/vaccine-hesitancy-threatens-to-undermine-pandemic-response/" TargetMode="External"/><Relationship Id="rId33" Type="http://schemas.openxmlformats.org/officeDocument/2006/relationships/hyperlink" Target="https://doi.org/10.1371/journal.pone.0241952" TargetMode="External"/><Relationship Id="rId38" Type="http://schemas.openxmlformats.org/officeDocument/2006/relationships/hyperlink" Target="https://doi.org/10.1920/wp.ifs.2020.1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3863</Words>
  <Characters>22025</Characters>
  <Application>Microsoft Office Word</Application>
  <DocSecurity>0</DocSecurity>
  <Lines>183</Lines>
  <Paragraphs>51</Paragraphs>
  <ScaleCrop>false</ScaleCrop>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4</cp:revision>
  <dcterms:created xsi:type="dcterms:W3CDTF">2020-12-07T15:57:00Z</dcterms:created>
  <dcterms:modified xsi:type="dcterms:W3CDTF">2020-12-07T15:57:00Z</dcterms:modified>
</cp:coreProperties>
</file>