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E1B61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mjapvr8xaqvt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Title: Estimating the burden of COVID-19 on mortality, life expectancy and lifespan inequality in England and Wales: A population-level analysis </w:t>
      </w:r>
    </w:p>
    <w:p w14:paraId="694D3A04" w14:textId="77777777" w:rsidR="00E2619C" w:rsidRDefault="00E261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7AD3A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Authors: </w:t>
      </w:r>
      <w:r>
        <w:rPr>
          <w:rFonts w:ascii="Times New Roman" w:eastAsia="Times New Roman" w:hAnsi="Times New Roman" w:cs="Times New Roman"/>
          <w:sz w:val="24"/>
          <w:szCs w:val="24"/>
        </w:rPr>
        <w:t>José Manuel Aburto, Newton fellow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</w:t>
      </w:r>
      <w:r>
        <w:rPr>
          <w:rFonts w:ascii="Times New Roman" w:eastAsia="Times New Roman" w:hAnsi="Times New Roman" w:cs="Times New Roman"/>
          <w:sz w:val="24"/>
          <w:szCs w:val="24"/>
        </w:rPr>
        <w:t>, Ridhi Kashyap, associate professor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Jonas Schöley, postdoctor</w:t>
      </w:r>
      <w:r>
        <w:rPr>
          <w:rFonts w:ascii="Times New Roman" w:eastAsia="Times New Roman" w:hAnsi="Times New Roman" w:cs="Times New Roman"/>
          <w:sz w:val="24"/>
          <w:szCs w:val="24"/>
        </w:rPr>
        <w:t>al fellow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Colin Angus, senior research fellow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John Ermisch, professor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Melinda C. Mills, professor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Jennifer Beam Dowd, associate professor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6B7D7AFC" w14:textId="77777777" w:rsidR="00E2619C" w:rsidRDefault="00E261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E40B7C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Affiliations:</w:t>
      </w:r>
    </w:p>
    <w:p w14:paraId="12996A4B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Leverhulme Centre for Demographic Science, Department of Sociology and Nuffield College, Uni</w:t>
      </w:r>
      <w:r>
        <w:rPr>
          <w:rFonts w:ascii="Times New Roman" w:eastAsia="Times New Roman" w:hAnsi="Times New Roman" w:cs="Times New Roman"/>
          <w:sz w:val="24"/>
          <w:szCs w:val="24"/>
        </w:rPr>
        <w:t>versity of Oxford, 42-43 Park End Street, OX1 1JD Oxford, UK.</w:t>
      </w:r>
    </w:p>
    <w:p w14:paraId="228F7559" w14:textId="77777777" w:rsidR="00E2619C" w:rsidRDefault="00E261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59059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Interdisciplinary Centre on Population Dynamics, University of Southern Denmark, Odense 5000, Denmark.</w:t>
      </w:r>
    </w:p>
    <w:p w14:paraId="28CFAF4D" w14:textId="77777777" w:rsidR="00E2619C" w:rsidRDefault="00E261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4F84F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School of Health and Related Research, University of Sheffield, Regent Court, Regent </w:t>
      </w:r>
      <w:r>
        <w:rPr>
          <w:rFonts w:ascii="Times New Roman" w:eastAsia="Times New Roman" w:hAnsi="Times New Roman" w:cs="Times New Roman"/>
          <w:sz w:val="24"/>
          <w:szCs w:val="24"/>
        </w:rPr>
        <w:t>Street, S1 4DA Sheffield, UK</w:t>
      </w:r>
    </w:p>
    <w:p w14:paraId="0236D8A7" w14:textId="77777777" w:rsidR="00E2619C" w:rsidRDefault="00E261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22C01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Correspondence to: </w:t>
      </w:r>
    </w:p>
    <w:p w14:paraId="72FED1B8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Manuel Aburto</w:t>
      </w:r>
    </w:p>
    <w:p w14:paraId="34C068E3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42-43 Park End Street, OX1 1JD Oxford, UK.</w:t>
      </w:r>
    </w:p>
    <w:p w14:paraId="54848A21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jose-manuel.aburto@sociology.ox.ac.uk</w:t>
        </w:r>
      </w:hyperlink>
    </w:p>
    <w:p w14:paraId="7BB400A2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Tel: +45 31712122</w:t>
      </w:r>
    </w:p>
    <w:p w14:paraId="43892F3A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ORCID: 0000-0002-</w:t>
      </w:r>
      <w:r>
        <w:rPr>
          <w:rFonts w:ascii="Times New Roman" w:eastAsia="Times New Roman" w:hAnsi="Times New Roman" w:cs="Times New Roman"/>
          <w:sz w:val="24"/>
          <w:szCs w:val="24"/>
        </w:rPr>
        <w:t>2926-6879</w:t>
      </w:r>
    </w:p>
    <w:p w14:paraId="00E59EF6" w14:textId="77777777" w:rsidR="00E2619C" w:rsidRDefault="00E261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00383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75635848" w14:textId="77777777" w:rsidR="00E2619C" w:rsidRDefault="00E261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3EC77C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Ridhi Kashyap</w:t>
      </w:r>
    </w:p>
    <w:p w14:paraId="2677CE45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Nuffield College, New Road, Oxford OX1 1NF</w:t>
      </w:r>
    </w:p>
    <w:p w14:paraId="5D30E809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ridhi.kashyap@sociology.ox.ac.uk</w:t>
        </w:r>
      </w:hyperlink>
    </w:p>
    <w:p w14:paraId="3842793C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ORCID: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0000-0003-0615-2868</w:t>
      </w:r>
    </w:p>
    <w:p w14:paraId="6931D613" w14:textId="77777777" w:rsidR="00E2619C" w:rsidRDefault="00583B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7EE8A98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Section 1. Estimation of the baseline mortality risk using 4 different approaches using training data from 2010 to week 10 of 2020 by age and sex. </w:t>
      </w:r>
    </w:p>
    <w:p w14:paraId="5547AE14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E0C55" w14:textId="77777777" w:rsidR="00E2619C" w:rsidRDefault="00583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Generalized Additive Model regression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weekly death counts </w:t>
      </w:r>
      <w:r>
        <w:rPr>
          <w:rFonts w:ascii="Times New Roman" w:eastAsia="Times New Roman" w:hAnsi="Times New Roman" w:cs="Times New Roman"/>
          <w:sz w:val="24"/>
          <w:szCs w:val="24"/>
        </w:rPr>
        <w:t>assuming a Negative Binomial distribution to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ccount for overdispersion of deaths during the period 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study[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1]. The model includes</w:t>
      </w:r>
    </w:p>
    <w:p w14:paraId="7C5BF543" w14:textId="77777777" w:rsidR="00E2619C" w:rsidRDefault="00583B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log-linear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long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term mortality trends </w:t>
      </w:r>
      <w:r>
        <w:rPr>
          <w:rFonts w:ascii="Times New Roman" w:eastAsia="Times New Roman" w:hAnsi="Times New Roman" w:cs="Times New Roman"/>
          <w:sz w:val="24"/>
          <w:szCs w:val="24"/>
        </w:rPr>
        <w:t>stratified by age group and sex,</w:t>
      </w:r>
    </w:p>
    <w:p w14:paraId="6EDD0A1E" w14:textId="77777777" w:rsidR="00E2619C" w:rsidRDefault="00583B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smoothed effects for mortality 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age and seasonality stratified by sex,</w:t>
      </w:r>
    </w:p>
    <w:p w14:paraId="30DA07A0" w14:textId="77777777" w:rsidR="00E2619C" w:rsidRDefault="00583B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smoothed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interaction f</w:t>
      </w:r>
      <w:r>
        <w:rPr>
          <w:rFonts w:ascii="Times New Roman" w:eastAsia="Times New Roman" w:hAnsi="Times New Roman" w:cs="Times New Roman"/>
          <w:sz w:val="24"/>
          <w:szCs w:val="24"/>
        </w:rPr>
        <w:t>or mortality between age and seasonality stratified by sex</w:t>
      </w:r>
      <w:r>
        <w:rPr>
          <w:rFonts w:ascii="Times New Roman" w:eastAsia="Times New Roman" w:hAnsi="Times New Roman" w:cs="Times New Roman"/>
          <w:sz w:val="24"/>
          <w:szCs w:val="24"/>
        </w:rPr>
        <w:t>, and</w:t>
      </w:r>
    </w:p>
    <w:p w14:paraId="3763602A" w14:textId="77777777" w:rsidR="00E2619C" w:rsidRDefault="00583B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age and sex specific effects for “special weeks”,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first and last week of a year and week 21 where holidays cause registration delays,</w:t>
      </w:r>
    </w:p>
    <w:p w14:paraId="7A6CF954" w14:textId="77777777" w:rsidR="00E2619C" w:rsidRDefault="00583B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logged exposure times as offset.</w:t>
      </w:r>
    </w:p>
    <w:p w14:paraId="41A6160F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BA911BF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structure of the model is as follows:</w:t>
      </w:r>
    </w:p>
    <w:p w14:paraId="401A8D20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C80FAF" w14:textId="77777777" w:rsidR="00A53FAD" w:rsidRDefault="00583BAF" w:rsidP="00A53FAD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log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se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agegro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up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specialwee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tim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5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se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agegrou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r>
          <w:rPr>
            <w:rFonts w:ascii="Cambria Math" w:eastAsia="Times New Roman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tim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*se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7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tim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*agegrou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8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tim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*se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*agegrou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specialwee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*se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10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specialwee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*agegrou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11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specialwee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*se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*agegrou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</m:oMath>
      <w:r w:rsidR="00A53FAD">
        <w:rPr>
          <w:rFonts w:ascii="Times New Roman" w:eastAsia="Times New Roman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ag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| se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weekofyear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|se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weekofyear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,ag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|se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log(θ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1976F02B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86CEE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E</m:t>
        </m:r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are the expected deaths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a given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week and population stratum,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population exposures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f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are smoothed functions of </w:t>
      </w:r>
      <w:r>
        <w:rPr>
          <w:rFonts w:ascii="Times New Roman" w:eastAsia="Times New Roman" w:hAnsi="Times New Roman" w:cs="Times New Roman"/>
          <w:sz w:val="24"/>
          <w:szCs w:val="24"/>
        </w:rPr>
        <w:t>continuous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covariates.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 penalized spline for the age effect with a dimension 6 basis,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is a penalized cyclic spline over week of year for the seasonality effect with a dimension 8 basis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is a smoothed interaction of age and seasonality.</w:t>
      </w:r>
    </w:p>
    <w:p w14:paraId="29A788A1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15BBD" w14:textId="77777777" w:rsidR="00E2619C" w:rsidRDefault="00583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second approach is a Generalized Additive Model assuming a Poisson distribution with the same structure as above. </w:t>
      </w:r>
    </w:p>
    <w:p w14:paraId="4F992492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1CD6BF" w14:textId="77777777" w:rsidR="00E2619C" w:rsidRDefault="00583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third approach is a Generalized Linear Model regression on weekly deaths assuming a Poisson distribution and featuring trigonometric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terms for the seasonal effect.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 so-called Serfling models [2,3] are </w:t>
      </w:r>
      <w:r>
        <w:rPr>
          <w:rFonts w:ascii="Times New Roman" w:eastAsia="Times New Roman" w:hAnsi="Times New Roman" w:cs="Times New Roman"/>
          <w:sz w:val="24"/>
          <w:szCs w:val="24"/>
        </w:rPr>
        <w:t>used to estimate baseline mortality during influenza epidemics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basic structure of the model is as follows:</w:t>
      </w:r>
    </w:p>
    <w:p w14:paraId="0A6731D6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3EF870E" w14:textId="77777777" w:rsidR="00E2619C" w:rsidRDefault="00583BAF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log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tim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sin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π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weekofye</m:t>
                      </m:r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52</m:t>
                  </m:r>
                </m:den>
              </m:f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cos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π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weekofyea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52</m:t>
                  </m:r>
                </m:den>
              </m:f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+</m:t>
          </m:r>
        </m:oMath>
      </m:oMathPara>
    </w:p>
    <w:p w14:paraId="071CF34A" w14:textId="77777777" w:rsidR="00E2619C" w:rsidRDefault="00583BA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sin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π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weekofyea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26</m:t>
                  </m:r>
                </m:den>
              </m:f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cos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π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weekofyea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26</m:t>
                  </m:r>
                </m:den>
              </m:f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log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),</m:t>
          </m:r>
        </m:oMath>
      </m:oMathPara>
    </w:p>
    <w:p w14:paraId="7CAE1121" w14:textId="77777777" w:rsidR="00E2619C" w:rsidRDefault="00583BAF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bookmarkStart w:id="2" w:name="_fwfsxkamqsqz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where all the terms are fully interacted with age and sex and “special weeks” are included in the same way as i</w:t>
      </w:r>
      <w:r>
        <w:rPr>
          <w:rFonts w:ascii="Times New Roman" w:eastAsia="Times New Roman" w:hAnsi="Times New Roman" w:cs="Times New Roman"/>
          <w:sz w:val="24"/>
          <w:szCs w:val="24"/>
        </w:rPr>
        <w:t>n the Generalized Additive models.</w:t>
      </w:r>
    </w:p>
    <w:p w14:paraId="214464E2" w14:textId="77777777" w:rsidR="00A53FAD" w:rsidRDefault="00583BAF" w:rsidP="00A53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constructed an empirical baseline mortality based on the average mortality rate over the previous five years 2015-19 within each week and stratum. The associated deaths from this approach result from multiplying the average death rates by the population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exposed to the risk. </w:t>
      </w:r>
    </w:p>
    <w:p w14:paraId="47506297" w14:textId="128C0910" w:rsidR="00E2619C" w:rsidRPr="00A53FAD" w:rsidRDefault="00583BAF" w:rsidP="00A53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27"/>
        <w:rPr>
          <w:rFonts w:ascii="Times New Roman" w:eastAsia="Times New Roman" w:hAnsi="Times New Roman" w:cs="Times New Roman"/>
          <w:sz w:val="24"/>
          <w:szCs w:val="24"/>
        </w:rPr>
      </w:pPr>
      <w:r w:rsidRPr="00A53FA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</w:t>
      </w:r>
      <w:r w:rsidRPr="00A53FAD">
        <w:rPr>
          <w:rFonts w:ascii="Times New Roman" w:eastAsia="Times New Roman" w:hAnsi="Times New Roman" w:cs="Times New Roman"/>
          <w:b/>
          <w:sz w:val="24"/>
          <w:szCs w:val="24"/>
        </w:rPr>
        <w:t xml:space="preserve">cess deaths produced with different models. </w:t>
      </w:r>
    </w:p>
    <w:p w14:paraId="71E31EA8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C1123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1. Total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deaths by the end of week </w:t>
      </w:r>
      <w:r>
        <w:rPr>
          <w:rFonts w:ascii="Times New Roman" w:eastAsia="Times New Roman" w:hAnsi="Times New Roman" w:cs="Times New Roman"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estimated with 4 different models with 95%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prediction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intervals in England and Wales. </w:t>
      </w:r>
    </w:p>
    <w:p w14:paraId="1CCA3A2B" w14:textId="77777777" w:rsidR="00E2619C" w:rsidRDefault="00E26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E2619C" w14:paraId="677EE7C2" w14:textId="77777777">
        <w:trPr>
          <w:trHeight w:val="590"/>
        </w:trPr>
        <w:tc>
          <w:tcPr>
            <w:tcW w:w="1680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3DEB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1FFB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2700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E88D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Male</w:t>
            </w:r>
          </w:p>
        </w:tc>
        <w:tc>
          <w:tcPr>
            <w:tcW w:w="2700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598A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2619C" w14:paraId="0FCC4366" w14:textId="77777777">
        <w:trPr>
          <w:trHeight w:val="590"/>
        </w:trPr>
        <w:tc>
          <w:tcPr>
            <w:tcW w:w="168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FB82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71A3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Excess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31AA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.05 PI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0A1E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.95 PI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060C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Excess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02CE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.05 PI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69D6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.95 PI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7C8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Excess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809B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.05 PI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A90D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.95 PI</w:t>
            </w:r>
          </w:p>
        </w:tc>
      </w:tr>
      <w:tr w:rsidR="00E2619C" w14:paraId="7FE31FAD" w14:textId="77777777">
        <w:trPr>
          <w:trHeight w:val="575"/>
        </w:trPr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5448" w14:textId="77777777" w:rsidR="00E2619C" w:rsidRDefault="00583BAF">
            <w:pPr>
              <w:spacing w:before="6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 Negative Binomial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18C9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25,629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AD90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23,244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3F48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27,954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A26C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31,791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C6F9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29,539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3212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33,853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C0CB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57,419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06EE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54,197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DAD7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60,752</w:t>
            </w:r>
          </w:p>
        </w:tc>
      </w:tr>
      <w:tr w:rsidR="00E2619C" w14:paraId="64726ADD" w14:textId="77777777">
        <w:trPr>
          <w:trHeight w:val="560"/>
        </w:trPr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2B2E" w14:textId="77777777" w:rsidR="00E2619C" w:rsidRDefault="00583BAF">
            <w:pPr>
              <w:spacing w:before="6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 Poisson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5CF3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25,597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BCED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24,721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A9A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26,487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758C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31,724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6296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30,893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EF88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32,667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027B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57,321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0CDD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56,044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4E94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58,538</w:t>
            </w:r>
          </w:p>
        </w:tc>
      </w:tr>
      <w:tr w:rsidR="00E2619C" w14:paraId="6812A4E8" w14:textId="77777777">
        <w:trPr>
          <w:trHeight w:val="560"/>
        </w:trPr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9E18" w14:textId="77777777" w:rsidR="00E2619C" w:rsidRDefault="00583BAF">
            <w:pPr>
              <w:spacing w:before="6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GLM Poisson (Serfling)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B139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25,341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9B84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24,464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FF8E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26,188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B3F0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31,463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F7B9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30,605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3F82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32,337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4D1F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56,804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7182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55,605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5A80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57,933</w:t>
            </w:r>
          </w:p>
        </w:tc>
      </w:tr>
      <w:tr w:rsidR="00E2619C" w14:paraId="38692E57" w14:textId="77777777">
        <w:trPr>
          <w:trHeight w:val="590"/>
        </w:trPr>
        <w:tc>
          <w:tcPr>
            <w:tcW w:w="168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5244" w14:textId="77777777" w:rsidR="00E2619C" w:rsidRDefault="00583BAF">
            <w:pPr>
              <w:spacing w:before="60"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mortality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C973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22,087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3D4E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21,269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D531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22,969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9C61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26,969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1E70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26,110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896D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27,801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F32A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49,056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608F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47,867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20AC" w14:textId="77777777" w:rsidR="00E2619C" w:rsidRPr="00A53FAD" w:rsidRDefault="00583BAF">
            <w:pPr>
              <w:spacing w:before="60"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FAD">
              <w:rPr>
                <w:rFonts w:ascii="Times New Roman" w:eastAsia="Times New Roman" w:hAnsi="Times New Roman" w:cs="Times New Roman"/>
                <w:sz w:val="20"/>
                <w:szCs w:val="20"/>
              </w:rPr>
              <w:t>50,319</w:t>
            </w:r>
          </w:p>
        </w:tc>
      </w:tr>
    </w:tbl>
    <w:p w14:paraId="3623A0DD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F0F49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B5A248E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 2. </w:t>
      </w:r>
      <w:r>
        <w:rPr>
          <w:rFonts w:ascii="Times New Roman" w:eastAsia="Times New Roman" w:hAnsi="Times New Roman" w:cs="Times New Roman"/>
          <w:sz w:val="24"/>
          <w:szCs w:val="24"/>
        </w:rPr>
        <w:t>Total excess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deaths by the end of week </w:t>
      </w:r>
      <w:r>
        <w:rPr>
          <w:rFonts w:ascii="Times New Roman" w:eastAsia="Times New Roman" w:hAnsi="Times New Roman" w:cs="Times New Roman"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estimated with 4 different models by age and sex with 95% predictive intervals in England and Wales.</w:t>
      </w:r>
    </w:p>
    <w:p w14:paraId="4C394EE6" w14:textId="77777777" w:rsidR="00E2619C" w:rsidRDefault="00E26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1250"/>
        <w:gridCol w:w="980"/>
        <w:gridCol w:w="905"/>
        <w:gridCol w:w="905"/>
        <w:gridCol w:w="920"/>
        <w:gridCol w:w="905"/>
        <w:gridCol w:w="905"/>
      </w:tblGrid>
      <w:tr w:rsidR="00E2619C" w14:paraId="4C922159" w14:textId="77777777">
        <w:trPr>
          <w:trHeight w:val="620"/>
        </w:trPr>
        <w:tc>
          <w:tcPr>
            <w:tcW w:w="3640" w:type="dxa"/>
            <w:gridSpan w:val="2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BC60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7B27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2730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5D8F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E2619C" w14:paraId="52BC3F48" w14:textId="77777777">
        <w:trPr>
          <w:trHeight w:val="590"/>
        </w:trPr>
        <w:tc>
          <w:tcPr>
            <w:tcW w:w="239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2A7A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25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474F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 group</w:t>
            </w:r>
          </w:p>
        </w:tc>
        <w:tc>
          <w:tcPr>
            <w:tcW w:w="98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9C5C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Excess</w:t>
            </w:r>
          </w:p>
        </w:tc>
        <w:tc>
          <w:tcPr>
            <w:tcW w:w="905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363D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.05 PI</w:t>
            </w:r>
          </w:p>
        </w:tc>
        <w:tc>
          <w:tcPr>
            <w:tcW w:w="905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7A35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.95 PI</w:t>
            </w:r>
          </w:p>
        </w:tc>
        <w:tc>
          <w:tcPr>
            <w:tcW w:w="92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800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Excess</w:t>
            </w:r>
          </w:p>
        </w:tc>
        <w:tc>
          <w:tcPr>
            <w:tcW w:w="905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7C2F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.05 PI</w:t>
            </w:r>
          </w:p>
        </w:tc>
        <w:tc>
          <w:tcPr>
            <w:tcW w:w="905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FC27" w14:textId="77777777" w:rsidR="00E2619C" w:rsidRDefault="00583BAF">
            <w:pPr>
              <w:spacing w:before="60" w:after="6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.95 PI</w:t>
            </w:r>
          </w:p>
        </w:tc>
      </w:tr>
      <w:tr w:rsidR="00E2619C" w14:paraId="58085FBC" w14:textId="77777777">
        <w:trPr>
          <w:trHeight w:val="313"/>
        </w:trPr>
        <w:tc>
          <w:tcPr>
            <w:tcW w:w="239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8234" w14:textId="77777777" w:rsidR="00E2619C" w:rsidRDefault="00583BAF">
            <w:pPr>
              <w:spacing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 Negative Binomial</w:t>
            </w: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BE9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3551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099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-142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464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17911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-88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5D4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-161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CB63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E2619C" w14:paraId="52502AC5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88C3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4760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FEE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FB04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246E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4FE1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91BE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FF0A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</w:tr>
      <w:tr w:rsidR="00E2619C" w14:paraId="3E5A95E3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9F88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07A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1B84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2,584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CD9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2,135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8E461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3,044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E39A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5,275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878B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4,634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9FDC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5,907</w:t>
            </w:r>
          </w:p>
        </w:tc>
      </w:tr>
      <w:tr w:rsidR="00E2619C" w14:paraId="1ADB67D2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EC93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855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2E7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3,440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ED582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2,845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1ACF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4,070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6AB7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6,395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E008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5,531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7094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7,221</w:t>
            </w:r>
          </w:p>
        </w:tc>
      </w:tr>
      <w:tr w:rsidR="00E2619C" w14:paraId="383EA837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AAF44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2A49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0E31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7,760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49FA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6,636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A43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8,903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88E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10,831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6E53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9,365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4BDB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12,223</w:t>
            </w:r>
          </w:p>
        </w:tc>
      </w:tr>
      <w:tr w:rsidR="00E2619C" w14:paraId="4DE4AC25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80957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B33C2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7B8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11,592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9EDE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9,536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76472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13,674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53A7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9,049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956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7,704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F2B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10,338</w:t>
            </w:r>
          </w:p>
        </w:tc>
      </w:tr>
      <w:tr w:rsidR="00E2619C" w14:paraId="4830A617" w14:textId="77777777">
        <w:trPr>
          <w:trHeight w:val="313"/>
        </w:trPr>
        <w:tc>
          <w:tcPr>
            <w:tcW w:w="239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CEF97" w14:textId="77777777" w:rsidR="00E2619C" w:rsidRDefault="00583BAF">
            <w:pPr>
              <w:spacing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 Poisson</w:t>
            </w: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0602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4978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5B8B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CE1F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54FC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E5C8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-164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5E4A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</w:tr>
      <w:tr w:rsidR="00E2619C" w14:paraId="0E42B723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0A3A4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2718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A65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CC821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6502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1B3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81E5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FE3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507</w:t>
            </w:r>
          </w:p>
        </w:tc>
      </w:tr>
      <w:tr w:rsidR="00E2619C" w14:paraId="338AFE76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878CE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F4E6E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0926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2,586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D34F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2,337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690F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2,830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469B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5,269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943DC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4,971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503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5,565</w:t>
            </w:r>
          </w:p>
        </w:tc>
      </w:tr>
      <w:tr w:rsidR="00E2619C" w14:paraId="68F4E9E8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BC59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6871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A22D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3,407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CB5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3,110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02FF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3,735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C86C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6,283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B196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5,923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0BD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6,662</w:t>
            </w:r>
          </w:p>
        </w:tc>
      </w:tr>
      <w:tr w:rsidR="00E2619C" w14:paraId="54ABD5E3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48F8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03D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66A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7,719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330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7,269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C32F1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8,181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FF2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10,770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261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10,296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1905B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11,235</w:t>
            </w:r>
          </w:p>
        </w:tc>
      </w:tr>
      <w:tr w:rsidR="00E2619C" w14:paraId="0DB78146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955B5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9DE5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846C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11,634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14C1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11,063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EAC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12,264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FDD1C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9,159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26EF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8,684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6B91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9,624</w:t>
            </w:r>
          </w:p>
        </w:tc>
      </w:tr>
      <w:tr w:rsidR="00E2619C" w14:paraId="0DEFE692" w14:textId="77777777">
        <w:trPr>
          <w:trHeight w:val="313"/>
        </w:trPr>
        <w:tc>
          <w:tcPr>
            <w:tcW w:w="239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70CB5" w14:textId="77777777" w:rsidR="00E2619C" w:rsidRDefault="00583BAF">
            <w:pPr>
              <w:spacing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GLM Poisson (Serfling)</w:t>
            </w: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F510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21C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BDE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8B3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6064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BE16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-160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41AA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-18</w:t>
            </w:r>
          </w:p>
        </w:tc>
      </w:tr>
      <w:tr w:rsidR="00E2619C" w14:paraId="7CDE3C39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D22F7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332D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295DB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BE96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A4A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B6AA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7281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8CBC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491</w:t>
            </w:r>
          </w:p>
        </w:tc>
      </w:tr>
      <w:tr w:rsidR="00E2619C" w14:paraId="0B31E308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959FA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DD50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1C468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2,583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8AE5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2,313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E9F1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2,841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F8E2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5,248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529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4,939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5942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5,581</w:t>
            </w:r>
          </w:p>
        </w:tc>
      </w:tr>
      <w:tr w:rsidR="00E2619C" w14:paraId="1F918E5C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603B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B855B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7F0A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3,332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8864B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3,029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4D19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3,661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B911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6,225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9CE2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5,861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896E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6,597</w:t>
            </w:r>
          </w:p>
        </w:tc>
      </w:tr>
      <w:tr w:rsidR="00E2619C" w14:paraId="20AA0A02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17B2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CCAF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AA7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7,679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25712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7,242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31E1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8,120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615F2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10,665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4CA9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10,208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CEF6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11,142</w:t>
            </w:r>
          </w:p>
        </w:tc>
      </w:tr>
      <w:tr w:rsidR="00E2619C" w14:paraId="09FDF7AB" w14:textId="77777777">
        <w:trPr>
          <w:trHeight w:val="313"/>
        </w:trPr>
        <w:tc>
          <w:tcPr>
            <w:tcW w:w="239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EA74C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4EDC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6C4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11,500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5468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10,916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F34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12,081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A8D1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9,083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3264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8,606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FA4B1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9,535</w:t>
            </w:r>
          </w:p>
        </w:tc>
      </w:tr>
      <w:tr w:rsidR="00E2619C" w14:paraId="3C79A88F" w14:textId="77777777">
        <w:trPr>
          <w:trHeight w:val="313"/>
        </w:trPr>
        <w:tc>
          <w:tcPr>
            <w:tcW w:w="2390" w:type="dxa"/>
            <w:vMerge w:val="restart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0BAC" w14:textId="77777777" w:rsidR="00E2619C" w:rsidRDefault="00583BAF">
            <w:pPr>
              <w:spacing w:after="6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mortality</w:t>
            </w: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3BA4C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ED658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-187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B48E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-253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631B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-122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EF38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-234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05688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-308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481E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-156</w:t>
            </w:r>
          </w:p>
        </w:tc>
      </w:tr>
      <w:tr w:rsidR="00E2619C" w14:paraId="7A75F2FB" w14:textId="77777777">
        <w:trPr>
          <w:trHeight w:val="313"/>
        </w:trPr>
        <w:tc>
          <w:tcPr>
            <w:tcW w:w="2390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3DCF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E918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0EB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B69E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9D00E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F717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0CDE8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7F16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E2619C" w14:paraId="4D7AB6C6" w14:textId="77777777">
        <w:trPr>
          <w:trHeight w:val="313"/>
        </w:trPr>
        <w:tc>
          <w:tcPr>
            <w:tcW w:w="2390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78836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515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B3D2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2,146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57E8B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1,863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8CF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2,418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8E5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4,644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F786C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4,324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C3FE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4,976</w:t>
            </w:r>
          </w:p>
        </w:tc>
      </w:tr>
      <w:tr w:rsidR="00E2619C" w14:paraId="64F1DF39" w14:textId="77777777">
        <w:trPr>
          <w:trHeight w:val="313"/>
        </w:trPr>
        <w:tc>
          <w:tcPr>
            <w:tcW w:w="2390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2990D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680B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56D4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2,767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D6966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2,459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4187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3,083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BA73F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5,120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BCF2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4,761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654D9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5,480</w:t>
            </w:r>
          </w:p>
        </w:tc>
      </w:tr>
      <w:tr w:rsidR="00E2619C" w14:paraId="2FB564CB" w14:textId="77777777">
        <w:trPr>
          <w:trHeight w:val="313"/>
        </w:trPr>
        <w:tc>
          <w:tcPr>
            <w:tcW w:w="2390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D781B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7AF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A9FA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5,676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ADE2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5,233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9188B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6,103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F63F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8,495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9C70E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8,008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627E5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8,962</w:t>
            </w:r>
          </w:p>
        </w:tc>
      </w:tr>
      <w:tr w:rsidR="00E2619C" w14:paraId="19CA23E4" w14:textId="77777777">
        <w:trPr>
          <w:trHeight w:val="313"/>
        </w:trPr>
        <w:tc>
          <w:tcPr>
            <w:tcW w:w="2390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8919" w14:textId="77777777" w:rsidR="00E2619C" w:rsidRDefault="00E2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07D9D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8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FE1B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11,433</w:t>
            </w:r>
          </w:p>
        </w:tc>
        <w:tc>
          <w:tcPr>
            <w:tcW w:w="905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27EEC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10,843</w:t>
            </w:r>
          </w:p>
        </w:tc>
        <w:tc>
          <w:tcPr>
            <w:tcW w:w="905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F6FA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12,066</w:t>
            </w:r>
          </w:p>
        </w:tc>
        <w:tc>
          <w:tcPr>
            <w:tcW w:w="92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ECD74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8,768</w:t>
            </w:r>
          </w:p>
        </w:tc>
        <w:tc>
          <w:tcPr>
            <w:tcW w:w="905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CC610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8,275</w:t>
            </w:r>
          </w:p>
        </w:tc>
        <w:tc>
          <w:tcPr>
            <w:tcW w:w="905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73573" w14:textId="77777777" w:rsidR="00E2619C" w:rsidRDefault="00583BAF">
            <w:pPr>
              <w:spacing w:after="60" w:line="240" w:lineRule="auto"/>
              <w:ind w:left="60"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9,256</w:t>
            </w:r>
          </w:p>
        </w:tc>
      </w:tr>
    </w:tbl>
    <w:p w14:paraId="7ACFB49F" w14:textId="77777777" w:rsidR="00E2619C" w:rsidRDefault="00E261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12CF4" w14:textId="77777777" w:rsidR="00E2619C" w:rsidRDefault="00583BA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E364369" w14:textId="77777777" w:rsidR="00E2619C" w:rsidRDefault="00583B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14:paraId="02C50AE2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Wood SN.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Generalized Additive Models: An Introduction with R, Second Edition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CRC Press 2017. </w:t>
      </w:r>
    </w:p>
    <w:p w14:paraId="5C3F3DC4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Nielsen J, Krause TG,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Mølbak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K. Influenza-associated mortality determined from all-cause mortality, Denmark 2010/11-2016/17: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FluMOMO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Influenza Other Respir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Viruses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2018;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:591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–604. doi:10.1111/irv.12564</w:t>
      </w:r>
    </w:p>
    <w:p w14:paraId="013174DB" w14:textId="77777777" w:rsidR="00E2619C" w:rsidRDefault="00583B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Serfling RE. Methods for Current Statistical Analysis of Excess Pneumonia-Influenza Deaths.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Public Health Rep 1896-1970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1963;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78</w:t>
      </w:r>
      <w:r>
        <w:rPr>
          <w:rFonts w:ascii="Times New Roman" w:eastAsia="Times New Roman" w:hAnsi="Times New Roman" w:cs="Times New Roman"/>
          <w:sz w:val="24"/>
          <w:szCs w:val="24"/>
        </w:rPr>
        <w:t>:494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–506. doi:10.2307/4591848</w:t>
      </w:r>
    </w:p>
    <w:p w14:paraId="615CA835" w14:textId="77777777" w:rsidR="00E2619C" w:rsidRDefault="00583BA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AADF15E" w14:textId="77777777" w:rsidR="00E2619C" w:rsidRDefault="00583B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1. Expected (lines) vs. observed deaths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(points) counts based on the 4 approaches described above for males by age groups (rows) 0-14, 15-44, 45-64, 65-74, 75-84 and 85-older years of age. Shaded areas indicate 95% prediction intervals.</w:t>
      </w:r>
    </w:p>
    <w:p w14:paraId="3E11689B" w14:textId="77777777" w:rsidR="00E2619C" w:rsidRDefault="00583BAF">
      <w:pPr>
        <w:ind w:right="-4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BF6037" wp14:editId="50DAE40A">
            <wp:extent cx="6120130" cy="4826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728" b="7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6EAC2" w14:textId="77777777" w:rsidR="00E2619C" w:rsidRDefault="00E2619C">
      <w:pPr>
        <w:ind w:right="-427"/>
        <w:rPr>
          <w:rFonts w:ascii="Times New Roman" w:eastAsia="Times New Roman" w:hAnsi="Times New Roman" w:cs="Times New Roman"/>
          <w:sz w:val="24"/>
          <w:szCs w:val="24"/>
        </w:rPr>
      </w:pPr>
    </w:p>
    <w:p w14:paraId="01C8F643" w14:textId="77777777" w:rsidR="00E2619C" w:rsidRDefault="00583BA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9C1D64" w14:textId="77777777" w:rsidR="00E2619C" w:rsidRDefault="00583BAF">
      <w:pPr>
        <w:ind w:right="-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2. Expected (lines) vs. observed deaths (points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counts based on the 4 approaches described above for females by age groups (rows) 0-14, 15-44, 45-64, 65-74, 75-84 and 85-older years of age. Shaded areas indicate 95% prediction intervals.</w:t>
      </w:r>
    </w:p>
    <w:p w14:paraId="21204FE3" w14:textId="77777777" w:rsidR="00E2619C" w:rsidRDefault="00583BAF">
      <w:pPr>
        <w:ind w:right="-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6B271A" wp14:editId="41C7F79F">
            <wp:extent cx="6120130" cy="481457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844" b="8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577AD" w14:textId="77777777" w:rsidR="00E2619C" w:rsidRDefault="00E2619C">
      <w:pPr>
        <w:ind w:right="-42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D1B3D" w14:textId="77777777" w:rsidR="00E2619C" w:rsidRDefault="00E2619C">
      <w:pPr>
        <w:ind w:right="-427"/>
        <w:rPr>
          <w:rFonts w:ascii="Times New Roman" w:eastAsia="Times New Roman" w:hAnsi="Times New Roman" w:cs="Times New Roman"/>
          <w:sz w:val="24"/>
          <w:szCs w:val="24"/>
        </w:rPr>
      </w:pPr>
    </w:p>
    <w:p w14:paraId="583AC282" w14:textId="77777777" w:rsidR="00E2619C" w:rsidRDefault="00583B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144DCC7" w14:textId="77777777" w:rsidR="00E2619C" w:rsidRDefault="00583B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3. Sex ratio males/females of death rates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during 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 course 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pandemic by age groups (rows) 0-14, 15-44, 45-64, 65-74, 75-84 and 85-older years of age.</w:t>
      </w:r>
    </w:p>
    <w:p w14:paraId="29D6992F" w14:textId="77777777" w:rsidR="00E2619C" w:rsidRDefault="00583B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F736D3F" wp14:editId="7A32E599">
            <wp:extent cx="6119820" cy="612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12" r="12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2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619C">
      <w:footerReference w:type="default" r:id="rId12"/>
      <w:pgSz w:w="11906" w:h="16838"/>
      <w:pgMar w:top="1701" w:right="1134" w:bottom="1701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835AC" w14:textId="77777777" w:rsidR="00583BAF" w:rsidRDefault="00583BAF">
      <w:pPr>
        <w:spacing w:after="0" w:line="240" w:lineRule="auto"/>
      </w:pPr>
      <w:r>
        <w:separator/>
      </w:r>
    </w:p>
  </w:endnote>
  <w:endnote w:type="continuationSeparator" w:id="0">
    <w:p w14:paraId="2B91CCFF" w14:textId="77777777" w:rsidR="00583BAF" w:rsidRDefault="0058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90532" w14:textId="77777777" w:rsidR="00E2619C" w:rsidRDefault="00583B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53FAD">
      <w:rPr>
        <w:color w:val="000000"/>
      </w:rPr>
      <w:fldChar w:fldCharType="separate"/>
    </w:r>
    <w:r w:rsidR="00A53FAD">
      <w:rPr>
        <w:noProof/>
        <w:color w:val="000000"/>
      </w:rPr>
      <w:t>1</w:t>
    </w:r>
    <w:r>
      <w:rPr>
        <w:color w:val="000000"/>
      </w:rPr>
      <w:fldChar w:fldCharType="end"/>
    </w:r>
  </w:p>
  <w:p w14:paraId="65C92747" w14:textId="77777777" w:rsidR="00E2619C" w:rsidRDefault="00E2619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DF073" w14:textId="77777777" w:rsidR="00583BAF" w:rsidRDefault="00583BAF">
      <w:pPr>
        <w:spacing w:after="0" w:line="240" w:lineRule="auto"/>
      </w:pPr>
      <w:r>
        <w:separator/>
      </w:r>
    </w:p>
  </w:footnote>
  <w:footnote w:type="continuationSeparator" w:id="0">
    <w:p w14:paraId="1D513921" w14:textId="77777777" w:rsidR="00583BAF" w:rsidRDefault="00583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F4BAF"/>
    <w:multiLevelType w:val="multilevel"/>
    <w:tmpl w:val="7406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9C"/>
    <w:rsid w:val="00583BAF"/>
    <w:rsid w:val="00A53FAD"/>
    <w:rsid w:val="00E2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95D8"/>
  <w15:docId w15:val="{CF2D5F78-FF6E-40D6-BA93-66EEA9A1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dhi.kashyap@sociology.ox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-manuel.aburto@sociology.ox.ac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Manuel Aburto</cp:lastModifiedBy>
  <cp:revision>2</cp:revision>
  <dcterms:created xsi:type="dcterms:W3CDTF">2020-12-07T15:55:00Z</dcterms:created>
  <dcterms:modified xsi:type="dcterms:W3CDTF">2020-12-07T15:56:00Z</dcterms:modified>
</cp:coreProperties>
</file>