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D6C6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mjapvr8xaqvt" w:colFirst="0" w:colLast="0"/>
      <w:bookmarkEnd w:id="0"/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Title: Estimating the burden of COVID-19 on mortality, life expectancy and lifespan inequality in E</w:t>
      </w: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ngland and Wales: A population-level analysis </w:t>
      </w:r>
    </w:p>
    <w:p w14:paraId="25E037DB" w14:textId="77777777" w:rsidR="00327DA7" w:rsidRPr="001C3983" w:rsidRDefault="00327DA7">
      <w:pPr>
        <w:rPr>
          <w:rFonts w:ascii="Times New Roman" w:hAnsi="Times New Roman" w:cs="Times New Roman"/>
          <w:sz w:val="24"/>
          <w:szCs w:val="24"/>
        </w:rPr>
      </w:pPr>
    </w:p>
    <w:p w14:paraId="25CBA2CE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Authors: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José Manuel Aburto, Newton fellow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1,2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, Ridhi Kashyap, associate professor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, Jonas Schöley, postdoctoral fellow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, Colin Angus, senior research fellow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, John Ermisch, professor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, Melinda C. Mills, profe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ssor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, Jennifer Beam Dowd, associate professor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p w14:paraId="10316EF0" w14:textId="77777777" w:rsidR="00327DA7" w:rsidRPr="001C3983" w:rsidRDefault="00327DA7">
      <w:pPr>
        <w:rPr>
          <w:rFonts w:ascii="Times New Roman" w:hAnsi="Times New Roman" w:cs="Times New Roman"/>
          <w:sz w:val="24"/>
          <w:szCs w:val="24"/>
        </w:rPr>
      </w:pPr>
    </w:p>
    <w:p w14:paraId="5379A635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Affiliations:</w:t>
      </w:r>
    </w:p>
    <w:p w14:paraId="7CEA21DB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Leverhulme Centre for Demographic Science, Department of Sociology and Nuffield College, University of Oxford, 42-43 Park End Street, OX1 1JD Oxford, UK.</w:t>
      </w:r>
    </w:p>
    <w:p w14:paraId="3D21D043" w14:textId="77777777" w:rsidR="00327DA7" w:rsidRPr="001C3983" w:rsidRDefault="00327DA7">
      <w:pPr>
        <w:rPr>
          <w:rFonts w:ascii="Times New Roman" w:hAnsi="Times New Roman" w:cs="Times New Roman"/>
          <w:sz w:val="24"/>
          <w:szCs w:val="24"/>
        </w:rPr>
      </w:pPr>
    </w:p>
    <w:p w14:paraId="553F5E00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Interdisciplinary Centre on Population Dynamics, University of Southern Denmark, Odense 5000, Denm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ark.</w:t>
      </w:r>
    </w:p>
    <w:p w14:paraId="7B0600A9" w14:textId="77777777" w:rsidR="00327DA7" w:rsidRPr="001C3983" w:rsidRDefault="00327DA7">
      <w:pPr>
        <w:rPr>
          <w:rFonts w:ascii="Times New Roman" w:hAnsi="Times New Roman" w:cs="Times New Roman"/>
          <w:sz w:val="24"/>
          <w:szCs w:val="24"/>
        </w:rPr>
      </w:pPr>
    </w:p>
    <w:p w14:paraId="30544B5B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3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School of Health and Related Research, University of Sheffield, Regent Court, Regent Street, S1 4DA Sheffield, UK</w:t>
      </w:r>
    </w:p>
    <w:p w14:paraId="2CDBB48E" w14:textId="77777777" w:rsidR="00327DA7" w:rsidRPr="001C3983" w:rsidRDefault="00327DA7">
      <w:pPr>
        <w:rPr>
          <w:rFonts w:ascii="Times New Roman" w:hAnsi="Times New Roman" w:cs="Times New Roman"/>
          <w:sz w:val="24"/>
          <w:szCs w:val="24"/>
        </w:rPr>
      </w:pPr>
    </w:p>
    <w:p w14:paraId="03AA84E8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Correspondence to: </w:t>
      </w:r>
    </w:p>
    <w:p w14:paraId="3FB9592D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José Manuel Aburto</w:t>
      </w:r>
    </w:p>
    <w:p w14:paraId="449EE339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42-43 Park End Street, OX1 1JD Oxford, UK.</w:t>
      </w:r>
    </w:p>
    <w:p w14:paraId="1E7FCD50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7">
        <w:r w:rsidRPr="001C39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jose-manuel.aburto@sociology.ox.ac.uk</w:t>
        </w:r>
      </w:hyperlink>
    </w:p>
    <w:p w14:paraId="27F4341B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Tel: +45 31712122</w:t>
      </w:r>
    </w:p>
    <w:p w14:paraId="5E7FB291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ORCID: 0000-0002-2926-6879</w:t>
      </w:r>
    </w:p>
    <w:p w14:paraId="63F25ECF" w14:textId="77777777" w:rsidR="00327DA7" w:rsidRPr="001C3983" w:rsidRDefault="00327DA7">
      <w:pPr>
        <w:rPr>
          <w:rFonts w:ascii="Times New Roman" w:hAnsi="Times New Roman" w:cs="Times New Roman"/>
          <w:sz w:val="24"/>
          <w:szCs w:val="24"/>
        </w:rPr>
      </w:pPr>
    </w:p>
    <w:p w14:paraId="642C07E2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14:paraId="08375D65" w14:textId="77777777" w:rsidR="00327DA7" w:rsidRPr="001C3983" w:rsidRDefault="00327DA7">
      <w:pPr>
        <w:rPr>
          <w:rFonts w:ascii="Times New Roman" w:hAnsi="Times New Roman" w:cs="Times New Roman"/>
          <w:sz w:val="24"/>
          <w:szCs w:val="24"/>
        </w:rPr>
      </w:pPr>
    </w:p>
    <w:p w14:paraId="4F069B92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Ridhi Kashyap</w:t>
      </w:r>
    </w:p>
    <w:p w14:paraId="4B8B0C80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Nuffield College, New Road, Oxford OX1 1NF</w:t>
      </w:r>
    </w:p>
    <w:p w14:paraId="306B69E3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8">
        <w:r w:rsidRPr="001C398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ridhi.kashyap@sociology.ox.ac.uk</w:t>
        </w:r>
      </w:hyperlink>
    </w:p>
    <w:p w14:paraId="23C9E5B6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ORCID: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0000-0003-0615-2868</w:t>
      </w:r>
    </w:p>
    <w:p w14:paraId="137E2C18" w14:textId="77777777" w:rsidR="00327DA7" w:rsidRPr="001C3983" w:rsidRDefault="002C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983">
        <w:rPr>
          <w:rFonts w:ascii="Times New Roman" w:hAnsi="Times New Roman" w:cs="Times New Roman"/>
          <w:sz w:val="24"/>
          <w:szCs w:val="24"/>
        </w:rPr>
        <w:br w:type="page"/>
      </w:r>
    </w:p>
    <w:p w14:paraId="6A6E584D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Section 1. Estimation of the baseline mortality risk using 4 different approaches using training data from 2010 to week 10 of 2020 by age</w:t>
      </w: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sex. </w:t>
      </w:r>
    </w:p>
    <w:p w14:paraId="263E7C08" w14:textId="77777777" w:rsidR="00327DA7" w:rsidRPr="001C3983" w:rsidRDefault="003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57B42D" w14:textId="12C16972" w:rsidR="00327DA7" w:rsidRPr="001C3983" w:rsidRDefault="002C3295" w:rsidP="00C352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Generalized Additive Model assuming a Negative Binomial distribution to account for overdispersion of deaths during the period we study[1]. The model includes smooth effects for the long term trend, age and seasonality, and an interaction betwe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en age and seasonality. The smooth effects are stratified by sex. The basic structure of the model is as follows:</w:t>
      </w:r>
    </w:p>
    <w:p w14:paraId="20F6FDDA" w14:textId="3E7559F4" w:rsidR="00C35294" w:rsidRPr="001C3983" w:rsidRDefault="00C35294" w:rsidP="00C352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450D1" w14:textId="77777777" w:rsidR="001C3983" w:rsidRPr="001C3983" w:rsidRDefault="00C35294" w:rsidP="00C35294">
      <w:pPr>
        <w:pStyle w:val="FirstParagraph"/>
        <w:rPr>
          <w:rFonts w:ascii="Times New Roman" w:hAnsi="Times New Roman" w:cs="Times New Roman"/>
          <w:sz w:val="20"/>
          <w:szCs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logE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 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day×sex×age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day×sex×age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time×sex×age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time×sex×age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)+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age|sex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week|sex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week,age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Neg.Bin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e>
            </m:mr>
          </m:m>
        </m:oMath>
      </m:oMathPara>
    </w:p>
    <w:p w14:paraId="426DC1FA" w14:textId="395B2203" w:rsidR="00327DA7" w:rsidRPr="001C3983" w:rsidRDefault="00C35294" w:rsidP="001C3983">
      <w:pPr>
        <w:pStyle w:val="FirstParagraph"/>
        <w:ind w:left="720"/>
        <w:rPr>
          <w:rFonts w:ascii="Times New Roman" w:hAnsi="Times New Roman" w:cs="Times New Roman"/>
        </w:rPr>
      </w:pPr>
      <w:r w:rsidRPr="001C3983"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Pr="001C3983">
        <w:rPr>
          <w:rFonts w:ascii="Times New Roman" w:hAnsi="Times New Roman" w:cs="Times New Roman"/>
        </w:rPr>
        <w:t xml:space="preserve"> are the expected deaths in a given week,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1C3983">
        <w:rPr>
          <w:rFonts w:ascii="Times New Roman" w:hAnsi="Times New Roman" w:cs="Times New Roman"/>
        </w:rPr>
        <w:t xml:space="preserve"> are the exposure times,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C3983">
        <w:rPr>
          <w:rFonts w:ascii="Times New Roman" w:hAnsi="Times New Roman" w:cs="Times New Roman"/>
        </w:rPr>
        <w:t xml:space="preserve"> are smooth functions.</w:t>
      </w:r>
    </w:p>
    <w:p w14:paraId="07B75A68" w14:textId="23D51F78" w:rsidR="00327DA7" w:rsidRPr="001C3983" w:rsidRDefault="002C3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second approach is a Generalized Additive Model assuming a Poisson distribution with the same structure as above. </w:t>
      </w:r>
    </w:p>
    <w:p w14:paraId="422503C1" w14:textId="77777777" w:rsidR="001C3983" w:rsidRPr="001C3983" w:rsidRDefault="001C3983" w:rsidP="001C39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61DAA" w14:textId="61E0BBB4" w:rsidR="00327DA7" w:rsidRPr="001C3983" w:rsidRDefault="002C3295" w:rsidP="001C3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The third approach is a Generalized Linear Model assuming a Poisson distribution us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ed to estimate baseline mortality during influenza epidemics and known as Serfling model[2,3]. The basic structure of the model is as follows:</w:t>
      </w:r>
    </w:p>
    <w:p w14:paraId="058DCBE6" w14:textId="77777777" w:rsidR="001C3983" w:rsidRPr="001C3983" w:rsidRDefault="001C3983" w:rsidP="001C39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E9768F" w14:textId="4F4B93BE" w:rsidR="001C3983" w:rsidRPr="001C3983" w:rsidRDefault="001C3983" w:rsidP="001C3983">
      <w:pPr>
        <w:pStyle w:val="FirstParagraph"/>
        <w:ind w:left="360"/>
        <w:rPr>
          <w:rFonts w:ascii="Times New Roman" w:hAnsi="Times New Roman" w:cs="Times New Roman"/>
          <w:sz w:val="20"/>
          <w:szCs w:val="20"/>
        </w:rPr>
      </w:pPr>
      <m:oMathPara>
        <m:oMath>
          <m:m>
            <m:mPr>
              <m:baseJc m:val="top"/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logE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 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day×sex×age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day×sex×age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time×sex×age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time×sex×age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)+</m:t>
                </m: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week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age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sex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week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age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sex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week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age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sex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week×age×sex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week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age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sex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Pois.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e>
            </m:mr>
          </m:m>
        </m:oMath>
      </m:oMathPara>
    </w:p>
    <w:p w14:paraId="7F6C0A07" w14:textId="77777777" w:rsidR="001C3983" w:rsidRPr="001C3983" w:rsidRDefault="001C3983" w:rsidP="001C39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5B9ED6" w14:textId="77777777" w:rsidR="00327DA7" w:rsidRPr="001C3983" w:rsidRDefault="002C3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30j0zll" w:colFirst="0" w:colLast="0"/>
      <w:bookmarkEnd w:id="1"/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We constructed an empirical baseline mortality based on the average mortality rate over the previous five years 2015-19 within each week and stratum. The associated deaths from this approach result from multiplying the average death rates by the population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exposed to the risk. </w:t>
      </w:r>
    </w:p>
    <w:p w14:paraId="79E96B81" w14:textId="77777777" w:rsidR="00327DA7" w:rsidRPr="001C3983" w:rsidRDefault="003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F8AAB0" w14:textId="77777777" w:rsidR="001C3983" w:rsidRPr="001C3983" w:rsidRDefault="001C398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ACE2622" w14:textId="4E79DBF8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Excess deaths produced with different models. </w:t>
      </w:r>
    </w:p>
    <w:p w14:paraId="219999FB" w14:textId="77777777" w:rsidR="00327DA7" w:rsidRPr="001C3983" w:rsidRDefault="003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B4EB6E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1. Total </w:t>
      </w:r>
      <w:r w:rsidRPr="001C3983">
        <w:rPr>
          <w:rFonts w:ascii="Times New Roman" w:eastAsia="Times New Roman" w:hAnsi="Times New Roman" w:cs="Times New Roman"/>
          <w:sz w:val="24"/>
          <w:szCs w:val="24"/>
        </w:rPr>
        <w:t xml:space="preserve">excess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deaths by the end of week </w:t>
      </w:r>
      <w:r w:rsidRPr="001C3983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estimated with 4 different models with 95% </w:t>
      </w:r>
      <w:r w:rsidRPr="001C3983"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intervals in England and Wales. </w:t>
      </w:r>
    </w:p>
    <w:p w14:paraId="63B8AC1B" w14:textId="77777777" w:rsidR="00327DA7" w:rsidRPr="001C3983" w:rsidRDefault="003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F7D26" w14:textId="77777777" w:rsidR="00327DA7" w:rsidRPr="001C3983" w:rsidRDefault="00327D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7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1"/>
        <w:gridCol w:w="832"/>
        <w:gridCol w:w="936"/>
        <w:gridCol w:w="929"/>
        <w:gridCol w:w="832"/>
        <w:gridCol w:w="936"/>
        <w:gridCol w:w="929"/>
        <w:gridCol w:w="832"/>
        <w:gridCol w:w="936"/>
        <w:gridCol w:w="929"/>
      </w:tblGrid>
      <w:tr w:rsidR="00327DA7" w:rsidRPr="001C3983" w14:paraId="00DD2E5A" w14:textId="77777777" w:rsidTr="001C3983">
        <w:trPr>
          <w:trHeight w:val="305"/>
        </w:trPr>
        <w:tc>
          <w:tcPr>
            <w:tcW w:w="1651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0DF83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1C398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697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9415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1C3983">
              <w:rPr>
                <w:rFonts w:ascii="Times New Roman" w:eastAsia="Times New Roman" w:hAnsi="Times New Roman" w:cs="Times New Roman"/>
                <w:b/>
              </w:rPr>
              <w:t>Female</w:t>
            </w:r>
          </w:p>
        </w:tc>
        <w:tc>
          <w:tcPr>
            <w:tcW w:w="2697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CCE43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1C3983">
              <w:rPr>
                <w:rFonts w:ascii="Times New Roman" w:eastAsia="Times New Roman" w:hAnsi="Times New Roman" w:cs="Times New Roman"/>
                <w:b/>
              </w:rPr>
              <w:t>Male</w:t>
            </w:r>
          </w:p>
        </w:tc>
        <w:tc>
          <w:tcPr>
            <w:tcW w:w="2697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91A4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1C3983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</w:tr>
      <w:tr w:rsidR="001C3983" w:rsidRPr="001C3983" w14:paraId="5A5CFE2C" w14:textId="77777777" w:rsidTr="001C3983">
        <w:trPr>
          <w:trHeight w:val="305"/>
        </w:trPr>
        <w:tc>
          <w:tcPr>
            <w:tcW w:w="165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7EA38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Model</w:t>
            </w:r>
          </w:p>
        </w:tc>
        <w:tc>
          <w:tcPr>
            <w:tcW w:w="832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30A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Excess</w:t>
            </w:r>
          </w:p>
        </w:tc>
        <w:tc>
          <w:tcPr>
            <w:tcW w:w="93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22FB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Lower PI</w:t>
            </w:r>
          </w:p>
        </w:tc>
        <w:tc>
          <w:tcPr>
            <w:tcW w:w="928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BD19F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Upper PI</w:t>
            </w:r>
          </w:p>
        </w:tc>
        <w:tc>
          <w:tcPr>
            <w:tcW w:w="832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A3D1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Excess</w:t>
            </w:r>
          </w:p>
        </w:tc>
        <w:tc>
          <w:tcPr>
            <w:tcW w:w="93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67B7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Lower PI</w:t>
            </w:r>
          </w:p>
        </w:tc>
        <w:tc>
          <w:tcPr>
            <w:tcW w:w="928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8256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Upper PI</w:t>
            </w:r>
          </w:p>
        </w:tc>
        <w:tc>
          <w:tcPr>
            <w:tcW w:w="832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A198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Excess</w:t>
            </w:r>
          </w:p>
        </w:tc>
        <w:tc>
          <w:tcPr>
            <w:tcW w:w="93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F6E4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Lower PI</w:t>
            </w:r>
          </w:p>
        </w:tc>
        <w:tc>
          <w:tcPr>
            <w:tcW w:w="928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632EF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Upper PI</w:t>
            </w:r>
          </w:p>
        </w:tc>
      </w:tr>
      <w:tr w:rsidR="001C3983" w:rsidRPr="001C3983" w14:paraId="736AB128" w14:textId="77777777" w:rsidTr="001C3983">
        <w:trPr>
          <w:trHeight w:val="566"/>
        </w:trPr>
        <w:tc>
          <w:tcPr>
            <w:tcW w:w="16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FC7DC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GAM Negative Binomial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30FA5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23,685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2D24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21,768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B62F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25,709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2FDF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27,649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74F28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25,945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4A6DE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29,336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27DE0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51,334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3AB13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48,641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6FAA6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54,056</w:t>
            </w:r>
          </w:p>
        </w:tc>
      </w:tr>
      <w:tr w:rsidR="001C3983" w:rsidRPr="001C3983" w14:paraId="1BDD13EA" w14:textId="77777777" w:rsidTr="001C3983">
        <w:trPr>
          <w:trHeight w:val="423"/>
        </w:trPr>
        <w:tc>
          <w:tcPr>
            <w:tcW w:w="16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B394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GAM Poisson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1CDC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23,639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9EE40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22,967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EE49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24,314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229C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27,619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AE70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26,946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7CA84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28,316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FCE6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51,258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2E051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50,332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45851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52,227</w:t>
            </w:r>
          </w:p>
        </w:tc>
      </w:tr>
      <w:tr w:rsidR="001C3983" w:rsidRPr="001C3983" w14:paraId="1C8F3CF2" w14:textId="77777777" w:rsidTr="001C3983">
        <w:trPr>
          <w:trHeight w:val="558"/>
        </w:trPr>
        <w:tc>
          <w:tcPr>
            <w:tcW w:w="16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1AE7C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GLM Poisson (Serfling)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808B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23,255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48D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22,584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EFD23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23,931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1D9B2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27,180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93B10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26,426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B8D89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27,913</w:t>
            </w:r>
          </w:p>
        </w:tc>
        <w:tc>
          <w:tcPr>
            <w:tcW w:w="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8780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50,436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2552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49,482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CA33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51,408</w:t>
            </w:r>
          </w:p>
        </w:tc>
      </w:tr>
      <w:tr w:rsidR="001C3983" w:rsidRPr="001C3983" w14:paraId="7EB85347" w14:textId="77777777" w:rsidTr="001C3983">
        <w:trPr>
          <w:trHeight w:val="440"/>
        </w:trPr>
        <w:tc>
          <w:tcPr>
            <w:tcW w:w="1651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C4F7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Average mortality</w:t>
            </w:r>
          </w:p>
        </w:tc>
        <w:tc>
          <w:tcPr>
            <w:tcW w:w="832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E0249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21,203</w:t>
            </w:r>
          </w:p>
        </w:tc>
        <w:tc>
          <w:tcPr>
            <w:tcW w:w="93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A7A18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20,492</w:t>
            </w:r>
          </w:p>
        </w:tc>
        <w:tc>
          <w:tcPr>
            <w:tcW w:w="928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C0CF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21,881</w:t>
            </w:r>
          </w:p>
        </w:tc>
        <w:tc>
          <w:tcPr>
            <w:tcW w:w="832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BA16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24,437</w:t>
            </w:r>
          </w:p>
        </w:tc>
        <w:tc>
          <w:tcPr>
            <w:tcW w:w="93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C59E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23,682</w:t>
            </w:r>
          </w:p>
        </w:tc>
        <w:tc>
          <w:tcPr>
            <w:tcW w:w="928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82054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25,131</w:t>
            </w:r>
          </w:p>
        </w:tc>
        <w:tc>
          <w:tcPr>
            <w:tcW w:w="832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1FDE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45,640</w:t>
            </w:r>
          </w:p>
        </w:tc>
        <w:tc>
          <w:tcPr>
            <w:tcW w:w="93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4A1B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44,620</w:t>
            </w:r>
          </w:p>
        </w:tc>
        <w:tc>
          <w:tcPr>
            <w:tcW w:w="928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F26F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46,656</w:t>
            </w:r>
          </w:p>
        </w:tc>
      </w:tr>
    </w:tbl>
    <w:p w14:paraId="005FCB86" w14:textId="77777777" w:rsidR="00327DA7" w:rsidRPr="001C3983" w:rsidRDefault="003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45805" w14:textId="77777777" w:rsidR="001C3983" w:rsidRDefault="001C3983" w:rsidP="001C3983">
      <w:pPr>
        <w:rPr>
          <w:rFonts w:ascii="Times New Roman" w:hAnsi="Times New Roman" w:cs="Times New Roman"/>
          <w:sz w:val="24"/>
          <w:szCs w:val="24"/>
        </w:rPr>
      </w:pPr>
    </w:p>
    <w:p w14:paraId="3848AA8E" w14:textId="77777777" w:rsidR="001C3983" w:rsidRDefault="001C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1CD711" w14:textId="18816D3E" w:rsidR="00327DA7" w:rsidRPr="001C3983" w:rsidRDefault="002C3295" w:rsidP="001C3983">
      <w:pPr>
        <w:rPr>
          <w:rFonts w:ascii="Times New Roman" w:eastAsia="Times New Roman" w:hAnsi="Times New Roman" w:cs="Times New Roman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Table 2. </w:t>
      </w:r>
      <w:r w:rsidRPr="001C3983">
        <w:rPr>
          <w:rFonts w:ascii="Times New Roman" w:eastAsia="Times New Roman" w:hAnsi="Times New Roman" w:cs="Times New Roman"/>
          <w:sz w:val="24"/>
          <w:szCs w:val="24"/>
        </w:rPr>
        <w:t>Total excess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deaths by the end of week </w:t>
      </w:r>
      <w:r w:rsidRPr="001C3983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estimated with 4 different models by age and sex with 95% predictive intervals in England and Wales.</w:t>
      </w:r>
    </w:p>
    <w:p w14:paraId="66737E2A" w14:textId="77777777" w:rsidR="00327DA7" w:rsidRPr="001C3983" w:rsidRDefault="00327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6"/>
        <w:gridCol w:w="1158"/>
        <w:gridCol w:w="1024"/>
        <w:gridCol w:w="1138"/>
        <w:gridCol w:w="1130"/>
        <w:gridCol w:w="1024"/>
        <w:gridCol w:w="1138"/>
        <w:gridCol w:w="1130"/>
      </w:tblGrid>
      <w:tr w:rsidR="00327DA7" w:rsidRPr="001C3983" w14:paraId="442C26D0" w14:textId="77777777" w:rsidTr="001C3983">
        <w:trPr>
          <w:trHeight w:val="57"/>
        </w:trPr>
        <w:tc>
          <w:tcPr>
            <w:tcW w:w="3054" w:type="dxa"/>
            <w:gridSpan w:val="2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0D0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</w:rPr>
            </w:pPr>
            <w:r w:rsidRPr="001C398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92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D152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</w:rPr>
            </w:pPr>
            <w:r w:rsidRPr="001C3983">
              <w:rPr>
                <w:rFonts w:ascii="Times New Roman" w:eastAsia="Times New Roman" w:hAnsi="Times New Roman" w:cs="Times New Roman"/>
                <w:b/>
              </w:rPr>
              <w:t>Female</w:t>
            </w:r>
          </w:p>
        </w:tc>
        <w:tc>
          <w:tcPr>
            <w:tcW w:w="3292" w:type="dxa"/>
            <w:gridSpan w:val="3"/>
            <w:tcBorders>
              <w:top w:val="single" w:sz="1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90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</w:rPr>
            </w:pPr>
            <w:r w:rsidRPr="001C3983">
              <w:rPr>
                <w:rFonts w:ascii="Times New Roman" w:eastAsia="Times New Roman" w:hAnsi="Times New Roman" w:cs="Times New Roman"/>
                <w:b/>
              </w:rPr>
              <w:t>Male</w:t>
            </w:r>
          </w:p>
        </w:tc>
      </w:tr>
      <w:tr w:rsidR="00327DA7" w:rsidRPr="001C3983" w14:paraId="195ACC8B" w14:textId="77777777" w:rsidTr="001C3983">
        <w:trPr>
          <w:trHeight w:val="57"/>
        </w:trPr>
        <w:tc>
          <w:tcPr>
            <w:tcW w:w="1896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D127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Model</w:t>
            </w:r>
          </w:p>
        </w:tc>
        <w:tc>
          <w:tcPr>
            <w:tcW w:w="1158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ABF7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Age group</w:t>
            </w:r>
          </w:p>
        </w:tc>
        <w:tc>
          <w:tcPr>
            <w:tcW w:w="1024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B06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Excess</w:t>
            </w:r>
          </w:p>
        </w:tc>
        <w:tc>
          <w:tcPr>
            <w:tcW w:w="1138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6E9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Lower PI</w:t>
            </w:r>
          </w:p>
        </w:tc>
        <w:tc>
          <w:tcPr>
            <w:tcW w:w="113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F9A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Upper PI</w:t>
            </w:r>
          </w:p>
        </w:tc>
        <w:tc>
          <w:tcPr>
            <w:tcW w:w="1024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C1E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Excess</w:t>
            </w:r>
          </w:p>
        </w:tc>
        <w:tc>
          <w:tcPr>
            <w:tcW w:w="1138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92C4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Lower PI</w:t>
            </w:r>
          </w:p>
        </w:tc>
        <w:tc>
          <w:tcPr>
            <w:tcW w:w="113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31B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b/>
                <w:color w:val="111111"/>
              </w:rPr>
              <w:t>Upper PI</w:t>
            </w:r>
          </w:p>
        </w:tc>
      </w:tr>
      <w:tr w:rsidR="00327DA7" w:rsidRPr="001C3983" w14:paraId="7966B098" w14:textId="77777777" w:rsidTr="001C3983">
        <w:trPr>
          <w:trHeight w:val="57"/>
        </w:trPr>
        <w:tc>
          <w:tcPr>
            <w:tcW w:w="1896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C2D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GAM Negative Binomial</w:t>
            </w: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3D9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0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8B5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-10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0B0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-63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F80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41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4BF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-43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9B3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-108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C43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15</w:t>
            </w:r>
          </w:p>
        </w:tc>
      </w:tr>
      <w:tr w:rsidR="00327DA7" w:rsidRPr="001C3983" w14:paraId="3F8DC2B8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BB04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75C6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075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202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434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90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DA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309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C71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129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D37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-42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FCA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296</w:t>
            </w:r>
          </w:p>
        </w:tc>
      </w:tr>
      <w:tr w:rsidR="00327DA7" w:rsidRPr="001C3983" w14:paraId="5C9C92DF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EDF4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6CB4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FEA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1,986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8B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1,599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A75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2,381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62F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4,044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8E5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3,484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A04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4,543</w:t>
            </w:r>
          </w:p>
        </w:tc>
      </w:tr>
      <w:tr w:rsidR="00327DA7" w:rsidRPr="001C3983" w14:paraId="487B3D41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A3D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BF36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479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2,808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746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2,256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188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3,321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670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5,167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A1B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4,515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1D6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5,840</w:t>
            </w:r>
          </w:p>
        </w:tc>
      </w:tr>
      <w:tr w:rsidR="00327DA7" w:rsidRPr="001C3983" w14:paraId="09B1AB97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C70C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E86F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B254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6,687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FB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5,788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21E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7,614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502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9,417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212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8,300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3427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10,502</w:t>
            </w:r>
          </w:p>
        </w:tc>
      </w:tr>
      <w:tr w:rsidR="00327DA7" w:rsidRPr="001C3983" w14:paraId="39439E3A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73B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CED4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5DE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12,010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3C7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10,365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49B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13,538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E87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8,934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E21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7,800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3D54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10,095</w:t>
            </w:r>
          </w:p>
        </w:tc>
      </w:tr>
      <w:tr w:rsidR="00327DA7" w:rsidRPr="001C3983" w14:paraId="364FA952" w14:textId="77777777" w:rsidTr="001C3983">
        <w:trPr>
          <w:trHeight w:val="57"/>
        </w:trPr>
        <w:tc>
          <w:tcPr>
            <w:tcW w:w="1896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E15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GAM Poisson</w:t>
            </w: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0737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0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AFB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-15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8DB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-69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92F4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36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5C94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-45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6D9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-107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DD54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13</w:t>
            </w:r>
          </w:p>
        </w:tc>
      </w:tr>
      <w:tr w:rsidR="00327DA7" w:rsidRPr="001C3983" w14:paraId="5426C7BD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8568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BFB9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E6F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204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3606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103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745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299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50F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127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5337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561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265</w:t>
            </w:r>
          </w:p>
        </w:tc>
      </w:tr>
      <w:tr w:rsidR="00327DA7" w:rsidRPr="001C3983" w14:paraId="7F366BAC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8DD3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D4A2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3C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2,003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ED86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1,784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122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2,228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789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4,051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61C7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3,812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C5F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4,310</w:t>
            </w:r>
          </w:p>
        </w:tc>
      </w:tr>
      <w:tr w:rsidR="00327DA7" w:rsidRPr="001C3983" w14:paraId="4D3889CB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B3D9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6A2B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C166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2,769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2E5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2,520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41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3,011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E4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5,098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13B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4,790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9F2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5,400</w:t>
            </w:r>
          </w:p>
        </w:tc>
      </w:tr>
      <w:tr w:rsidR="00327DA7" w:rsidRPr="001C3983" w14:paraId="0F47510A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01AC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DD8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61A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6,671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588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6,319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EFF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7,031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A3F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9,347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FEA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8,971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766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9,735</w:t>
            </w:r>
          </w:p>
        </w:tc>
      </w:tr>
      <w:tr w:rsidR="00327DA7" w:rsidRPr="001C3983" w14:paraId="574A1CB4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B264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844A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DC2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12,005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AD9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11,547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8F97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12,448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841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9,039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90A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8,653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C4F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9,427</w:t>
            </w:r>
          </w:p>
        </w:tc>
      </w:tr>
      <w:tr w:rsidR="00327DA7" w:rsidRPr="001C3983" w14:paraId="27793D20" w14:textId="77777777" w:rsidTr="001C3983">
        <w:trPr>
          <w:trHeight w:val="57"/>
        </w:trPr>
        <w:tc>
          <w:tcPr>
            <w:tcW w:w="1896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066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GLM Poisson (Serfling)</w:t>
            </w: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3FB2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0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36B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-8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633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-58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2E4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42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A9A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-45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F3D6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-101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2AD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13</w:t>
            </w:r>
          </w:p>
        </w:tc>
      </w:tr>
      <w:tr w:rsidR="00327DA7" w:rsidRPr="001C3983" w14:paraId="3EF1797E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AA1F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5BA1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E66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183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297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85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22C7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287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0BD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126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8E3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0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E76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261</w:t>
            </w:r>
          </w:p>
        </w:tc>
      </w:tr>
      <w:tr w:rsidR="00327DA7" w:rsidRPr="001C3983" w14:paraId="3098102F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A227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81AB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C4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1,997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DF8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1,801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4BA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2,204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516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4,003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F9C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3,755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BF2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4,263</w:t>
            </w:r>
          </w:p>
        </w:tc>
      </w:tr>
      <w:tr w:rsidR="00327DA7" w:rsidRPr="001C3983" w14:paraId="5D6F127C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A195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A80C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A2C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2,663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BFD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2,403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1AB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2,904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9B8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5,026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FF0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4,734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94D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5,334</w:t>
            </w:r>
          </w:p>
        </w:tc>
      </w:tr>
      <w:tr w:rsidR="00327DA7" w:rsidRPr="001C3983" w14:paraId="33AB04AD" w14:textId="77777777" w:rsidTr="001C3983">
        <w:trPr>
          <w:trHeight w:val="57"/>
        </w:trPr>
        <w:tc>
          <w:tcPr>
            <w:tcW w:w="189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0E2B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4968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70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6,624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69B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6,272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A1B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6,988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B67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9,203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427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8,829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528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9,588</w:t>
            </w:r>
          </w:p>
        </w:tc>
      </w:tr>
      <w:tr w:rsidR="00327DA7" w:rsidRPr="001C3983" w14:paraId="0D232D1D" w14:textId="77777777" w:rsidTr="001C3983">
        <w:trPr>
          <w:trHeight w:val="57"/>
        </w:trPr>
        <w:tc>
          <w:tcPr>
            <w:tcW w:w="1896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3AB0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439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910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11,796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E10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11,331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086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12,268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89F1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8,866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C36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8,471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4DD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9,260</w:t>
            </w:r>
          </w:p>
        </w:tc>
      </w:tr>
      <w:tr w:rsidR="001C3983" w:rsidRPr="001C3983" w14:paraId="27F8933F" w14:textId="77777777" w:rsidTr="001C3983">
        <w:trPr>
          <w:trHeight w:val="57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8004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58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DF24" w14:textId="77777777" w:rsidR="001C3983" w:rsidRPr="001C3983" w:rsidRDefault="001C3983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18B5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AD2C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4D85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CDAC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F79B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D105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</w:tr>
      <w:tr w:rsidR="001C3983" w:rsidRPr="001C3983" w14:paraId="346464A7" w14:textId="77777777" w:rsidTr="001C3983">
        <w:trPr>
          <w:trHeight w:val="57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43CD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58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D049" w14:textId="77777777" w:rsidR="001C3983" w:rsidRPr="001C3983" w:rsidRDefault="001C3983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EEE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A535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A670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FBC4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6952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1D79" w14:textId="77777777" w:rsidR="001C3983" w:rsidRPr="001C3983" w:rsidRDefault="001C3983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</w:tr>
      <w:tr w:rsidR="00327DA7" w:rsidRPr="001C3983" w14:paraId="562495A0" w14:textId="77777777" w:rsidTr="001C3983">
        <w:trPr>
          <w:trHeight w:val="57"/>
        </w:trPr>
        <w:tc>
          <w:tcPr>
            <w:tcW w:w="1896" w:type="dxa"/>
            <w:vMerge w:val="restart"/>
            <w:tcBorders>
              <w:top w:val="nil"/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7C9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lastRenderedPageBreak/>
              <w:t>Average mortality</w:t>
            </w: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6D06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0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5EC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-73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3C8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-124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FC6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-23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005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-143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C63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-209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2A6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-82</w:t>
            </w:r>
          </w:p>
        </w:tc>
      </w:tr>
      <w:tr w:rsidR="00327DA7" w:rsidRPr="001C3983" w14:paraId="7A08B0B9" w14:textId="77777777" w:rsidTr="001C3983">
        <w:trPr>
          <w:trHeight w:val="57"/>
        </w:trPr>
        <w:tc>
          <w:tcPr>
            <w:tcW w:w="1896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8E5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1700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44B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148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525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75A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247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68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15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213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-114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CC9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134</w:t>
            </w:r>
          </w:p>
        </w:tc>
      </w:tr>
      <w:tr w:rsidR="00327DA7" w:rsidRPr="001C3983" w14:paraId="384C60E2" w14:textId="77777777" w:rsidTr="001C3983">
        <w:trPr>
          <w:trHeight w:val="57"/>
        </w:trPr>
        <w:tc>
          <w:tcPr>
            <w:tcW w:w="1896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958E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353E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380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1,749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0B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1,519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8C0C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1,964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53BF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3,620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806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3,347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F9B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3,871</w:t>
            </w:r>
          </w:p>
        </w:tc>
      </w:tr>
      <w:tr w:rsidR="00327DA7" w:rsidRPr="001C3983" w14:paraId="78CFBA18" w14:textId="77777777" w:rsidTr="001C3983">
        <w:trPr>
          <w:trHeight w:val="57"/>
        </w:trPr>
        <w:tc>
          <w:tcPr>
            <w:tcW w:w="1896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868E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E83B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65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CF77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2,373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CC43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2,111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23D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2,627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F8E6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4,400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6AD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4,094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B6E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4,708</w:t>
            </w:r>
          </w:p>
        </w:tc>
      </w:tr>
      <w:tr w:rsidR="00327DA7" w:rsidRPr="001C3983" w14:paraId="19B5B3E7" w14:textId="77777777" w:rsidTr="001C3983">
        <w:trPr>
          <w:trHeight w:val="57"/>
        </w:trPr>
        <w:tc>
          <w:tcPr>
            <w:tcW w:w="1896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66D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F93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75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A9B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5,303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0FF0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4,925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236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5,653</w:t>
            </w:r>
          </w:p>
        </w:tc>
        <w:tc>
          <w:tcPr>
            <w:tcW w:w="10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2A7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7,791</w:t>
            </w:r>
          </w:p>
        </w:tc>
        <w:tc>
          <w:tcPr>
            <w:tcW w:w="11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32E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7,418</w:t>
            </w:r>
          </w:p>
        </w:tc>
        <w:tc>
          <w:tcPr>
            <w:tcW w:w="1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BF89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8,164</w:t>
            </w:r>
          </w:p>
        </w:tc>
      </w:tr>
      <w:tr w:rsidR="00327DA7" w:rsidRPr="001C3983" w14:paraId="1325271D" w14:textId="77777777" w:rsidTr="001C3983">
        <w:trPr>
          <w:trHeight w:val="57"/>
        </w:trPr>
        <w:tc>
          <w:tcPr>
            <w:tcW w:w="1896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632E" w14:textId="77777777" w:rsidR="00327DA7" w:rsidRPr="001C3983" w:rsidRDefault="00327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8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D9BD" w14:textId="77777777" w:rsidR="00327DA7" w:rsidRPr="001C3983" w:rsidRDefault="002C3295">
            <w:pPr>
              <w:spacing w:before="40" w:after="40" w:line="240" w:lineRule="auto"/>
              <w:ind w:left="100" w:right="100"/>
              <w:jc w:val="right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85</w:t>
            </w:r>
          </w:p>
        </w:tc>
        <w:tc>
          <w:tcPr>
            <w:tcW w:w="1024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156E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11,701</w:t>
            </w:r>
          </w:p>
        </w:tc>
        <w:tc>
          <w:tcPr>
            <w:tcW w:w="1138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FAC5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11,233</w:t>
            </w:r>
          </w:p>
        </w:tc>
        <w:tc>
          <w:tcPr>
            <w:tcW w:w="113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414A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12,165</w:t>
            </w:r>
          </w:p>
        </w:tc>
        <w:tc>
          <w:tcPr>
            <w:tcW w:w="1024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991D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8,753</w:t>
            </w:r>
          </w:p>
        </w:tc>
        <w:tc>
          <w:tcPr>
            <w:tcW w:w="1138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B038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8,379</w:t>
            </w:r>
          </w:p>
        </w:tc>
        <w:tc>
          <w:tcPr>
            <w:tcW w:w="1130" w:type="dxa"/>
            <w:tcBorders>
              <w:bottom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4782" w14:textId="77777777" w:rsidR="00327DA7" w:rsidRPr="001C3983" w:rsidRDefault="002C3295">
            <w:pPr>
              <w:spacing w:before="40" w:after="40" w:line="240" w:lineRule="auto"/>
              <w:ind w:left="100" w:right="100"/>
              <w:rPr>
                <w:rFonts w:ascii="Times New Roman" w:eastAsia="Times New Roman" w:hAnsi="Times New Roman" w:cs="Times New Roman"/>
                <w:color w:val="111111"/>
              </w:rPr>
            </w:pPr>
            <w:r w:rsidRPr="001C3983">
              <w:rPr>
                <w:rFonts w:ascii="Times New Roman" w:eastAsia="Times New Roman" w:hAnsi="Times New Roman" w:cs="Times New Roman"/>
                <w:color w:val="111111"/>
              </w:rPr>
              <w:t>9,145</w:t>
            </w:r>
          </w:p>
        </w:tc>
      </w:tr>
    </w:tbl>
    <w:p w14:paraId="135A31C5" w14:textId="77777777" w:rsidR="00327DA7" w:rsidRPr="001C3983" w:rsidRDefault="003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408D1" w14:textId="77777777" w:rsidR="00327DA7" w:rsidRPr="001C3983" w:rsidRDefault="00327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4300E3" w14:textId="77777777" w:rsidR="00327DA7" w:rsidRPr="001C3983" w:rsidRDefault="00327DA7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</w:p>
    <w:p w14:paraId="4685B877" w14:textId="77777777" w:rsidR="00327DA7" w:rsidRPr="001C3983" w:rsidRDefault="00327DA7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</w:p>
    <w:p w14:paraId="13028952" w14:textId="77777777" w:rsidR="00327DA7" w:rsidRPr="001C3983" w:rsidRDefault="002C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635ACB54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Wood SN. </w:t>
      </w:r>
      <w:r w:rsidRPr="001C39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Generalized Additive Models: An Introduction with R, Second Edition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CRC Press 2017. </w:t>
      </w:r>
    </w:p>
    <w:p w14:paraId="2D374CBA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Nielsen J, Krause TG, </w:t>
      </w:r>
      <w:proofErr w:type="spellStart"/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Mølbak</w:t>
      </w:r>
      <w:proofErr w:type="spellEnd"/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 Influenza-associated mortality determined from all-cause mortality, Denmark 2010/11-2016/17: The </w:t>
      </w:r>
      <w:proofErr w:type="spellStart"/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FluMOMO</w:t>
      </w:r>
      <w:proofErr w:type="spellEnd"/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model. </w:t>
      </w:r>
      <w:r w:rsidRPr="001C39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Influenza Other Respir </w:t>
      </w:r>
      <w:r w:rsidRPr="001C39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Viruses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2018;</w:t>
      </w: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:591–604. doi:10.1111/irv.12564</w:t>
      </w:r>
    </w:p>
    <w:p w14:paraId="3D875509" w14:textId="77777777" w:rsidR="00327DA7" w:rsidRPr="001C3983" w:rsidRDefault="002C32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Serfling RE. Methods for Current Statistical Analysis of Excess Pneumonia-Influenza Deaths. </w:t>
      </w:r>
      <w:r w:rsidRPr="001C39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Public Health Rep 1896-1970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1963;</w:t>
      </w:r>
      <w:r w:rsidRPr="001C39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78</w:t>
      </w:r>
      <w:r w:rsidRPr="001C3983">
        <w:rPr>
          <w:rFonts w:ascii="Times New Roman" w:eastAsia="Times New Roman" w:hAnsi="Times New Roman" w:cs="Times New Roman"/>
          <w:color w:val="000000"/>
          <w:sz w:val="24"/>
          <w:szCs w:val="24"/>
        </w:rPr>
        <w:t>:494–506. doi:10.2307/4591848</w:t>
      </w:r>
    </w:p>
    <w:p w14:paraId="0BD60F77" w14:textId="77777777" w:rsidR="00327DA7" w:rsidRPr="001C3983" w:rsidRDefault="00327DA7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</w:p>
    <w:p w14:paraId="2E1C0FDD" w14:textId="77777777" w:rsidR="00327DA7" w:rsidRPr="001C3983" w:rsidRDefault="00327D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95DA4" w14:textId="77777777" w:rsidR="00327DA7" w:rsidRPr="001C3983" w:rsidRDefault="00327D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A1393" w14:textId="77777777" w:rsidR="00327DA7" w:rsidRPr="001C3983" w:rsidRDefault="00327D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DD4AF" w14:textId="77777777" w:rsidR="00327DA7" w:rsidRPr="001C3983" w:rsidRDefault="00327D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EF66" w14:textId="77777777" w:rsidR="001C3983" w:rsidRDefault="001C39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794EEBA" w14:textId="1F4FA970" w:rsidR="00327DA7" w:rsidRPr="001C3983" w:rsidRDefault="002C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1. Expected (lines) vs Observed death</w:t>
      </w:r>
      <w:r w:rsidRPr="001C3983">
        <w:rPr>
          <w:rFonts w:ascii="Times New Roman" w:eastAsia="Times New Roman" w:hAnsi="Times New Roman" w:cs="Times New Roman"/>
          <w:b/>
          <w:sz w:val="24"/>
          <w:szCs w:val="24"/>
        </w:rPr>
        <w:t>s (points) counts based on the 4 approaches described above for males by age groups (rows) 0-14, 15-44, 45-64, 65-74, 75-84 and 85-older years of age. Shaded areas indicate 95% prediction intervals.</w:t>
      </w:r>
    </w:p>
    <w:p w14:paraId="37973568" w14:textId="77777777" w:rsidR="00327DA7" w:rsidRPr="001C3983" w:rsidRDefault="002C3295">
      <w:pPr>
        <w:ind w:right="-42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9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5BBB7" wp14:editId="55BF45CD">
            <wp:extent cx="6120130" cy="482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728" b="7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8AD79" w14:textId="77777777" w:rsidR="00327DA7" w:rsidRPr="001C3983" w:rsidRDefault="00327DA7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</w:p>
    <w:p w14:paraId="7F53DADD" w14:textId="77777777" w:rsidR="00327DA7" w:rsidRPr="001C3983" w:rsidRDefault="002C3295">
      <w:pPr>
        <w:rPr>
          <w:rFonts w:ascii="Times New Roman" w:eastAsia="Times New Roman" w:hAnsi="Times New Roman" w:cs="Times New Roman"/>
          <w:sz w:val="24"/>
          <w:szCs w:val="24"/>
        </w:rPr>
      </w:pPr>
      <w:r w:rsidRPr="001C3983">
        <w:rPr>
          <w:rFonts w:ascii="Times New Roman" w:hAnsi="Times New Roman" w:cs="Times New Roman"/>
          <w:sz w:val="24"/>
          <w:szCs w:val="24"/>
        </w:rPr>
        <w:br w:type="page"/>
      </w:r>
    </w:p>
    <w:p w14:paraId="4F003D4E" w14:textId="77777777" w:rsidR="00327DA7" w:rsidRPr="001C3983" w:rsidRDefault="002C3295">
      <w:pPr>
        <w:ind w:right="-427"/>
        <w:rPr>
          <w:rFonts w:ascii="Times New Roman" w:hAnsi="Times New Roman" w:cs="Times New Roman"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2. Expected (lines) vs Observed deaths (points) counts based on the 4 approaches described above for females by age groups (rows) 0-14, 15-44, 45-64, 65-74, 75-84 and 85-older years of age. Shaded areas indicate 95% prediction intervals.</w:t>
      </w:r>
    </w:p>
    <w:p w14:paraId="573CBE43" w14:textId="77777777" w:rsidR="00327DA7" w:rsidRPr="001C3983" w:rsidRDefault="002C3295">
      <w:pPr>
        <w:ind w:right="-427"/>
        <w:rPr>
          <w:rFonts w:ascii="Times New Roman" w:hAnsi="Times New Roman" w:cs="Times New Roman"/>
          <w:sz w:val="24"/>
          <w:szCs w:val="24"/>
        </w:rPr>
      </w:pPr>
      <w:r w:rsidRPr="001C39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5C016" wp14:editId="7A06D412">
            <wp:extent cx="6120130" cy="481457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844" b="8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C03E1" w14:textId="77777777" w:rsidR="00327DA7" w:rsidRPr="001C3983" w:rsidRDefault="00327DA7">
      <w:pPr>
        <w:ind w:right="-42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DAC05" w14:textId="77777777" w:rsidR="00327DA7" w:rsidRPr="001C3983" w:rsidRDefault="00327DA7">
      <w:pPr>
        <w:ind w:right="-427"/>
        <w:rPr>
          <w:rFonts w:ascii="Times New Roman" w:eastAsia="Times New Roman" w:hAnsi="Times New Roman" w:cs="Times New Roman"/>
          <w:sz w:val="24"/>
          <w:szCs w:val="24"/>
        </w:rPr>
      </w:pPr>
    </w:p>
    <w:p w14:paraId="288D417D" w14:textId="77777777" w:rsidR="00327DA7" w:rsidRPr="001C3983" w:rsidRDefault="002C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983">
        <w:rPr>
          <w:rFonts w:ascii="Times New Roman" w:hAnsi="Times New Roman" w:cs="Times New Roman"/>
          <w:sz w:val="24"/>
          <w:szCs w:val="24"/>
        </w:rPr>
        <w:br w:type="page"/>
      </w:r>
    </w:p>
    <w:p w14:paraId="4E16340C" w14:textId="77777777" w:rsidR="00327DA7" w:rsidRPr="001C3983" w:rsidRDefault="002C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39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3. Sex ratio males/females of death rates during the course of the pandemic by age groups (rows) 0-14, 15-44, 45-64, 65-74, 75-84 and 85-older years of age.</w:t>
      </w:r>
    </w:p>
    <w:p w14:paraId="44D78FD1" w14:textId="77777777" w:rsidR="00327DA7" w:rsidRPr="001C3983" w:rsidRDefault="00327D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52E81" w14:textId="77777777" w:rsidR="00327DA7" w:rsidRPr="001C3983" w:rsidRDefault="002C3295">
      <w:pPr>
        <w:rPr>
          <w:rFonts w:ascii="Times New Roman" w:eastAsia="Times New Roman" w:hAnsi="Times New Roman" w:cs="Times New Roman"/>
          <w:sz w:val="24"/>
          <w:szCs w:val="24"/>
        </w:rPr>
      </w:pPr>
      <w:r w:rsidRPr="001C39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2ACB3" wp14:editId="48A83A1A">
            <wp:extent cx="6120130" cy="2432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7DA7" w:rsidRPr="001C3983">
      <w:footerReference w:type="default" r:id="rId12"/>
      <w:pgSz w:w="11906" w:h="16838"/>
      <w:pgMar w:top="1701" w:right="1134" w:bottom="1701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6EAD5" w14:textId="77777777" w:rsidR="002C3295" w:rsidRDefault="002C3295">
      <w:pPr>
        <w:spacing w:after="0" w:line="240" w:lineRule="auto"/>
      </w:pPr>
      <w:r>
        <w:separator/>
      </w:r>
    </w:p>
  </w:endnote>
  <w:endnote w:type="continuationSeparator" w:id="0">
    <w:p w14:paraId="7CCB07AE" w14:textId="77777777" w:rsidR="002C3295" w:rsidRDefault="002C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D9787" w14:textId="77777777" w:rsidR="00327DA7" w:rsidRDefault="002C329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35294">
      <w:rPr>
        <w:color w:val="000000"/>
      </w:rPr>
      <w:fldChar w:fldCharType="separate"/>
    </w:r>
    <w:r w:rsidR="00C35294">
      <w:rPr>
        <w:noProof/>
        <w:color w:val="000000"/>
      </w:rPr>
      <w:t>1</w:t>
    </w:r>
    <w:r>
      <w:rPr>
        <w:color w:val="000000"/>
      </w:rPr>
      <w:fldChar w:fldCharType="end"/>
    </w:r>
  </w:p>
  <w:p w14:paraId="228AFAAC" w14:textId="77777777" w:rsidR="00327DA7" w:rsidRDefault="00327DA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4C68B" w14:textId="77777777" w:rsidR="002C3295" w:rsidRDefault="002C3295">
      <w:pPr>
        <w:spacing w:after="0" w:line="240" w:lineRule="auto"/>
      </w:pPr>
      <w:r>
        <w:separator/>
      </w:r>
    </w:p>
  </w:footnote>
  <w:footnote w:type="continuationSeparator" w:id="0">
    <w:p w14:paraId="7F84C15B" w14:textId="77777777" w:rsidR="002C3295" w:rsidRDefault="002C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51A91"/>
    <w:multiLevelType w:val="multilevel"/>
    <w:tmpl w:val="ABF0C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A7"/>
    <w:rsid w:val="001C3983"/>
    <w:rsid w:val="002C3295"/>
    <w:rsid w:val="00327DA7"/>
    <w:rsid w:val="00C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899F"/>
  <w15:docId w15:val="{2BBE54B9-CBF9-4C57-93BF-1AE99177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FirstParagraph">
    <w:name w:val="First Paragraph"/>
    <w:basedOn w:val="BodyText"/>
    <w:next w:val="BodyText"/>
    <w:qFormat/>
    <w:rsid w:val="00C35294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352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2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hi.kashyap@sociology.ox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-manuel.aburto@sociology.ox.ac.u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Manuel Aburto</cp:lastModifiedBy>
  <cp:revision>2</cp:revision>
  <dcterms:created xsi:type="dcterms:W3CDTF">2020-09-01T12:03:00Z</dcterms:created>
  <dcterms:modified xsi:type="dcterms:W3CDTF">2020-09-01T12:26:00Z</dcterms:modified>
</cp:coreProperties>
</file>