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0"/>
          <w:sz-cs w:val="20"/>
          <w:b/>
          <w:u w:val="single"/>
        </w:rPr>
        <w:t xml:space="preserve">Stepanchuk Oksana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  <w:u w:val="single"/>
        </w:rPr>
        <w:t xml:space="preserve">Date of birth </w:t>
      </w:r>
    </w:p>
    <w:p>
      <w:pPr/>
      <w:r>
        <w:rPr>
          <w:rFonts w:ascii="Arial" w:hAnsi="Arial" w:cs="Arial"/>
          <w:sz w:val="20"/>
          <w:sz-cs w:val="20"/>
        </w:rPr>
        <w:t xml:space="preserve">07.10.1981</w:t>
      </w:r>
    </w:p>
    <w:p>
      <w:pPr/>
      <w:r>
        <w:rPr>
          <w:rFonts w:ascii="Arial" w:hAnsi="Arial" w:cs="Arial"/>
          <w:sz w:val="20"/>
          <w:sz-cs w:val="20"/>
          <w:b/>
          <w:u w:val="single"/>
        </w:rPr>
        <w:t xml:space="preserve">Address:</w:t>
      </w:r>
    </w:p>
    <w:p>
      <w:pPr/>
      <w:r>
        <w:rPr>
          <w:rFonts w:ascii="Arial" w:hAnsi="Arial" w:cs="Arial"/>
          <w:sz w:val="20"/>
          <w:sz-cs w:val="20"/>
        </w:rPr>
        <w:t xml:space="preserve">203 Tremont Way, Augusta, GA, USA, 30907</w:t>
      </w:r>
    </w:p>
    <w:p>
      <w:pPr/>
      <w:r>
        <w:rPr>
          <w:rFonts w:ascii="Arial" w:hAnsi="Arial" w:cs="Arial"/>
          <w:sz w:val="20"/>
          <w:sz-cs w:val="20"/>
          <w:b/>
          <w:u w:val="single"/>
        </w:rPr>
        <w:t xml:space="preserve">Phone:</w:t>
      </w:r>
    </w:p>
    <w:p>
      <w:pPr/>
      <w:r>
        <w:rPr>
          <w:rFonts w:ascii="Arial" w:hAnsi="Arial" w:cs="Arial"/>
          <w:sz w:val="20"/>
          <w:sz-cs w:val="20"/>
        </w:rPr>
        <w:t xml:space="preserve">+1(706)220-03-12</w:t>
      </w:r>
    </w:p>
    <w:p>
      <w:pPr/>
      <w:r>
        <w:rPr>
          <w:rFonts w:ascii="Arial" w:hAnsi="Arial" w:cs="Arial"/>
          <w:sz w:val="20"/>
          <w:sz-cs w:val="20"/>
          <w:b/>
          <w:u w:val="single"/>
        </w:rPr>
        <w:t xml:space="preserve">E-mail:</w:t>
      </w:r>
    </w:p>
    <w:p>
      <w:pPr/>
      <w:r>
        <w:rPr>
          <w:rFonts w:ascii="Arial" w:hAnsi="Arial" w:cs="Arial"/>
          <w:sz w:val="20"/>
          <w:sz-cs w:val="20"/>
        </w:rPr>
        <w:t xml:space="preserve">ob.stepanchuk@gmail.com </w:t>
      </w:r>
    </w:p>
    <w:p>
      <w:pPr/>
      <w:r>
        <w:rPr>
          <w:rFonts w:ascii="Arial" w:hAnsi="Arial" w:cs="Arial"/>
          <w:sz w:val="20"/>
          <w:sz-cs w:val="20"/>
          <w:b/>
          <w:u w:val="single"/>
        </w:rPr>
        <w:t xml:space="preserve">Education: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September 1999  – </w:t>
      </w:r>
    </w:p>
    <w:p>
      <w:pPr/>
      <w:r>
        <w:rPr>
          <w:rFonts w:ascii="Arial" w:hAnsi="Arial" w:cs="Arial"/>
          <w:sz w:val="20"/>
          <w:sz-cs w:val="20"/>
          <w:i/>
        </w:rPr>
        <w:t xml:space="preserve">July 2004</w:t>
      </w:r>
    </w:p>
    <w:p>
      <w:pPr/>
      <w:r>
        <w:rPr>
          <w:rFonts w:ascii="Arial" w:hAnsi="Arial" w:cs="Arial"/>
          <w:sz w:val="20"/>
          <w:sz-cs w:val="20"/>
        </w:rPr>
        <w:t xml:space="preserve">National Technical University of Ukraine “KPI”, Law Department </w:t>
      </w:r>
    </w:p>
    <w:p>
      <w:pPr/>
      <w:r>
        <w:rPr>
          <w:rFonts w:ascii="Arial" w:hAnsi="Arial" w:cs="Arial"/>
          <w:sz w:val="20"/>
          <w:sz-cs w:val="20"/>
        </w:rPr>
        <w:t xml:space="preserve">Degree with honour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p>
      <w:pPr/>
      <w:r>
        <w:rPr>
          <w:rFonts w:ascii="Arial" w:hAnsi="Arial" w:cs="Arial"/>
          <w:sz w:val="20"/>
          <w:sz-cs w:val="20"/>
          <w:b/>
          <w:u w:val="single"/>
        </w:rPr>
        <w:t xml:space="preserve">Work experience: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  <w:u w:val="single"/>
        </w:rPr>
        <w:t xml:space="preserve"/>
      </w:r>
    </w:p>
    <w:p>
      <w:pPr>
        <w:jc w:val="both"/>
      </w:pPr>
      <w:r>
        <w:rPr>
          <w:rFonts w:ascii="Arial" w:hAnsi="Arial" w:cs="Arial"/>
          <w:sz w:val="20"/>
          <w:sz-cs w:val="20"/>
          <w:i/>
        </w:rPr>
        <w:t xml:space="preserve">January 2004 – </w:t>
      </w:r>
    </w:p>
    <w:p>
      <w:pPr>
        <w:jc w:val="both"/>
      </w:pPr>
      <w:r>
        <w:rPr>
          <w:rFonts w:ascii="Arial" w:hAnsi="Arial" w:cs="Arial"/>
          <w:sz w:val="20"/>
          <w:sz-cs w:val="20"/>
          <w:i/>
        </w:rPr>
        <w:t xml:space="preserve">December 2004</w:t>
      </w:r>
    </w:p>
    <w:p>
      <w:pPr>
        <w:jc w:val="both"/>
      </w:pPr>
      <w:r>
        <w:rPr>
          <w:rFonts w:ascii="Arial" w:hAnsi="Arial" w:cs="Arial"/>
          <w:sz w:val="20"/>
          <w:sz-cs w:val="20"/>
          <w:i/>
        </w:rPr>
        <w:t xml:space="preserve"/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>Experience&amp;Skills: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0"/>
          <w:sz-cs w:val="20"/>
          <w:b/>
          <w:i/>
        </w:rPr>
        <w:t xml:space="preserve">Vechirni visti </w:t>
      </w:r>
      <w:r>
        <w:rPr>
          <w:rFonts w:ascii="Arial" w:hAnsi="Arial" w:cs="Arial"/>
          <w:sz w:val="20"/>
          <w:sz-cs w:val="20"/>
          <w:b/>
        </w:rPr>
        <w:t xml:space="preserve">Newspaper personnel officer;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>Since June 2004 – head of personnel office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maintaining documents (orders, personal work records of employees);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hiring and firing procedures; 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maintaining documents on </w:t>
      </w:r>
      <w:r>
        <w:rPr>
          <w:rFonts w:ascii="Arial" w:hAnsi="Arial" w:cs="Arial"/>
          <w:sz w:val="20"/>
          <w:sz-cs w:val="20"/>
          <w:i/>
          <w:color w:val="000000"/>
        </w:rPr>
        <w:t xml:space="preserve">leave of absence, </w:t>
      </w:r>
      <w:r>
        <w:rPr>
          <w:rFonts w:ascii="Arial" w:hAnsi="Arial" w:cs="Arial"/>
          <w:sz w:val="20"/>
          <w:sz-cs w:val="20"/>
          <w:color w:val="000000"/>
        </w:rPr>
        <w:t xml:space="preserve">business trips; 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elaborating manning tables; making time sheets; 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elaborating, negotiating, concluding, registration of collective agreements; 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elaborating agreements on liability, contractor agreements.</w:t>
      </w:r>
    </w:p>
    <w:p>
      <w:pPr/>
      <w:r>
        <w:rPr>
          <w:rFonts w:ascii="Arial" w:hAnsi="Arial" w:cs="Arial"/>
          <w:sz w:val="20"/>
          <w:sz-cs w:val="20"/>
          <w:color w:val="000000"/>
        </w:rPr>
        <w:t xml:space="preserve"/>
      </w:r>
    </w:p>
    <w:p>
      <w:pPr/>
      <w:r>
        <w:rPr>
          <w:rFonts w:ascii="Arial" w:hAnsi="Arial" w:cs="Arial"/>
          <w:sz w:val="20"/>
          <w:sz-cs w:val="20"/>
          <w:i/>
        </w:rPr>
        <w:t xml:space="preserve">January 2005 – September 2006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>JSCB “Ukrsotsbank”, Kyiv region branch, Legal department, Leading legal advisor, Senior legal advisor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0"/>
          <w:sz-cs w:val="20"/>
          <w:i/>
        </w:rPr>
        <w:t xml:space="preserve">October 2006 – May 2010</w:t>
      </w:r>
    </w:p>
    <w:p>
      <w:pPr>
        <w:jc w:val="both"/>
      </w:pPr>
      <w:r>
        <w:rPr>
          <w:rFonts w:ascii="Arial" w:hAnsi="Arial" w:cs="Arial"/>
          <w:sz w:val="20"/>
          <w:sz-cs w:val="20"/>
          <w:i/>
        </w:rPr>
        <w:t xml:space="preserve"/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>JSCB “Ukrsotsbank”, Kyiv city branch, Legal department, Senior legal advisor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0"/>
          <w:sz-cs w:val="20"/>
          <w:i/>
        </w:rPr>
        <w:t xml:space="preserve">May 2010 – August 2010</w:t>
      </w:r>
    </w:p>
    <w:p>
      <w:pPr>
        <w:jc w:val="both"/>
      </w:pPr>
      <w:r>
        <w:rPr>
          <w:rFonts w:ascii="Arial" w:hAnsi="Arial" w:cs="Arial"/>
          <w:sz w:val="20"/>
          <w:sz-cs w:val="20"/>
          <w:i/>
        </w:rPr>
        <w:t xml:space="preserve"/>
      </w:r>
    </w:p>
    <w:p>
      <w:pPr>
        <w:jc w:val="both"/>
      </w:pPr>
      <w:r>
        <w:rPr>
          <w:rFonts w:ascii="Arial" w:hAnsi="Arial" w:cs="Arial"/>
          <w:sz w:val="20"/>
          <w:sz-cs w:val="20"/>
          <w:i/>
        </w:rPr>
        <w:t xml:space="preserve">August 2010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>JSC «Erste Bank», Senior legal advisor</w:t>
      </w:r>
    </w:p>
    <w:p>
      <w:pPr>
        <w:jc w:val="both"/>
        <w:ind w:left="34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jc w:val="both"/>
        <w:ind w:left="34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jc w:val="both"/>
        <w:ind w:left="34"/>
      </w:pPr>
      <w:r>
        <w:rPr>
          <w:rFonts w:ascii="Arial" w:hAnsi="Arial" w:cs="Arial"/>
          <w:sz w:val="20"/>
          <w:sz-cs w:val="20"/>
          <w:b/>
        </w:rPr>
        <w:t xml:space="preserve">PJSC “Bank Kyiv”, Head Office, Deputy of the Head of the Legal support Division (for corporate clients)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0"/>
          <w:sz-cs w:val="20"/>
          <w:i/>
        </w:rPr>
        <w:t xml:space="preserve">October 2015 - present </w:t>
      </w:r>
    </w:p>
    <w:p>
      <w:pPr>
        <w:jc w:val="both"/>
      </w:pPr>
      <w:r>
        <w:rPr>
          <w:rFonts w:ascii="Arial" w:hAnsi="Arial" w:cs="Arial"/>
          <w:sz w:val="20"/>
          <w:sz-cs w:val="20"/>
          <w:i/>
        </w:rPr>
        <w:t xml:space="preserve"/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>Experience&amp;Skills: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>PJSC “Ukrsotsbank”, Head Office, Senior legal advisor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</w:rPr>
        <w:t xml:space="preserve"/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Monitoring current legislation of Ukraine;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Due diligence on client legal capacity and their representative’s authority for signing documents and concluding agreements;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Due diligence on active operations (retail loans, loans/guarantees for legal entities, factoring) and their pledge securing (goods, equipment, vehicles, real estate, land plots, proprietary rights etc.)</w:t>
      </w:r>
      <w:r>
        <w:rPr>
          <w:rFonts w:ascii="Arial" w:hAnsi="Arial" w:cs="Arial"/>
          <w:sz w:val="20"/>
          <w:sz-cs w:val="20"/>
          <w:color w:val="000000"/>
        </w:rPr>
        <w:t xml:space="preserve">: </w:t>
      </w:r>
      <w:r>
        <w:rPr>
          <w:rFonts w:ascii="Arial" w:hAnsi="Arial" w:cs="Arial"/>
          <w:sz w:val="20"/>
          <w:sz-cs w:val="20"/>
        </w:rPr>
        <w:t xml:space="preserve">analysis of individuals’ documents, analysis of legal entities statutory and registration documents, powers of their managing bodies</w:t>
      </w:r>
      <w:r>
        <w:rPr>
          <w:rFonts w:ascii="Arial" w:hAnsi="Arial" w:cs="Arial"/>
          <w:sz w:val="20"/>
          <w:sz-cs w:val="20"/>
          <w:color w:val="000000"/>
        </w:rPr>
        <w:t xml:space="preserve">, </w:t>
      </w:r>
      <w:r>
        <w:rPr>
          <w:rFonts w:ascii="Arial" w:hAnsi="Arial" w:cs="Arial"/>
          <w:sz w:val="20"/>
          <w:sz-cs w:val="20"/>
        </w:rPr>
        <w:t xml:space="preserve">analysis of title documents for the property offered as collateral;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Preparation and/or legal assessment of variety of civil/commercial agreements, including pledge and mortgage agreements, agreements on sale and purchase of real estate, land plots, vehicles, equipment, securities, different types of agreements on financing building, factoring agreements etc.;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Elaborating model contracts (loan contracts, security contracts, bank account contracts, etc);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Legal assistance on opening and further administration of bank accounts of various types;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Review documents on blocking customer accounts, forced withdrawals from accounts, legal opinion on bank secrecy disclosure;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General legal consulting of bank personnel and clients, advising management on request;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consultations on labor law;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bank representation in courts (preparation of claims, </w:t>
      </w:r>
      <w:r>
        <w:rPr>
          <w:rFonts w:ascii="Arial" w:hAnsi="Arial" w:cs="Arial"/>
          <w:sz w:val="20"/>
          <w:sz-cs w:val="20"/>
          <w:color w:val="000000"/>
        </w:rPr>
        <w:t xml:space="preserve">objections,</w:t>
      </w:r>
      <w:r>
        <w:rPr>
          <w:rFonts w:ascii="Arial" w:hAnsi="Arial" w:cs="Arial"/>
          <w:sz w:val="20"/>
          <w:sz-cs w:val="20"/>
        </w:rPr>
        <w:t xml:space="preserve"> participate in court proceedings as a representative of plaintiff/defendant/third party);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organization and administration of work of subordinate lawyers;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staff training (lawyers, sales representatives); 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elaborating bank normative documents;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official correspondence with clients and the state authorities</w:t>
      </w:r>
    </w:p>
    <w:p>
      <w:pPr>
        <w:jc w:val="both"/>
        <w:ind w:left="720"/>
      </w:pPr>
      <w:r>
        <w:rPr>
          <w:rFonts w:ascii="Arial" w:hAnsi="Arial" w:cs="Arial"/>
          <w:sz w:val="20"/>
          <w:sz-cs w:val="20"/>
        </w:rPr>
        <w:t xml:space="preserve"/>
        <w:tab/>
        <w:t xml:space="preserve">•</w:t>
        <w:tab/>
        <w:t xml:space="preserve">acting as a Corporate Secretary (organization of the Board meetings, preparation decisions of the Board.</w:t>
      </w:r>
    </w:p>
    <w:p>
      <w:pPr>
        <w:jc w:val="both"/>
        <w:ind w:left="34"/>
      </w:pPr>
      <w:r>
        <w:rPr>
          <w:rFonts w:ascii="Arial" w:hAnsi="Arial" w:cs="Arial"/>
          <w:sz w:val="20"/>
          <w:sz-cs w:val="20"/>
        </w:rPr>
        <w:t xml:space="preserve"/>
      </w:r>
    </w:p>
    <w:p>
      <w:pPr>
        <w:jc w:val="both"/>
      </w:pPr>
      <w:r>
        <w:rPr>
          <w:rFonts w:ascii="Arial" w:hAnsi="Arial" w:cs="Arial"/>
          <w:sz w:val="20"/>
          <w:sz-cs w:val="20"/>
          <w:b/>
          <w:u w:val="single"/>
        </w:rPr>
        <w:t xml:space="preserve">Languages:</w:t>
      </w:r>
    </w:p>
    <w:p>
      <w:pPr>
        <w:jc w:val="both"/>
      </w:pPr>
      <w:r>
        <w:rPr>
          <w:rFonts w:ascii="Arial" w:hAnsi="Arial" w:cs="Arial"/>
          <w:sz w:val="20"/>
          <w:sz-cs w:val="20"/>
        </w:rPr>
        <w:t xml:space="preserve">Ukrainian, Russian (native), English (upper-intermediate), Completed the “English for Corporate Law” language course at English school of legal Analysis and Writings</w:t>
      </w:r>
      <w:r>
        <w:rPr>
          <w:rFonts w:ascii="Arial" w:hAnsi="Arial" w:cs="Arial"/>
          <w:sz w:val="20"/>
          <w:sz-cs w:val="20"/>
          <w:b/>
          <w:color w:val="000000"/>
        </w:rPr>
        <w:t xml:space="preserve"> (ESLAW)</w:t>
      </w:r>
    </w:p>
    <w:p>
      <w:pPr>
        <w:jc w:val="both"/>
      </w:pPr>
      <w:r>
        <w:rPr>
          <w:rFonts w:ascii="Arial" w:hAnsi="Arial" w:cs="Arial"/>
          <w:sz w:val="20"/>
          <w:sz-cs w:val="20"/>
          <w:b/>
          <w:color w:val="000000"/>
        </w:rPr>
        <w:t xml:space="preserve"/>
      </w:r>
    </w:p>
    <w:p>
      <w:pPr>
        <w:jc w:val="both"/>
      </w:pPr>
      <w:r>
        <w:rPr>
          <w:rFonts w:ascii="Arial" w:hAnsi="Arial" w:cs="Arial"/>
          <w:sz w:val="20"/>
          <w:sz-cs w:val="20"/>
          <w:b/>
          <w:u w:val="single"/>
        </w:rPr>
        <w:t xml:space="preserve">Qualities:</w:t>
      </w:r>
    </w:p>
    <w:p>
      <w:pPr>
        <w:jc w:val="both"/>
      </w:pPr>
      <w:r>
        <w:rPr>
          <w:rFonts w:ascii="Arial" w:hAnsi="Arial" w:cs="Arial"/>
          <w:sz w:val="20"/>
          <w:sz-cs w:val="20"/>
        </w:rPr>
        <w:t xml:space="preserve">good communication and organizational skills. 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sectPr>
      <w:pgSz w:w="12240" w:h="15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</cp:coreProperties>
</file>

<file path=docProps/meta.xml><?xml version="1.0" encoding="utf-8"?>
<meta xmlns="http://schemas.apple.com/cocoa/2006/metadata">
  <generator>CocoaOOXMLWriter/1504.83</generator>
</meta>
</file>