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F5E3B"/>
          <w:spacing w:val="40"/>
          <w:sz w:val="20"/>
          <w:szCs w:val="20"/>
        </w:rPr>
        <w:t xml:space="preserve">AGRONEXA AGRI-INPUTS LIMITED</w:t>
      </w:r>
    </w:p>
    <w:p>
      <w:pPr>
        <w:pBdr>
          <w:bottom w:val="single" w:color="1F5E3B" w:sz="12" w:space="6"/>
        </w:pBdr>
        <w:spacing w:after="80"/>
      </w:pPr>
      <w:r>
        <w:rPr>
          <w:b/>
          <w:bCs/>
          <w:color w:val="14301F"/>
          <w:sz w:val="44"/>
          <w:szCs w:val="44"/>
        </w:rPr>
        <w:t xml:space="preserve">Product Catalogue</w:t>
      </w:r>
    </w:p>
    <w:p>
      <w:pPr>
        <w:spacing w:after="200" w:before="120"/>
      </w:pPr>
      <w:r>
        <w:rPr>
          <w:i/>
          <w:iCs/>
          <w:color w:val="555555"/>
          <w:sz w:val="22"/>
          <w:szCs w:val="22"/>
        </w:rPr>
        <w:t xml:space="preserve">Fertilizers, seed, crop protection, equipment and services.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7212"/>
      </w:tblGrid>
      <w:tr>
        <w:trPr>
          <w:cantSplit/>
          <w:tblHeader/>
        </w:trPr>
        <w:tc>
          <w:tcPr>
            <w:tcW w:type="dxa" w:w="2200"/>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Document control</w:t>
            </w:r>
          </w:p>
        </w:tc>
        <w:tc>
          <w:tcPr>
            <w:tcW w:type="dxa" w:w="7212"/>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p>
        </w:tc>
      </w:tr>
      <w:tr>
        <w:trPr>
          <w:cantSplit/>
        </w:trPr>
        <w:tc>
          <w:tcPr>
            <w:tcW w:type="dxa" w:w="22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Document ID</w:t>
            </w:r>
          </w:p>
        </w:tc>
        <w:tc>
          <w:tcPr>
            <w:tcW w:type="dxa" w:w="72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AN-PRD-002</w:t>
            </w:r>
          </w:p>
        </w:tc>
      </w:tr>
      <w:tr>
        <w:trPr>
          <w:cantSplit/>
        </w:trPr>
        <w:tc>
          <w:tcPr>
            <w:tcW w:type="dxa" w:w="22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Document title</w:t>
            </w:r>
          </w:p>
        </w:tc>
        <w:tc>
          <w:tcPr>
            <w:tcW w:type="dxa" w:w="72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Product Catalogue</w:t>
            </w:r>
          </w:p>
        </w:tc>
      </w:tr>
      <w:tr>
        <w:trPr>
          <w:cantSplit/>
        </w:trPr>
        <w:tc>
          <w:tcPr>
            <w:tcW w:type="dxa" w:w="22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Version</w:t>
            </w:r>
          </w:p>
        </w:tc>
        <w:tc>
          <w:tcPr>
            <w:tcW w:type="dxa" w:w="72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3.2</w:t>
            </w:r>
          </w:p>
        </w:tc>
      </w:tr>
      <w:tr>
        <w:trPr>
          <w:cantSplit/>
        </w:trPr>
        <w:tc>
          <w:tcPr>
            <w:tcW w:type="dxa" w:w="22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Effective date</w:t>
            </w:r>
          </w:p>
        </w:tc>
        <w:tc>
          <w:tcPr>
            <w:tcW w:type="dxa" w:w="72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1 January 2026</w:t>
            </w:r>
          </w:p>
        </w:tc>
      </w:tr>
      <w:tr>
        <w:trPr>
          <w:cantSplit/>
        </w:trPr>
        <w:tc>
          <w:tcPr>
            <w:tcW w:type="dxa" w:w="22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Last reviewed</w:t>
            </w:r>
          </w:p>
        </w:tc>
        <w:tc>
          <w:tcPr>
            <w:tcW w:type="dxa" w:w="72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15 September 2026</w:t>
            </w:r>
          </w:p>
        </w:tc>
      </w:tr>
      <w:tr>
        <w:trPr>
          <w:cantSplit/>
        </w:trPr>
        <w:tc>
          <w:tcPr>
            <w:tcW w:type="dxa" w:w="22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Document owner</w:t>
            </w:r>
          </w:p>
        </w:tc>
        <w:tc>
          <w:tcPr>
            <w:tcW w:type="dxa" w:w="72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Quality and Technical Services</w:t>
            </w:r>
          </w:p>
        </w:tc>
      </w:tr>
      <w:tr>
        <w:trPr>
          <w:cantSplit/>
        </w:trPr>
        <w:tc>
          <w:tcPr>
            <w:tcW w:type="dxa" w:w="22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Classification</w:t>
            </w:r>
          </w:p>
        </w:tc>
        <w:tc>
          <w:tcPr>
            <w:tcW w:type="dxa" w:w="72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Official – shared with approved partners</w:t>
            </w:r>
          </w:p>
        </w:tc>
      </w:tr>
    </w:tbl>
    <w:p>
      <w:pPr>
        <w:spacing w:after="120"/>
      </w:pPr>
    </w:p>
    <w:p>
      <w:pPr>
        <w:pStyle w:val="Heading1"/>
      </w:pPr>
      <w:r>
        <w:t xml:space="preserve">1. Purpose and Scope</w:t>
      </w:r>
    </w:p>
    <w:p>
      <w:pPr>
        <w:spacing w:after="120" w:line="276"/>
      </w:pPr>
      <w:r>
        <w:rPr>
          <w:sz w:val="21"/>
          <w:szCs w:val="21"/>
        </w:rPr>
        <w:t xml:space="preserve">This catalogue lists the products and services that AgroNexa sells. Prices are in the Pricing and Payment Policy (AN-PRC-003). Availability changes through the season, and products are sold only while stock lasts.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single" w:color="BFC8C2" w:sz="4"/>
              <w:left w:val="single" w:color="1F5E3B" w:sz="24"/>
              <w:bottom w:val="single" w:color="BFC8C2" w:sz="4"/>
              <w:right w:val="single" w:color="BFC8C2" w:sz="4"/>
            </w:tcBorders>
            <w:shd w:fill="E8F1EB" w:color="auto" w:val="clear"/>
            <w:tcMar>
              <w:top w:type="dxa" w:w="90"/>
              <w:left w:type="dxa" w:w="160"/>
              <w:bottom w:type="dxa" w:w="90"/>
              <w:right w:type="dxa" w:w="140"/>
            </w:tcMar>
          </w:tcPr>
          <w:p>
            <w:r>
              <w:rPr>
                <w:b/>
                <w:bCs/>
                <w:color w:val="1F5E3B"/>
                <w:sz w:val="20"/>
                <w:szCs w:val="20"/>
              </w:rPr>
              <w:t xml:space="preserve">Please note: </w:t>
            </w:r>
            <w:r>
              <w:rPr>
                <w:sz w:val="20"/>
                <w:szCs w:val="20"/>
              </w:rPr>
              <w:t xml:space="preserve">Agronomic information in this catalogue is general guidance. Rates and timing depend on soil, rainfall, variety and local extension recommendations. Customers who want a farm-specific recommendation should use the AgroNexa soil testing and advisory service.</w:t>
            </w:r>
          </w:p>
        </w:tc>
      </w:tr>
    </w:tbl>
    <w:p>
      <w:pPr>
        <w:spacing w:after="120"/>
      </w:pPr>
    </w:p>
    <w:p>
      <w:pPr>
        <w:pStyle w:val="Heading1"/>
      </w:pPr>
      <w:r>
        <w:t xml:space="preserve">2. Fertilizers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71"/>
        <w:gridCol w:w="2050"/>
        <w:gridCol w:w="1957"/>
        <w:gridCol w:w="1025"/>
        <w:gridCol w:w="2609"/>
      </w:tblGrid>
      <w:tr>
        <w:trPr>
          <w:cantSplit/>
          <w:tblHeader/>
        </w:trPr>
        <w:tc>
          <w:tcPr>
            <w:tcW w:type="dxa" w:w="1771"/>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SKU</w:t>
            </w:r>
          </w:p>
        </w:tc>
        <w:tc>
          <w:tcPr>
            <w:tcW w:type="dxa" w:w="2050"/>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Product</w:t>
            </w:r>
          </w:p>
        </w:tc>
        <w:tc>
          <w:tcPr>
            <w:tcW w:type="dxa" w:w="1957"/>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Nutrient content</w:t>
            </w:r>
          </w:p>
        </w:tc>
        <w:tc>
          <w:tcPr>
            <w:tcW w:type="dxa" w:w="1025"/>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Pack</w:t>
            </w:r>
          </w:p>
        </w:tc>
        <w:tc>
          <w:tcPr>
            <w:tcW w:type="dxa" w:w="2609"/>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Typical use</w:t>
            </w:r>
          </w:p>
        </w:tc>
      </w:tr>
      <w:tr>
        <w:trPr>
          <w:cantSplit/>
        </w:trPr>
        <w:tc>
          <w:tcPr>
            <w:tcW w:type="dxa" w:w="1771"/>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FRT-NPK151515-50</w:t>
            </w:r>
          </w:p>
        </w:tc>
        <w:tc>
          <w:tcPr>
            <w:tcW w:type="dxa" w:w="205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AgroNexa NPK 15-15-15</w:t>
            </w:r>
          </w:p>
        </w:tc>
        <w:tc>
          <w:tcPr>
            <w:tcW w:type="dxa" w:w="1957"/>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15% N, 15% P2O5, 15% K2O</w:t>
            </w:r>
          </w:p>
        </w:tc>
        <w:tc>
          <w:tcPr>
            <w:tcW w:type="dxa" w:w="1025"/>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50 kg bag</w:t>
            </w:r>
          </w:p>
        </w:tc>
        <w:tc>
          <w:tcPr>
            <w:tcW w:type="dxa" w:w="2609"/>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Basal application for maize, rice, sorghum, vegetables</w:t>
            </w:r>
          </w:p>
        </w:tc>
      </w:tr>
      <w:tr>
        <w:trPr>
          <w:cantSplit/>
        </w:trPr>
        <w:tc>
          <w:tcPr>
            <w:tcW w:type="dxa" w:w="1771"/>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FRT-NPK201010-50</w:t>
            </w:r>
          </w:p>
        </w:tc>
        <w:tc>
          <w:tcPr>
            <w:tcW w:type="dxa" w:w="205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AgroNexa NPK 20-10-10</w:t>
            </w:r>
          </w:p>
        </w:tc>
        <w:tc>
          <w:tcPr>
            <w:tcW w:type="dxa" w:w="1957"/>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20% N, 10% P2O5, 10% K2O</w:t>
            </w:r>
          </w:p>
        </w:tc>
        <w:tc>
          <w:tcPr>
            <w:tcW w:type="dxa" w:w="1025"/>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50 kg bag</w:t>
            </w:r>
          </w:p>
        </w:tc>
        <w:tc>
          <w:tcPr>
            <w:tcW w:type="dxa" w:w="2609"/>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Cereals on soils with moderate phosphorus</w:t>
            </w:r>
          </w:p>
        </w:tc>
      </w:tr>
      <w:tr>
        <w:trPr>
          <w:cantSplit/>
        </w:trPr>
        <w:tc>
          <w:tcPr>
            <w:tcW w:type="dxa" w:w="1771"/>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FRT-UREA-50</w:t>
            </w:r>
          </w:p>
        </w:tc>
        <w:tc>
          <w:tcPr>
            <w:tcW w:type="dxa" w:w="205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Urea</w:t>
            </w:r>
          </w:p>
        </w:tc>
        <w:tc>
          <w:tcPr>
            <w:tcW w:type="dxa" w:w="1957"/>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46% N</w:t>
            </w:r>
          </w:p>
        </w:tc>
        <w:tc>
          <w:tcPr>
            <w:tcW w:type="dxa" w:w="1025"/>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50 kg bag</w:t>
            </w:r>
          </w:p>
        </w:tc>
        <w:tc>
          <w:tcPr>
            <w:tcW w:type="dxa" w:w="2609"/>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Top dressing for cereals, 3–5 weeks after planting</w:t>
            </w:r>
          </w:p>
        </w:tc>
      </w:tr>
      <w:tr>
        <w:trPr>
          <w:cantSplit/>
        </w:trPr>
        <w:tc>
          <w:tcPr>
            <w:tcW w:type="dxa" w:w="1771"/>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FRT-SSP-50</w:t>
            </w:r>
          </w:p>
        </w:tc>
        <w:tc>
          <w:tcPr>
            <w:tcW w:type="dxa" w:w="205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Single Super Phosphate (SSP)</w:t>
            </w:r>
          </w:p>
        </w:tc>
        <w:tc>
          <w:tcPr>
            <w:tcW w:type="dxa" w:w="1957"/>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18% P2O5, with sulphur and calcium</w:t>
            </w:r>
          </w:p>
        </w:tc>
        <w:tc>
          <w:tcPr>
            <w:tcW w:type="dxa" w:w="1025"/>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50 kg bag</w:t>
            </w:r>
          </w:p>
        </w:tc>
        <w:tc>
          <w:tcPr>
            <w:tcW w:type="dxa" w:w="2609"/>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Phosphorus supply for legumes (soybean, cowpea) and cereals</w:t>
            </w:r>
          </w:p>
        </w:tc>
      </w:tr>
      <w:tr>
        <w:trPr>
          <w:cantSplit/>
        </w:trPr>
        <w:tc>
          <w:tcPr>
            <w:tcW w:type="dxa" w:w="1771"/>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FRT-MOP-50</w:t>
            </w:r>
          </w:p>
        </w:tc>
        <w:tc>
          <w:tcPr>
            <w:tcW w:type="dxa" w:w="205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Muriate of Potash (MOP)</w:t>
            </w:r>
          </w:p>
        </w:tc>
        <w:tc>
          <w:tcPr>
            <w:tcW w:type="dxa" w:w="1957"/>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60% K2O</w:t>
            </w:r>
          </w:p>
        </w:tc>
        <w:tc>
          <w:tcPr>
            <w:tcW w:type="dxa" w:w="1025"/>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50 kg bag</w:t>
            </w:r>
          </w:p>
        </w:tc>
        <w:tc>
          <w:tcPr>
            <w:tcW w:type="dxa" w:w="2609"/>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Potassium correction on low-potassium soils</w:t>
            </w:r>
          </w:p>
        </w:tc>
      </w:tr>
      <w:tr>
        <w:trPr>
          <w:cantSplit/>
        </w:trPr>
        <w:tc>
          <w:tcPr>
            <w:tcW w:type="dxa" w:w="1771"/>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FRT-CAN-50</w:t>
            </w:r>
          </w:p>
        </w:tc>
        <w:tc>
          <w:tcPr>
            <w:tcW w:type="dxa" w:w="205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Calcium Ammonium Nitrate (CAN)</w:t>
            </w:r>
          </w:p>
        </w:tc>
        <w:tc>
          <w:tcPr>
            <w:tcW w:type="dxa" w:w="1957"/>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26% N with calcium</w:t>
            </w:r>
          </w:p>
        </w:tc>
        <w:tc>
          <w:tcPr>
            <w:tcW w:type="dxa" w:w="1025"/>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50 kg bag</w:t>
            </w:r>
          </w:p>
        </w:tc>
        <w:tc>
          <w:tcPr>
            <w:tcW w:type="dxa" w:w="2609"/>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Top dressing, especially on acidic soils</w:t>
            </w:r>
          </w:p>
        </w:tc>
      </w:tr>
      <w:tr>
        <w:trPr>
          <w:cantSplit/>
        </w:trPr>
        <w:tc>
          <w:tcPr>
            <w:tcW w:type="dxa" w:w="1771"/>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FRT-ORG-25</w:t>
            </w:r>
          </w:p>
        </w:tc>
        <w:tc>
          <w:tcPr>
            <w:tcW w:type="dxa" w:w="205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NexaGrow Organic Compost Granules</w:t>
            </w:r>
          </w:p>
        </w:tc>
        <w:tc>
          <w:tcPr>
            <w:tcW w:type="dxa" w:w="1957"/>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Organic matter with 2–3% N (indicative)</w:t>
            </w:r>
          </w:p>
        </w:tc>
        <w:tc>
          <w:tcPr>
            <w:tcW w:type="dxa" w:w="1025"/>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25 kg bag</w:t>
            </w:r>
          </w:p>
        </w:tc>
        <w:tc>
          <w:tcPr>
            <w:tcW w:type="dxa" w:w="2609"/>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Soil conditioning, vegetables, nurseries</w:t>
            </w:r>
          </w:p>
        </w:tc>
      </w:tr>
    </w:tbl>
    <w:p>
      <w:pPr>
        <w:spacing w:after="120"/>
      </w:pPr>
    </w:p>
    <w:p>
      <w:pPr>
        <w:pStyle w:val="Heading2"/>
      </w:pPr>
      <w:r>
        <w:t xml:space="preserve">Custom blends</w:t>
      </w:r>
    </w:p>
    <w:p>
      <w:pPr>
        <w:spacing w:after="120" w:line="276"/>
      </w:pPr>
      <w:r>
        <w:rPr>
          <w:sz w:val="21"/>
          <w:szCs w:val="21"/>
        </w:rPr>
        <w:t xml:space="preserve">Cooperatives and commercial farms may order custom blends made at the Kaduna blending plant, for example NPK with added zinc or sulphur. Custom blends need a soil-test result or a written specification, a minimum order of 200 bags and a lead time of 10 to 15 business days. Custom blends are made to order and cannot be returned (see AN-RRP-005).</w:t>
      </w:r>
    </w:p>
    <w:p>
      <w:pPr>
        <w:pStyle w:val="Heading1"/>
      </w:pPr>
      <w:r>
        <w:t xml:space="preserve">3. Certified Seed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02"/>
        <w:gridCol w:w="2003"/>
        <w:gridCol w:w="1001"/>
        <w:gridCol w:w="801"/>
        <w:gridCol w:w="1302"/>
        <w:gridCol w:w="2903"/>
      </w:tblGrid>
      <w:tr>
        <w:trPr>
          <w:cantSplit/>
          <w:tblHeader/>
        </w:trPr>
        <w:tc>
          <w:tcPr>
            <w:tcW w:type="dxa" w:w="1402"/>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SKU</w:t>
            </w:r>
          </w:p>
        </w:tc>
        <w:tc>
          <w:tcPr>
            <w:tcW w:type="dxa" w:w="2003"/>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Variety</w:t>
            </w:r>
          </w:p>
        </w:tc>
        <w:tc>
          <w:tcPr>
            <w:tcW w:type="dxa" w:w="1001"/>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Crop</w:t>
            </w:r>
          </w:p>
        </w:tc>
        <w:tc>
          <w:tcPr>
            <w:tcW w:type="dxa" w:w="801"/>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Pack</w:t>
            </w:r>
          </w:p>
        </w:tc>
        <w:tc>
          <w:tcPr>
            <w:tcW w:type="dxa" w:w="1302"/>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Maturity</w:t>
            </w:r>
          </w:p>
        </w:tc>
        <w:tc>
          <w:tcPr>
            <w:tcW w:type="dxa" w:w="2903"/>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Notes</w:t>
            </w:r>
          </w:p>
        </w:tc>
      </w:tr>
      <w:tr>
        <w:trPr>
          <w:cantSplit/>
        </w:trPr>
        <w:tc>
          <w:tcPr>
            <w:tcW w:type="dxa" w:w="140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SD-MZ-HY1</w:t>
            </w:r>
          </w:p>
        </w:tc>
        <w:tc>
          <w:tcPr>
            <w:tcW w:type="dxa" w:w="2003"/>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NexaGold Maize H1 (hybrid)</w:t>
            </w:r>
          </w:p>
        </w:tc>
        <w:tc>
          <w:tcPr>
            <w:tcW w:type="dxa" w:w="1001"/>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Maize</w:t>
            </w:r>
          </w:p>
        </w:tc>
        <w:tc>
          <w:tcPr>
            <w:tcW w:type="dxa" w:w="801"/>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10 kg</w:t>
            </w:r>
          </w:p>
        </w:tc>
        <w:tc>
          <w:tcPr>
            <w:tcW w:type="dxa" w:w="130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105–110 days</w:t>
            </w:r>
          </w:p>
        </w:tc>
        <w:tc>
          <w:tcPr>
            <w:tcW w:type="dxa" w:w="2903"/>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High-yield hybrid; seed must be bought fresh each season</w:t>
            </w:r>
          </w:p>
        </w:tc>
      </w:tr>
      <w:tr>
        <w:trPr>
          <w:cantSplit/>
        </w:trPr>
        <w:tc>
          <w:tcPr>
            <w:tcW w:type="dxa" w:w="140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SD-MZ-OP1</w:t>
            </w:r>
          </w:p>
        </w:tc>
        <w:tc>
          <w:tcPr>
            <w:tcW w:type="dxa" w:w="2003"/>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NexaGold Maize OP (open-pollinated)</w:t>
            </w:r>
          </w:p>
        </w:tc>
        <w:tc>
          <w:tcPr>
            <w:tcW w:type="dxa" w:w="1001"/>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Maize</w:t>
            </w:r>
          </w:p>
        </w:tc>
        <w:tc>
          <w:tcPr>
            <w:tcW w:type="dxa" w:w="801"/>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10 kg</w:t>
            </w:r>
          </w:p>
        </w:tc>
        <w:tc>
          <w:tcPr>
            <w:tcW w:type="dxa" w:w="130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90–95 days</w:t>
            </w:r>
          </w:p>
        </w:tc>
        <w:tc>
          <w:tcPr>
            <w:tcW w:type="dxa" w:w="2903"/>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Early maturing; suited to shorter rainy seasons</w:t>
            </w:r>
          </w:p>
        </w:tc>
      </w:tr>
      <w:tr>
        <w:trPr>
          <w:cantSplit/>
        </w:trPr>
        <w:tc>
          <w:tcPr>
            <w:tcW w:type="dxa" w:w="140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SD-RC-01</w:t>
            </w:r>
          </w:p>
        </w:tc>
        <w:tc>
          <w:tcPr>
            <w:tcW w:type="dxa" w:w="2003"/>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NexaRice FR</w:t>
            </w:r>
          </w:p>
        </w:tc>
        <w:tc>
          <w:tcPr>
            <w:tcW w:type="dxa" w:w="1001"/>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Lowland rice</w:t>
            </w:r>
          </w:p>
        </w:tc>
        <w:tc>
          <w:tcPr>
            <w:tcW w:type="dxa" w:w="801"/>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25 kg</w:t>
            </w:r>
          </w:p>
        </w:tc>
        <w:tc>
          <w:tcPr>
            <w:tcW w:type="dxa" w:w="130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115–120 days</w:t>
            </w:r>
          </w:p>
        </w:tc>
        <w:tc>
          <w:tcPr>
            <w:tcW w:type="dxa" w:w="2903"/>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For irrigated or well-watered lowland fields</w:t>
            </w:r>
          </w:p>
        </w:tc>
      </w:tr>
      <w:tr>
        <w:trPr>
          <w:cantSplit/>
        </w:trPr>
        <w:tc>
          <w:tcPr>
            <w:tcW w:type="dxa" w:w="140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SD-SB-01</w:t>
            </w:r>
          </w:p>
        </w:tc>
        <w:tc>
          <w:tcPr>
            <w:tcW w:type="dxa" w:w="2003"/>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NexaSoy 110</w:t>
            </w:r>
          </w:p>
        </w:tc>
        <w:tc>
          <w:tcPr>
            <w:tcW w:type="dxa" w:w="1001"/>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Soybean</w:t>
            </w:r>
          </w:p>
        </w:tc>
        <w:tc>
          <w:tcPr>
            <w:tcW w:type="dxa" w:w="801"/>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25 kg</w:t>
            </w:r>
          </w:p>
        </w:tc>
        <w:tc>
          <w:tcPr>
            <w:tcW w:type="dxa" w:w="130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105–110 days</w:t>
            </w:r>
          </w:p>
        </w:tc>
        <w:tc>
          <w:tcPr>
            <w:tcW w:type="dxa" w:w="2903"/>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Inoculant recommended; see storage notes</w:t>
            </w:r>
          </w:p>
        </w:tc>
      </w:tr>
      <w:tr>
        <w:trPr>
          <w:cantSplit/>
        </w:trPr>
        <w:tc>
          <w:tcPr>
            <w:tcW w:type="dxa" w:w="140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SD-SG-01</w:t>
            </w:r>
          </w:p>
        </w:tc>
        <w:tc>
          <w:tcPr>
            <w:tcW w:type="dxa" w:w="2003"/>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NexaSorghum S2</w:t>
            </w:r>
          </w:p>
        </w:tc>
        <w:tc>
          <w:tcPr>
            <w:tcW w:type="dxa" w:w="1001"/>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Sorghum</w:t>
            </w:r>
          </w:p>
        </w:tc>
        <w:tc>
          <w:tcPr>
            <w:tcW w:type="dxa" w:w="801"/>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5 kg</w:t>
            </w:r>
          </w:p>
        </w:tc>
        <w:tc>
          <w:tcPr>
            <w:tcW w:type="dxa" w:w="130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100–110 days</w:t>
            </w:r>
          </w:p>
        </w:tc>
        <w:tc>
          <w:tcPr>
            <w:tcW w:type="dxa" w:w="2903"/>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Drought-tolerant</w:t>
            </w:r>
          </w:p>
        </w:tc>
      </w:tr>
      <w:tr>
        <w:trPr>
          <w:cantSplit/>
        </w:trPr>
        <w:tc>
          <w:tcPr>
            <w:tcW w:type="dxa" w:w="140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SD-CP-01</w:t>
            </w:r>
          </w:p>
        </w:tc>
        <w:tc>
          <w:tcPr>
            <w:tcW w:type="dxa" w:w="2003"/>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NexaCowpea C5</w:t>
            </w:r>
          </w:p>
        </w:tc>
        <w:tc>
          <w:tcPr>
            <w:tcW w:type="dxa" w:w="1001"/>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Cowpea</w:t>
            </w:r>
          </w:p>
        </w:tc>
        <w:tc>
          <w:tcPr>
            <w:tcW w:type="dxa" w:w="801"/>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5 kg</w:t>
            </w:r>
          </w:p>
        </w:tc>
        <w:tc>
          <w:tcPr>
            <w:tcW w:type="dxa" w:w="130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65–75 days</w:t>
            </w:r>
          </w:p>
        </w:tc>
        <w:tc>
          <w:tcPr>
            <w:tcW w:type="dxa" w:w="2903"/>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Early, determinate type</w:t>
            </w:r>
          </w:p>
        </w:tc>
      </w:tr>
    </w:tbl>
    <w:p>
      <w:pPr>
        <w:spacing w:after="120"/>
      </w:pPr>
    </w:p>
    <w:p>
      <w:pPr>
        <w:spacing w:after="120" w:line="276"/>
      </w:pPr>
      <w:r>
        <w:rPr>
          <w:sz w:val="21"/>
          <w:szCs w:val="21"/>
        </w:rPr>
        <w:t xml:space="preserve">Every seed pack carries the variety name, lot number, germination percentage at packing, and an expiry date. Customers should keep the pack label until harvest; it is needed for any germination claim.</w:t>
      </w:r>
    </w:p>
    <w:p>
      <w:pPr>
        <w:pStyle w:val="Heading1"/>
      </w:pPr>
      <w:r>
        <w:t xml:space="preserve">4. Crop Protection Products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2"/>
        <w:gridCol w:w="2303"/>
        <w:gridCol w:w="2503"/>
        <w:gridCol w:w="1902"/>
        <w:gridCol w:w="1202"/>
      </w:tblGrid>
      <w:tr>
        <w:trPr>
          <w:cantSplit/>
          <w:tblHeader/>
        </w:trPr>
        <w:tc>
          <w:tcPr>
            <w:tcW w:type="dxa" w:w="1502"/>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SKU</w:t>
            </w:r>
          </w:p>
        </w:tc>
        <w:tc>
          <w:tcPr>
            <w:tcW w:type="dxa" w:w="2303"/>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Product</w:t>
            </w:r>
          </w:p>
        </w:tc>
        <w:tc>
          <w:tcPr>
            <w:tcW w:type="dxa" w:w="2503"/>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Type</w:t>
            </w:r>
          </w:p>
        </w:tc>
        <w:tc>
          <w:tcPr>
            <w:tcW w:type="dxa" w:w="1902"/>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Active ingredient</w:t>
            </w:r>
          </w:p>
        </w:tc>
        <w:tc>
          <w:tcPr>
            <w:tcW w:type="dxa" w:w="1202"/>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Pack</w:t>
            </w:r>
          </w:p>
        </w:tc>
      </w:tr>
      <w:tr>
        <w:trPr>
          <w:cantSplit/>
        </w:trPr>
        <w:tc>
          <w:tcPr>
            <w:tcW w:type="dxa" w:w="150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CP-HB-GLY</w:t>
            </w:r>
          </w:p>
        </w:tc>
        <w:tc>
          <w:tcPr>
            <w:tcW w:type="dxa" w:w="2303"/>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AgroNexa Glyphosate 480 SL</w:t>
            </w:r>
          </w:p>
        </w:tc>
        <w:tc>
          <w:tcPr>
            <w:tcW w:type="dxa" w:w="2503"/>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Herbicide (non-selective)</w:t>
            </w:r>
          </w:p>
        </w:tc>
        <w:tc>
          <w:tcPr>
            <w:tcW w:type="dxa" w:w="190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Glyphosate</w:t>
            </w:r>
          </w:p>
        </w:tc>
        <w:tc>
          <w:tcPr>
            <w:tcW w:type="dxa" w:w="120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1 litre</w:t>
            </w:r>
          </w:p>
        </w:tc>
      </w:tr>
      <w:tr>
        <w:trPr>
          <w:cantSplit/>
        </w:trPr>
        <w:tc>
          <w:tcPr>
            <w:tcW w:type="dxa" w:w="150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CP-HB-ATZ</w:t>
            </w:r>
          </w:p>
        </w:tc>
        <w:tc>
          <w:tcPr>
            <w:tcW w:type="dxa" w:w="2303"/>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AgroNexa Atrazine 500 SC</w:t>
            </w:r>
          </w:p>
        </w:tc>
        <w:tc>
          <w:tcPr>
            <w:tcW w:type="dxa" w:w="2503"/>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Pre-emergence herbicide for maize</w:t>
            </w:r>
          </w:p>
        </w:tc>
        <w:tc>
          <w:tcPr>
            <w:tcW w:type="dxa" w:w="190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Atrazine</w:t>
            </w:r>
          </w:p>
        </w:tc>
        <w:tc>
          <w:tcPr>
            <w:tcW w:type="dxa" w:w="120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1 litre</w:t>
            </w:r>
          </w:p>
        </w:tc>
      </w:tr>
      <w:tr>
        <w:trPr>
          <w:cantSplit/>
        </w:trPr>
        <w:tc>
          <w:tcPr>
            <w:tcW w:type="dxa" w:w="150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CP-IN-LCY</w:t>
            </w:r>
          </w:p>
        </w:tc>
        <w:tc>
          <w:tcPr>
            <w:tcW w:type="dxa" w:w="2303"/>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AgroNexa Lambda 2.5 EC</w:t>
            </w:r>
          </w:p>
        </w:tc>
        <w:tc>
          <w:tcPr>
            <w:tcW w:type="dxa" w:w="2503"/>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Insecticide</w:t>
            </w:r>
          </w:p>
        </w:tc>
        <w:tc>
          <w:tcPr>
            <w:tcW w:type="dxa" w:w="190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Lambda-cyhalothrin</w:t>
            </w:r>
          </w:p>
        </w:tc>
        <w:tc>
          <w:tcPr>
            <w:tcW w:type="dxa" w:w="120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1 litre</w:t>
            </w:r>
          </w:p>
        </w:tc>
      </w:tr>
      <w:tr>
        <w:trPr>
          <w:cantSplit/>
        </w:trPr>
        <w:tc>
          <w:tcPr>
            <w:tcW w:type="dxa" w:w="150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CP-IN-EMB</w:t>
            </w:r>
          </w:p>
        </w:tc>
        <w:tc>
          <w:tcPr>
            <w:tcW w:type="dxa" w:w="2303"/>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AgroNexa Emamectin 1.9 EC</w:t>
            </w:r>
          </w:p>
        </w:tc>
        <w:tc>
          <w:tcPr>
            <w:tcW w:type="dxa" w:w="2503"/>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Insecticide (fall armyworm and other caterpillars)</w:t>
            </w:r>
          </w:p>
        </w:tc>
        <w:tc>
          <w:tcPr>
            <w:tcW w:type="dxa" w:w="190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Emamectin benzoate</w:t>
            </w:r>
          </w:p>
        </w:tc>
        <w:tc>
          <w:tcPr>
            <w:tcW w:type="dxa" w:w="120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500 ml</w:t>
            </w:r>
          </w:p>
        </w:tc>
      </w:tr>
      <w:tr>
        <w:trPr>
          <w:cantSplit/>
        </w:trPr>
        <w:tc>
          <w:tcPr>
            <w:tcW w:type="dxa" w:w="150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CP-FG-MNZ</w:t>
            </w:r>
          </w:p>
        </w:tc>
        <w:tc>
          <w:tcPr>
            <w:tcW w:type="dxa" w:w="2303"/>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AgroNexa Mancozeb 80 WP</w:t>
            </w:r>
          </w:p>
        </w:tc>
        <w:tc>
          <w:tcPr>
            <w:tcW w:type="dxa" w:w="2503"/>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Fungicide</w:t>
            </w:r>
          </w:p>
        </w:tc>
        <w:tc>
          <w:tcPr>
            <w:tcW w:type="dxa" w:w="190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Mancozeb</w:t>
            </w:r>
          </w:p>
        </w:tc>
        <w:tc>
          <w:tcPr>
            <w:tcW w:type="dxa" w:w="120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1 kg</w:t>
            </w:r>
          </w:p>
        </w:tc>
      </w:tr>
    </w:tbl>
    <w:p>
      <w:pPr>
        <w:spacing w:after="120"/>
      </w:pPr>
    </w:p>
    <w:p>
      <w:pPr>
        <w:spacing w:after="120" w:line="276"/>
      </w:pPr>
      <w:r>
        <w:rPr>
          <w:sz w:val="21"/>
          <w:szCs w:val="21"/>
        </w:rPr>
        <w:t xml:space="preserve">Agrochemicals must be used according to the label. They are sold to adults only and are delivered under the special conditions set out in the Delivery Policy. Customers should read the label and wear appropriate protective equipment.</w:t>
      </w:r>
    </w:p>
    <w:p>
      <w:pPr>
        <w:pStyle w:val="Heading1"/>
      </w:pPr>
      <w:r>
        <w:t xml:space="preserve">5. Equipment and Accessories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612"/>
      </w:tblGrid>
      <w:tr>
        <w:trPr>
          <w:cantSplit/>
          <w:tblHeader/>
        </w:trPr>
        <w:tc>
          <w:tcPr>
            <w:tcW w:type="dxa" w:w="2000"/>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SKU</w:t>
            </w:r>
          </w:p>
        </w:tc>
        <w:tc>
          <w:tcPr>
            <w:tcW w:type="dxa" w:w="2800"/>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Product</w:t>
            </w:r>
          </w:p>
        </w:tc>
        <w:tc>
          <w:tcPr>
            <w:tcW w:type="dxa" w:w="4612"/>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Description</w:t>
            </w:r>
          </w:p>
        </w:tc>
      </w:tr>
      <w:tr>
        <w:trPr>
          <w:cantSplit/>
        </w:trPr>
        <w:tc>
          <w:tcPr>
            <w:tcW w:type="dxa" w:w="20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EQ-SPR-16L</w:t>
            </w:r>
          </w:p>
        </w:tc>
        <w:tc>
          <w:tcPr>
            <w:tcW w:type="dxa" w:w="28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Knapsack sprayer, 16 litre</w:t>
            </w:r>
          </w:p>
        </w:tc>
        <w:tc>
          <w:tcPr>
            <w:tcW w:type="dxa" w:w="46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Manual lever-operated sprayer with adjustable nozzle and one-year workmanship warranty</w:t>
            </w:r>
          </w:p>
        </w:tc>
      </w:tr>
      <w:tr>
        <w:trPr>
          <w:cantSplit/>
        </w:trPr>
        <w:tc>
          <w:tcPr>
            <w:tcW w:type="dxa" w:w="20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EQ-PPE-KIT</w:t>
            </w:r>
          </w:p>
        </w:tc>
        <w:tc>
          <w:tcPr>
            <w:tcW w:type="dxa" w:w="28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Protective equipment kit</w:t>
            </w:r>
          </w:p>
        </w:tc>
        <w:tc>
          <w:tcPr>
            <w:tcW w:type="dxa" w:w="46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Chemical-resistant gloves, face mask, goggles and apron for spraying</w:t>
            </w:r>
          </w:p>
        </w:tc>
      </w:tr>
      <w:tr>
        <w:trPr>
          <w:cantSplit/>
        </w:trPr>
        <w:tc>
          <w:tcPr>
            <w:tcW w:type="dxa" w:w="20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EQ-HRM-100</w:t>
            </w:r>
          </w:p>
        </w:tc>
        <w:tc>
          <w:tcPr>
            <w:tcW w:type="dxa" w:w="28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Hermetic storage bag, 100 kg</w:t>
            </w:r>
          </w:p>
        </w:tc>
        <w:tc>
          <w:tcPr>
            <w:tcW w:type="dxa" w:w="46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Triple-layer airtight bag for storing grain and legumes without chemical preservatives</w:t>
            </w:r>
          </w:p>
        </w:tc>
      </w:tr>
    </w:tbl>
    <w:p>
      <w:pPr>
        <w:spacing w:after="120"/>
      </w:pPr>
    </w:p>
    <w:p>
      <w:pPr>
        <w:pStyle w:val="Heading1"/>
      </w:pPr>
      <w:r>
        <w:t xml:space="preserve">6. Services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212"/>
      </w:tblGrid>
      <w:tr>
        <w:trPr>
          <w:cantSplit/>
          <w:tblHeader/>
        </w:trPr>
        <w:tc>
          <w:tcPr>
            <w:tcW w:type="dxa" w:w="2200"/>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Service</w:t>
            </w:r>
          </w:p>
        </w:tc>
        <w:tc>
          <w:tcPr>
            <w:tcW w:type="dxa" w:w="5000"/>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What the customer receives</w:t>
            </w:r>
          </w:p>
        </w:tc>
        <w:tc>
          <w:tcPr>
            <w:tcW w:type="dxa" w:w="2212"/>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Turnaround</w:t>
            </w:r>
          </w:p>
        </w:tc>
      </w:tr>
      <w:tr>
        <w:trPr>
          <w:cantSplit/>
        </w:trPr>
        <w:tc>
          <w:tcPr>
            <w:tcW w:type="dxa" w:w="22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Basic soil test</w:t>
            </w:r>
          </w:p>
        </w:tc>
        <w:tc>
          <w:tcPr>
            <w:tcW w:type="dxa" w:w="50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Laboratory analysis of pH, organic carbon, nitrogen, phosphorus and potassium, with a written fertilizer recommendation</w:t>
            </w:r>
          </w:p>
        </w:tc>
        <w:tc>
          <w:tcPr>
            <w:tcW w:type="dxa" w:w="22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7–10 business days from sample receipt</w:t>
            </w:r>
          </w:p>
        </w:tc>
      </w:tr>
      <w:tr>
        <w:trPr>
          <w:cantSplit/>
        </w:trPr>
        <w:tc>
          <w:tcPr>
            <w:tcW w:type="dxa" w:w="22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Extended soil test</w:t>
            </w:r>
          </w:p>
        </w:tc>
        <w:tc>
          <w:tcPr>
            <w:tcW w:type="dxa" w:w="50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Basic test plus micronutrients, cation exchange capacity and texture</w:t>
            </w:r>
          </w:p>
        </w:tc>
        <w:tc>
          <w:tcPr>
            <w:tcW w:type="dxa" w:w="22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10–14 business days from sample receipt</w:t>
            </w:r>
          </w:p>
        </w:tc>
      </w:tr>
      <w:tr>
        <w:trPr>
          <w:cantSplit/>
        </w:trPr>
        <w:tc>
          <w:tcPr>
            <w:tcW w:type="dxa" w:w="22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Farm advisory visit</w:t>
            </w:r>
          </w:p>
        </w:tc>
        <w:tc>
          <w:tcPr>
            <w:tcW w:type="dxa" w:w="50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On-farm visit by an AgroNexa agronomist with a written field report</w:t>
            </w:r>
          </w:p>
        </w:tc>
        <w:tc>
          <w:tcPr>
            <w:tcW w:type="dxa" w:w="22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Scheduled within 10 business days of booking, subject to location</w:t>
            </w:r>
          </w:p>
        </w:tc>
      </w:tr>
    </w:tbl>
    <w:p>
      <w:pPr>
        <w:spacing w:after="120"/>
      </w:pPr>
    </w:p>
    <w:p>
      <w:pPr>
        <w:spacing w:after="120" w:line="276"/>
      </w:pPr>
      <w:r>
        <w:rPr>
          <w:sz w:val="21"/>
          <w:szCs w:val="21"/>
        </w:rPr>
        <w:t xml:space="preserve">Soil sampling kits and instructions are free with any soil-test order and can be collected from the Abuja, Kaduna and Kano depots or requested for delivery. Samples can be dropped at those depots or couriered to the Kaduna laboratory.</w:t>
      </w:r>
    </w:p>
    <w:p>
      <w:pPr>
        <w:pStyle w:val="Heading1"/>
      </w:pPr>
      <w:r>
        <w:t xml:space="preserve">7. Storage and Shelf Life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412"/>
      </w:tblGrid>
      <w:tr>
        <w:trPr>
          <w:cantSplit/>
          <w:tblHeader/>
        </w:trPr>
        <w:tc>
          <w:tcPr>
            <w:tcW w:type="dxa" w:w="2000"/>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Product type</w:t>
            </w:r>
          </w:p>
        </w:tc>
        <w:tc>
          <w:tcPr>
            <w:tcW w:type="dxa" w:w="4000"/>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Recommended storage</w:t>
            </w:r>
          </w:p>
        </w:tc>
        <w:tc>
          <w:tcPr>
            <w:tcW w:type="dxa" w:w="3412"/>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Typical shelf life when stored unopened</w:t>
            </w:r>
          </w:p>
        </w:tc>
      </w:tr>
      <w:tr>
        <w:trPr>
          <w:cantSplit/>
        </w:trPr>
        <w:tc>
          <w:tcPr>
            <w:tcW w:type="dxa" w:w="20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Fertilizers</w:t>
            </w:r>
          </w:p>
        </w:tc>
        <w:tc>
          <w:tcPr>
            <w:tcW w:type="dxa" w:w="40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Dry, ventilated, off the ground, away from direct sun and rain</w:t>
            </w:r>
          </w:p>
        </w:tc>
        <w:tc>
          <w:tcPr>
            <w:tcW w:type="dxa" w:w="34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2 years from manufacture date; urea and compound fertilizers cake if exposed to moisture</w:t>
            </w:r>
          </w:p>
        </w:tc>
      </w:tr>
      <w:tr>
        <w:trPr>
          <w:cantSplit/>
        </w:trPr>
        <w:tc>
          <w:tcPr>
            <w:tcW w:type="dxa" w:w="20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Seed</w:t>
            </w:r>
          </w:p>
        </w:tc>
        <w:tc>
          <w:tcPr>
            <w:tcW w:type="dxa" w:w="40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Cool, dry, well-ventilated place; keep bag sealed; keep away from fertilizer and chemicals</w:t>
            </w:r>
          </w:p>
        </w:tc>
        <w:tc>
          <w:tcPr>
            <w:tcW w:type="dxa" w:w="34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See expiry on pack; usually 9–12 months from packing</w:t>
            </w:r>
          </w:p>
        </w:tc>
      </w:tr>
      <w:tr>
        <w:trPr>
          <w:cantSplit/>
        </w:trPr>
        <w:tc>
          <w:tcPr>
            <w:tcW w:type="dxa" w:w="20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Crop protection</w:t>
            </w:r>
          </w:p>
        </w:tc>
        <w:tc>
          <w:tcPr>
            <w:tcW w:type="dxa" w:w="40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Original container, locked, away from food and children, out of direct sun</w:t>
            </w:r>
          </w:p>
        </w:tc>
        <w:tc>
          <w:tcPr>
            <w:tcW w:type="dxa" w:w="34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2 years from manufacture date unless the label states otherwise</w:t>
            </w:r>
          </w:p>
        </w:tc>
      </w:tr>
      <w:tr>
        <w:trPr>
          <w:cantSplit/>
        </w:trPr>
        <w:tc>
          <w:tcPr>
            <w:tcW w:type="dxa" w:w="20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Organic compost</w:t>
            </w:r>
          </w:p>
        </w:tc>
        <w:tc>
          <w:tcPr>
            <w:tcW w:type="dxa" w:w="40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Dry and covered</w:t>
            </w:r>
          </w:p>
        </w:tc>
        <w:tc>
          <w:tcPr>
            <w:tcW w:type="dxa" w:w="34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12 months</w:t>
            </w:r>
          </w:p>
        </w:tc>
      </w:tr>
    </w:tbl>
    <w:p>
      <w:pPr>
        <w:spacing w:after="120"/>
      </w:pPr>
    </w:p>
    <w:p>
      <w:pPr>
        <w:pStyle w:val="Heading1"/>
      </w:pPr>
      <w:r>
        <w:t xml:space="preserve">8. General Application Guidance</w:t>
      </w:r>
    </w:p>
    <w:p>
      <w:pPr>
        <w:spacing w:after="120" w:line="276"/>
      </w:pPr>
      <w:r>
        <w:rPr>
          <w:sz w:val="21"/>
          <w:szCs w:val="21"/>
        </w:rPr>
        <w:t xml:space="preserve">The following are typical starting points for maize on average Guinea savanna soils. They are not a substitute for a soil-test-based recommendation.</w:t>
      </w:r>
    </w:p>
    <w:p>
      <w:pPr>
        <w:pStyle w:val="ListParagraph"/>
        <w:numPr>
          <w:ilvl w:val="0"/>
          <w:numId w:val="2"/>
        </w:numPr>
        <w:spacing w:after="60" w:line="264"/>
      </w:pPr>
      <w:r>
        <w:rPr>
          <w:sz w:val="21"/>
          <w:szCs w:val="21"/>
        </w:rPr>
        <w:t xml:space="preserve">Basal fertilizer: about 250 kg per hectare of NPK 15-15-15 applied at or within 1 to 2 weeks of planting.</w:t>
      </w:r>
    </w:p>
    <w:p>
      <w:pPr>
        <w:pStyle w:val="ListParagraph"/>
        <w:numPr>
          <w:ilvl w:val="0"/>
          <w:numId w:val="2"/>
        </w:numPr>
        <w:spacing w:after="60" w:line="264"/>
      </w:pPr>
      <w:r>
        <w:rPr>
          <w:sz w:val="21"/>
          <w:szCs w:val="21"/>
        </w:rPr>
        <w:t xml:space="preserve">Top dressing: about 100 kg per hectare of urea 3 to 5 weeks after planting, when there is moisture in the soil.</w:t>
      </w:r>
    </w:p>
    <w:p>
      <w:pPr>
        <w:pStyle w:val="ListParagraph"/>
        <w:numPr>
          <w:ilvl w:val="0"/>
          <w:numId w:val="2"/>
        </w:numPr>
        <w:spacing w:after="60" w:line="264"/>
      </w:pPr>
      <w:r>
        <w:rPr>
          <w:sz w:val="21"/>
          <w:szCs w:val="21"/>
        </w:rPr>
        <w:t xml:space="preserve">Seed rate for hybrid maize is about 20 to 25 kg per hectare, depending on spacing.</w:t>
      </w:r>
    </w:p>
    <w:p>
      <w:pPr>
        <w:pStyle w:val="ListParagraph"/>
        <w:numPr>
          <w:ilvl w:val="0"/>
          <w:numId w:val="2"/>
        </w:numPr>
        <w:spacing w:after="60" w:line="264"/>
      </w:pPr>
      <w:r>
        <w:rPr>
          <w:sz w:val="21"/>
          <w:szCs w:val="21"/>
        </w:rPr>
        <w:t xml:space="preserve">Do not place fertilizer in direct contact with seed.</w:t>
      </w:r>
    </w:p>
    <w:p>
      <w:pPr>
        <w:pStyle w:val="Heading1"/>
      </w:pPr>
      <w:r>
        <w:t xml:space="preserve">9. Availability and Substitution</w:t>
      </w:r>
    </w:p>
    <w:p>
      <w:pPr>
        <w:spacing w:after="120" w:line="276"/>
      </w:pPr>
      <w:r>
        <w:rPr>
          <w:sz w:val="21"/>
          <w:szCs w:val="21"/>
        </w:rPr>
        <w:t xml:space="preserve">Demand peaks between March and July. Stock levels are updated daily on the website and at each depot. If a product on an order is out of stock, AgroNexa will contact the customer before dispatch and offer a like-for-like substitute, a part shipment or a full refund. AgroNexa does not substitute products without the customer's agreement.</w:t>
      </w:r>
    </w:p>
    <w:sectPr>
      <w:headerReference w:type="default" r:id="rId7"/>
      <w:footerReference w:type="default" r:id="rId8"/>
      <w:pgSz w:w="11906" w:h="16838" w:orient="portrait"/>
      <w:pgMar w:top="1300" w:right="1247" w:bottom="120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Controlled document. Printed copies may be out of date.   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AgroNexa Agri-Inputs Limited  |  AN-PRD-002  |  v3.2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Calibri" w:cs="Calibri" w:eastAsia="Calibri" w:hAnsi="Calibri"/>
      <w:b/>
      <w:bCs/>
      <w:color w:val="1F5E3B"/>
      <w:sz w:val="28"/>
      <w:szCs w:val="28"/>
    </w:rPr>
  </w:style>
  <w:style w:type="paragraph" w:styleId="Heading2">
    <w:name w:val="Heading 2"/>
    <w:basedOn w:val="Normal"/>
    <w:next w:val="Normal"/>
    <w:qFormat/>
    <w:pPr>
      <w:keepNext/>
      <w:spacing w:after="80" w:before="220"/>
      <w:outlineLvl w:val="1"/>
    </w:pPr>
    <w:rPr>
      <w:rFonts w:ascii="Calibri" w:cs="Calibri" w:eastAsia="Calibri" w:hAnsi="Calibri"/>
      <w:b/>
      <w:bCs/>
      <w:color w:val="2E2E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Catalogue</dc:title>
  <dc:creator>AgroNexa Agri-Inputs Limited</dc:creator>
  <cp:lastModifiedBy>Un-named</cp:lastModifiedBy>
  <cp:revision>1</cp:revision>
  <dcterms:created xsi:type="dcterms:W3CDTF">2026-10-02T20:49:08.685Z</dcterms:created>
  <dcterms:modified xsi:type="dcterms:W3CDTF">2026-10-02T20:49:08.685Z</dcterms:modified>
</cp:coreProperties>
</file>

<file path=docProps/custom.xml><?xml version="1.0" encoding="utf-8"?>
<Properties xmlns="http://schemas.openxmlformats.org/officeDocument/2006/custom-properties" xmlns:vt="http://schemas.openxmlformats.org/officeDocument/2006/docPropsVTypes"/>
</file>