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5E3B"/>
          <w:spacing w:val="40"/>
          <w:sz w:val="20"/>
          <w:szCs w:val="20"/>
        </w:rPr>
        <w:t xml:space="preserve">AGRONEXA AGRI-INPUTS LIMITED</w:t>
      </w:r>
    </w:p>
    <w:p>
      <w:pPr>
        <w:pBdr>
          <w:bottom w:val="single" w:color="1F5E3B" w:sz="12" w:space="6"/>
        </w:pBdr>
        <w:spacing w:after="80"/>
      </w:pPr>
      <w:r>
        <w:rPr>
          <w:b/>
          <w:bCs/>
          <w:color w:val="14301F"/>
          <w:sz w:val="44"/>
          <w:szCs w:val="44"/>
        </w:rPr>
        <w:t xml:space="preserve">Delivery Policy</w:t>
      </w:r>
    </w:p>
    <w:p>
      <w:pPr>
        <w:spacing w:after="200" w:before="120"/>
      </w:pPr>
      <w:r>
        <w:rPr>
          <w:i/>
          <w:iCs/>
          <w:color w:val="555555"/>
          <w:sz w:val="22"/>
          <w:szCs w:val="22"/>
        </w:rPr>
        <w:t xml:space="preserve">Delivery zones, timelines, fees, receiving goods and handling delivery problems.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blHeader/>
        </w:trPr>
        <w:tc>
          <w:tcPr>
            <w:tcW w:type="dxa" w:w="22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Document control</w:t>
            </w:r>
          </w:p>
        </w:tc>
        <w:tc>
          <w:tcPr>
            <w:tcW w:type="dxa" w:w="7212"/>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p>
        </w:tc>
      </w:tr>
      <w:tr>
        <w:trPr>
          <w:cantSplit/>
        </w:trPr>
        <w:tc>
          <w:tcPr>
            <w:tcW w:type="dxa" w:w="2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Document ID</w:t>
            </w:r>
          </w:p>
        </w:tc>
        <w:tc>
          <w:tcPr>
            <w:tcW w:type="dxa" w:w="7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AN-DLV-004</w:t>
            </w:r>
          </w:p>
        </w:tc>
      </w:tr>
      <w:tr>
        <w:trPr>
          <w:cantSplit/>
        </w:trPr>
        <w:tc>
          <w:tcPr>
            <w:tcW w:type="dxa" w:w="22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Document title</w:t>
            </w:r>
          </w:p>
        </w:tc>
        <w:tc>
          <w:tcPr>
            <w:tcW w:type="dxa" w:w="72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Delivery Policy</w:t>
            </w:r>
          </w:p>
        </w:tc>
      </w:tr>
      <w:tr>
        <w:trPr>
          <w:cantSplit/>
        </w:trPr>
        <w:tc>
          <w:tcPr>
            <w:tcW w:type="dxa" w:w="2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Version</w:t>
            </w:r>
          </w:p>
        </w:tc>
        <w:tc>
          <w:tcPr>
            <w:tcW w:type="dxa" w:w="7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3.2</w:t>
            </w:r>
          </w:p>
        </w:tc>
      </w:tr>
      <w:tr>
        <w:trPr>
          <w:cantSplit/>
        </w:trPr>
        <w:tc>
          <w:tcPr>
            <w:tcW w:type="dxa" w:w="22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Effective date</w:t>
            </w:r>
          </w:p>
        </w:tc>
        <w:tc>
          <w:tcPr>
            <w:tcW w:type="dxa" w:w="72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1 January 2026</w:t>
            </w:r>
          </w:p>
        </w:tc>
      </w:tr>
      <w:tr>
        <w:trPr>
          <w:cantSplit/>
        </w:trPr>
        <w:tc>
          <w:tcPr>
            <w:tcW w:type="dxa" w:w="2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Last reviewed</w:t>
            </w:r>
          </w:p>
        </w:tc>
        <w:tc>
          <w:tcPr>
            <w:tcW w:type="dxa" w:w="7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15 September 2026</w:t>
            </w:r>
          </w:p>
        </w:tc>
      </w:tr>
      <w:tr>
        <w:trPr>
          <w:cantSplit/>
        </w:trPr>
        <w:tc>
          <w:tcPr>
            <w:tcW w:type="dxa" w:w="22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Document owner</w:t>
            </w:r>
          </w:p>
        </w:tc>
        <w:tc>
          <w:tcPr>
            <w:tcW w:type="dxa" w:w="72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Logistics and Dispatch</w:t>
            </w:r>
          </w:p>
        </w:tc>
      </w:tr>
      <w:tr>
        <w:trPr>
          <w:cantSplit/>
        </w:trPr>
        <w:tc>
          <w:tcPr>
            <w:tcW w:type="dxa" w:w="2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Classification</w:t>
            </w:r>
          </w:p>
        </w:tc>
        <w:tc>
          <w:tcPr>
            <w:tcW w:type="dxa" w:w="7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Official – shared with approved partners</w:t>
            </w:r>
          </w:p>
        </w:tc>
      </w:tr>
    </w:tbl>
    <w:p>
      <w:pPr>
        <w:spacing w:after="120"/>
      </w:pPr>
    </w:p>
    <w:p>
      <w:pPr>
        <w:pStyle w:val="Heading1"/>
      </w:pPr>
      <w:r>
        <w:t xml:space="preserve">1. Purpose and Scope</w:t>
      </w:r>
    </w:p>
    <w:p>
      <w:pPr>
        <w:spacing w:after="120" w:line="276"/>
      </w:pPr>
      <w:r>
        <w:rPr>
          <w:sz w:val="21"/>
          <w:szCs w:val="21"/>
        </w:rPr>
        <w:t xml:space="preserve">This policy sets out how AgroNexa delivers orders, what delivery costs, how long it takes, and what happens if something goes wrong in transit. It applies to all orders delivered by AgroNexa or its transport partners. Orders collected from a depot or dealer are covered in section 8.</w:t>
      </w:r>
    </w:p>
    <w:p>
      <w:pPr>
        <w:pStyle w:val="Heading1"/>
      </w:pPr>
      <w:r>
        <w:t xml:space="preserve">2. Delivery Options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212"/>
      </w:tblGrid>
      <w:tr>
        <w:trPr>
          <w:cantSplit/>
          <w:tblHeader/>
        </w:trPr>
        <w:tc>
          <w:tcPr>
            <w:tcW w:type="dxa" w:w="22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Option</w:t>
            </w:r>
          </w:p>
        </w:tc>
        <w:tc>
          <w:tcPr>
            <w:tcW w:type="dxa" w:w="50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Description</w:t>
            </w:r>
          </w:p>
        </w:tc>
        <w:tc>
          <w:tcPr>
            <w:tcW w:type="dxa" w:w="2212"/>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Cost</w:t>
            </w:r>
          </w:p>
        </w:tc>
      </w:tr>
      <w:tr>
        <w:trPr>
          <w:cantSplit/>
        </w:trPr>
        <w:tc>
          <w:tcPr>
            <w:tcW w:type="dxa" w:w="2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Doorstep delivery</w:t>
            </w:r>
          </w:p>
        </w:tc>
        <w:tc>
          <w:tcPr>
            <w:tcW w:type="dxa" w:w="50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Delivery to the address given on the order, by AgroNexa vehicles or approved transport partners.</w:t>
            </w:r>
          </w:p>
        </w:tc>
        <w:tc>
          <w:tcPr>
            <w:tcW w:type="dxa" w:w="2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See delivery fees (section 4)</w:t>
            </w:r>
          </w:p>
        </w:tc>
      </w:tr>
      <w:tr>
        <w:trPr>
          <w:cantSplit/>
        </w:trPr>
        <w:tc>
          <w:tcPr>
            <w:tcW w:type="dxa" w:w="22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Depot pick-up</w:t>
            </w:r>
          </w:p>
        </w:tc>
        <w:tc>
          <w:tcPr>
            <w:tcW w:type="dxa" w:w="50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Customer collects from the Abuja, Kaduna, Kano or Minna depot.</w:t>
            </w:r>
          </w:p>
        </w:tc>
        <w:tc>
          <w:tcPr>
            <w:tcW w:type="dxa" w:w="22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Free</w:t>
            </w:r>
          </w:p>
        </w:tc>
      </w:tr>
      <w:tr>
        <w:trPr>
          <w:cantSplit/>
        </w:trPr>
        <w:tc>
          <w:tcPr>
            <w:tcW w:type="dxa" w:w="2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Dealer pick-up</w:t>
            </w:r>
          </w:p>
        </w:tc>
        <w:tc>
          <w:tcPr>
            <w:tcW w:type="dxa" w:w="50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Customer collects from a participating AgroNexa agro-dealer. Available for selected products only.</w:t>
            </w:r>
          </w:p>
        </w:tc>
        <w:tc>
          <w:tcPr>
            <w:tcW w:type="dxa" w:w="2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Free, but dealer pricing and stock apply</w:t>
            </w:r>
          </w:p>
        </w:tc>
      </w:tr>
      <w:tr>
        <w:trPr>
          <w:cantSplit/>
        </w:trPr>
        <w:tc>
          <w:tcPr>
            <w:tcW w:type="dxa" w:w="22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Scheduled bulk delivery</w:t>
            </w:r>
          </w:p>
        </w:tc>
        <w:tc>
          <w:tcPr>
            <w:tcW w:type="dxa" w:w="50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Truckload or multi-drop delivery agreed in writing for cooperatives, farms and institutions.</w:t>
            </w:r>
          </w:p>
        </w:tc>
        <w:tc>
          <w:tcPr>
            <w:tcW w:type="dxa" w:w="22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By quotation</w:t>
            </w:r>
          </w:p>
        </w:tc>
      </w:tr>
    </w:tbl>
    <w:p>
      <w:pPr>
        <w:spacing w:after="120"/>
      </w:pPr>
    </w:p>
    <w:p>
      <w:pPr>
        <w:pStyle w:val="Heading1"/>
      </w:pPr>
      <w:r>
        <w:t xml:space="preserve">3. Delivery Zones and Timelines</w:t>
      </w:r>
    </w:p>
    <w:p>
      <w:pPr>
        <w:spacing w:after="120" w:line="276"/>
      </w:pPr>
      <w:r>
        <w:rPr>
          <w:sz w:val="21"/>
          <w:szCs w:val="21"/>
        </w:rPr>
        <w:t xml:space="preserve">Delivery times are counted in business days (Monday to Saturday, excluding public holidays) from the day the order is paid and confirmed. They are estimates, not guarantees.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212"/>
      </w:tblGrid>
      <w:tr>
        <w:trPr>
          <w:cantSplit/>
          <w:tblHeader/>
        </w:trPr>
        <w:tc>
          <w:tcPr>
            <w:tcW w:type="dxa" w:w="12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Zone</w:t>
            </w:r>
          </w:p>
        </w:tc>
        <w:tc>
          <w:tcPr>
            <w:tcW w:type="dxa" w:w="50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Coverage</w:t>
            </w:r>
          </w:p>
        </w:tc>
        <w:tc>
          <w:tcPr>
            <w:tcW w:type="dxa" w:w="3212"/>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Estimated delivery time</w:t>
            </w:r>
          </w:p>
        </w:tc>
      </w:tr>
      <w:tr>
        <w:trPr>
          <w:cantSplit/>
        </w:trPr>
        <w:tc>
          <w:tcPr>
            <w:tcW w:type="dxa" w:w="1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Zone 1</w:t>
            </w:r>
          </w:p>
        </w:tc>
        <w:tc>
          <w:tcPr>
            <w:tcW w:type="dxa" w:w="50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Abuja (FCT) and Kaduna State (Kaduna metropolis, Zaria, Kafanchan)</w:t>
            </w:r>
          </w:p>
        </w:tc>
        <w:tc>
          <w:tcPr>
            <w:tcW w:type="dxa" w:w="3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1–3 business days</w:t>
            </w:r>
          </w:p>
        </w:tc>
      </w:tr>
      <w:tr>
        <w:trPr>
          <w:cantSplit/>
        </w:trPr>
        <w:tc>
          <w:tcPr>
            <w:tcW w:type="dxa" w:w="12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Zone 2</w:t>
            </w:r>
          </w:p>
        </w:tc>
        <w:tc>
          <w:tcPr>
            <w:tcW w:type="dxa" w:w="50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Kano, Katsina, Niger, Nasarawa, Plateau, Kogi</w:t>
            </w:r>
          </w:p>
        </w:tc>
        <w:tc>
          <w:tcPr>
            <w:tcW w:type="dxa" w:w="32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3–5 business days</w:t>
            </w:r>
          </w:p>
        </w:tc>
      </w:tr>
      <w:tr>
        <w:trPr>
          <w:cantSplit/>
        </w:trPr>
        <w:tc>
          <w:tcPr>
            <w:tcW w:type="dxa" w:w="12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Zone 3</w:t>
            </w:r>
          </w:p>
        </w:tc>
        <w:tc>
          <w:tcPr>
            <w:tcW w:type="dxa" w:w="50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Benue, Kwara, Kebbi, Sokoto, Zamfara, Jigawa, Bauchi, Gombe</w:t>
            </w:r>
          </w:p>
        </w:tc>
        <w:tc>
          <w:tcPr>
            <w:tcW w:type="dxa" w:w="32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4–7 business days</w:t>
            </w:r>
          </w:p>
        </w:tc>
      </w:tr>
      <w:tr>
        <w:trPr>
          <w:cantSplit/>
        </w:trPr>
        <w:tc>
          <w:tcPr>
            <w:tcW w:type="dxa" w:w="12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Zone 4</w:t>
            </w:r>
          </w:p>
        </w:tc>
        <w:tc>
          <w:tcPr>
            <w:tcW w:type="dxa" w:w="50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All other states, including the North-East (Adamawa, Taraba, Borno, Yobe) and southern states</w:t>
            </w:r>
          </w:p>
        </w:tc>
        <w:tc>
          <w:tcPr>
            <w:tcW w:type="dxa" w:w="32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7–12 business days. North-East deliveries depend on road security and are confirmed when the order is placed.</w:t>
            </w: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BFC8C2" w:sz="4"/>
              <w:left w:val="single" w:color="1F5E3B" w:sz="24"/>
              <w:bottom w:val="single" w:color="BFC8C2" w:sz="4"/>
              <w:right w:val="single" w:color="BFC8C2" w:sz="4"/>
            </w:tcBorders>
            <w:shd w:fill="E8F1EB" w:color="auto" w:val="clear"/>
            <w:tcMar>
              <w:top w:type="dxa" w:w="90"/>
              <w:left w:type="dxa" w:w="160"/>
              <w:bottom w:type="dxa" w:w="90"/>
              <w:right w:type="dxa" w:w="140"/>
            </w:tcMar>
          </w:tcPr>
          <w:p>
            <w:r>
              <w:rPr>
                <w:b/>
                <w:bCs/>
                <w:color w:val="1F5E3B"/>
                <w:sz w:val="20"/>
                <w:szCs w:val="20"/>
              </w:rPr>
              <w:t xml:space="preserve">Cut-off time: </w:t>
            </w:r>
            <w:r>
              <w:rPr>
                <w:sz w:val="20"/>
                <w:szCs w:val="20"/>
              </w:rPr>
              <w:t xml:space="preserve">Orders paid and confirmed before 14:00 on a business day are normally picked on the same day and dispatched the next business day. Orders confirmed after 14:00 are processed on the following business day.</w:t>
            </w:r>
          </w:p>
        </w:tc>
      </w:tr>
    </w:tbl>
    <w:p>
      <w:pPr>
        <w:spacing w:after="120"/>
      </w:pPr>
    </w:p>
    <w:p>
      <w:pPr>
        <w:pStyle w:val="Heading1"/>
      </w:pPr>
      <w:r>
        <w:t xml:space="preserve">4. Delivery Fees</w:t>
      </w:r>
    </w:p>
    <w:p>
      <w:pPr>
        <w:spacing w:after="120" w:line="276"/>
      </w:pPr>
      <w:r>
        <w:rPr>
          <w:sz w:val="21"/>
          <w:szCs w:val="21"/>
        </w:rPr>
        <w:t xml:space="preserve">Delivery fees depend on the zone and the total weight of the order. Fees are shown at checkout, or on the quotation, before the customer pays.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712"/>
      </w:tblGrid>
      <w:tr>
        <w:trPr>
          <w:cantSplit/>
          <w:tblHeader/>
        </w:trPr>
        <w:tc>
          <w:tcPr>
            <w:tcW w:type="dxa" w:w="20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Zone</w:t>
            </w:r>
          </w:p>
        </w:tc>
        <w:tc>
          <w:tcPr>
            <w:tcW w:type="dxa" w:w="3700"/>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Base fee (up to 500 kg)</w:t>
            </w:r>
          </w:p>
        </w:tc>
        <w:tc>
          <w:tcPr>
            <w:tcW w:type="dxa" w:w="3712"/>
            <w:tcBorders>
              <w:top w:val="single" w:color="BFC8C2" w:sz="4"/>
              <w:left w:val="single" w:color="BFC8C2" w:sz="4"/>
              <w:bottom w:val="single" w:color="BFC8C2" w:sz="4"/>
              <w:right w:val="single" w:color="BFC8C2" w:sz="4"/>
            </w:tcBorders>
            <w:shd w:fill="1F5E3B" w:color="auto" w:val="clear"/>
            <w:tcMar>
              <w:top w:type="dxa" w:w="70"/>
              <w:left w:type="dxa" w:w="110"/>
              <w:bottom w:type="dxa" w:w="50"/>
              <w:right w:type="dxa" w:w="110"/>
            </w:tcMar>
          </w:tcPr>
          <w:p>
            <w:pPr>
              <w:spacing w:after="40"/>
            </w:pPr>
            <w:r>
              <w:rPr>
                <w:b/>
                <w:bCs/>
                <w:color w:val="FFFFFF"/>
                <w:sz w:val="19"/>
                <w:szCs w:val="19"/>
              </w:rPr>
              <w:t xml:space="preserve">Each additional 100 kg</w:t>
            </w:r>
          </w:p>
        </w:tc>
      </w:tr>
      <w:tr>
        <w:trPr>
          <w:cantSplit/>
        </w:trPr>
        <w:tc>
          <w:tcPr>
            <w:tcW w:type="dxa" w:w="20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Zone 1</w:t>
            </w:r>
          </w:p>
        </w:tc>
        <w:tc>
          <w:tcPr>
            <w:tcW w:type="dxa" w:w="37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NGN 8,000</w:t>
            </w:r>
          </w:p>
        </w:tc>
        <w:tc>
          <w:tcPr>
            <w:tcW w:type="dxa" w:w="37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NGN 1,200</w:t>
            </w:r>
          </w:p>
        </w:tc>
      </w:tr>
      <w:tr>
        <w:trPr>
          <w:cantSplit/>
        </w:trPr>
        <w:tc>
          <w:tcPr>
            <w:tcW w:type="dxa" w:w="20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Zone 2</w:t>
            </w:r>
          </w:p>
        </w:tc>
        <w:tc>
          <w:tcPr>
            <w:tcW w:type="dxa" w:w="37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NGN 15,000</w:t>
            </w:r>
          </w:p>
        </w:tc>
        <w:tc>
          <w:tcPr>
            <w:tcW w:type="dxa" w:w="37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NGN 2,000</w:t>
            </w:r>
          </w:p>
        </w:tc>
      </w:tr>
      <w:tr>
        <w:trPr>
          <w:cantSplit/>
        </w:trPr>
        <w:tc>
          <w:tcPr>
            <w:tcW w:type="dxa" w:w="20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Zone 3</w:t>
            </w:r>
          </w:p>
        </w:tc>
        <w:tc>
          <w:tcPr>
            <w:tcW w:type="dxa" w:w="3700"/>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NGN 25,000</w:t>
            </w:r>
          </w:p>
        </w:tc>
        <w:tc>
          <w:tcPr>
            <w:tcW w:type="dxa" w:w="3712"/>
            <w:tcBorders>
              <w:top w:val="single" w:color="BFC8C2" w:sz="4"/>
              <w:left w:val="single" w:color="BFC8C2" w:sz="4"/>
              <w:bottom w:val="single" w:color="BFC8C2" w:sz="4"/>
              <w:right w:val="single" w:color="BFC8C2" w:sz="4"/>
            </w:tcBorders>
            <w:tcMar>
              <w:top w:type="dxa" w:w="70"/>
              <w:left w:type="dxa" w:w="110"/>
              <w:bottom w:type="dxa" w:w="50"/>
              <w:right w:type="dxa" w:w="110"/>
            </w:tcMar>
          </w:tcPr>
          <w:p>
            <w:pPr>
              <w:spacing w:after="40"/>
            </w:pPr>
            <w:r>
              <w:rPr>
                <w:sz w:val="19"/>
                <w:szCs w:val="19"/>
              </w:rPr>
              <w:t xml:space="preserve">NGN 3,000</w:t>
            </w:r>
          </w:p>
        </w:tc>
      </w:tr>
      <w:tr>
        <w:trPr>
          <w:cantSplit/>
        </w:trPr>
        <w:tc>
          <w:tcPr>
            <w:tcW w:type="dxa" w:w="20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Zone 4</w:t>
            </w:r>
          </w:p>
        </w:tc>
        <w:tc>
          <w:tcPr>
            <w:tcW w:type="dxa" w:w="3700"/>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NGN 35,000</w:t>
            </w:r>
          </w:p>
        </w:tc>
        <w:tc>
          <w:tcPr>
            <w:tcW w:type="dxa" w:w="3712"/>
            <w:tcBorders>
              <w:top w:val="single" w:color="BFC8C2" w:sz="4"/>
              <w:left w:val="single" w:color="BFC8C2" w:sz="4"/>
              <w:bottom w:val="single" w:color="BFC8C2" w:sz="4"/>
              <w:right w:val="single" w:color="BFC8C2" w:sz="4"/>
            </w:tcBorders>
            <w:shd w:fill="F3F4F2" w:color="auto" w:val="clear"/>
            <w:tcMar>
              <w:top w:type="dxa" w:w="70"/>
              <w:left w:type="dxa" w:w="110"/>
              <w:bottom w:type="dxa" w:w="50"/>
              <w:right w:type="dxa" w:w="110"/>
            </w:tcMar>
          </w:tcPr>
          <w:p>
            <w:pPr>
              <w:spacing w:after="40"/>
            </w:pPr>
            <w:r>
              <w:rPr>
                <w:sz w:val="19"/>
                <w:szCs w:val="19"/>
              </w:rPr>
              <w:t xml:space="preserve">NGN 4,000</w:t>
            </w:r>
          </w:p>
        </w:tc>
      </w:tr>
    </w:tbl>
    <w:p>
      <w:pPr>
        <w:spacing w:after="120"/>
      </w:pPr>
    </w:p>
    <w:p>
      <w:pPr>
        <w:pStyle w:val="Heading2"/>
      </w:pPr>
      <w:r>
        <w:t xml:space="preserve">Free delivery</w:t>
      </w:r>
    </w:p>
    <w:p>
      <w:pPr>
        <w:pStyle w:val="ListParagraph"/>
        <w:numPr>
          <w:ilvl w:val="0"/>
          <w:numId w:val="2"/>
        </w:numPr>
        <w:spacing w:after="60" w:line="264"/>
      </w:pPr>
      <w:r>
        <w:rPr>
          <w:sz w:val="21"/>
          <w:szCs w:val="21"/>
        </w:rPr>
        <w:t xml:space="preserve">Zone 1: orders of NGN 750,000 and above (after discounts, before delivery).</w:t>
      </w:r>
    </w:p>
    <w:p>
      <w:pPr>
        <w:pStyle w:val="ListParagraph"/>
        <w:numPr>
          <w:ilvl w:val="0"/>
          <w:numId w:val="2"/>
        </w:numPr>
        <w:spacing w:after="60" w:line="264"/>
      </w:pPr>
      <w:r>
        <w:rPr>
          <w:sz w:val="21"/>
          <w:szCs w:val="21"/>
        </w:rPr>
        <w:t xml:space="preserve">Zone 2: orders of NGN 1,500,000 and above.</w:t>
      </w:r>
    </w:p>
    <w:p>
      <w:pPr>
        <w:pStyle w:val="ListParagraph"/>
        <w:numPr>
          <w:ilvl w:val="0"/>
          <w:numId w:val="2"/>
        </w:numPr>
        <w:spacing w:after="60" w:line="264"/>
      </w:pPr>
      <w:r>
        <w:rPr>
          <w:sz w:val="21"/>
          <w:szCs w:val="21"/>
        </w:rPr>
        <w:t xml:space="preserve">Zones 3 and 4: no standard free-delivery threshold. Orders above NGN 3,000,000 qualify for a discounted delivery quotation.</w:t>
      </w:r>
    </w:p>
    <w:p>
      <w:pPr>
        <w:spacing w:after="120" w:line="276"/>
      </w:pPr>
      <w:r>
        <w:rPr>
          <w:sz w:val="21"/>
          <w:szCs w:val="21"/>
        </w:rPr>
        <w:t xml:space="preserve">Full truckloads (10 tonnes and above) are quoted individually. Customers with large orders should contact sales@agronexa.example.</w:t>
      </w:r>
    </w:p>
    <w:p>
      <w:pPr>
        <w:spacing w:after="120" w:line="276"/>
      </w:pPr>
      <w:r>
        <w:rPr>
          <w:sz w:val="21"/>
          <w:szCs w:val="21"/>
        </w:rPr>
        <w:t xml:space="preserve">For reference: a 50 kg fertilizer bag weighs 50 kg, so a Zone 1 order of 12 bags (600 kg) costs NGN 8,000 plus NGN 1,200 for the extra 100 kg, which is NGN 9,200, unless free delivery applies.</w:t>
      </w:r>
    </w:p>
    <w:p>
      <w:pPr>
        <w:pStyle w:val="Heading1"/>
      </w:pPr>
      <w:r>
        <w:t xml:space="preserve">5. Order Tracking and Delivery Notifications</w:t>
      </w:r>
    </w:p>
    <w:p>
      <w:pPr>
        <w:pStyle w:val="ListParagraph"/>
        <w:numPr>
          <w:ilvl w:val="0"/>
          <w:numId w:val="2"/>
        </w:numPr>
        <w:spacing w:after="60" w:line="264"/>
      </w:pPr>
      <w:r>
        <w:rPr>
          <w:sz w:val="21"/>
          <w:szCs w:val="21"/>
        </w:rPr>
        <w:t xml:space="preserve">Customers receive an SMS or WhatsApp message when the order is dispatched, containing the vehicle details, driver name and an estimated delivery date.</w:t>
      </w:r>
    </w:p>
    <w:p>
      <w:pPr>
        <w:pStyle w:val="ListParagraph"/>
        <w:numPr>
          <w:ilvl w:val="0"/>
          <w:numId w:val="2"/>
        </w:numPr>
        <w:spacing w:after="60" w:line="264"/>
      </w:pPr>
      <w:r>
        <w:rPr>
          <w:sz w:val="21"/>
          <w:szCs w:val="21"/>
        </w:rPr>
        <w:t xml:space="preserve">The driver or dispatcher will call the delivery contact before arrival.</w:t>
      </w:r>
    </w:p>
    <w:p>
      <w:pPr>
        <w:pStyle w:val="ListParagraph"/>
        <w:numPr>
          <w:ilvl w:val="0"/>
          <w:numId w:val="2"/>
        </w:numPr>
        <w:spacing w:after="60" w:line="264"/>
      </w:pPr>
      <w:r>
        <w:rPr>
          <w:sz w:val="21"/>
          <w:szCs w:val="21"/>
        </w:rPr>
        <w:t xml:space="preserve">Order status can be checked on the website with the order number, or by contacting Customer Support.</w:t>
      </w:r>
    </w:p>
    <w:p>
      <w:pPr>
        <w:pStyle w:val="Heading1"/>
      </w:pPr>
      <w:r>
        <w:t xml:space="preserve">6. At Delivery</w:t>
      </w:r>
    </w:p>
    <w:p>
      <w:pPr>
        <w:pStyle w:val="Heading2"/>
      </w:pPr>
      <w:r>
        <w:t xml:space="preserve">Customer responsibilities</w:t>
      </w:r>
    </w:p>
    <w:p>
      <w:pPr>
        <w:pStyle w:val="ListParagraph"/>
        <w:numPr>
          <w:ilvl w:val="0"/>
          <w:numId w:val="2"/>
        </w:numPr>
        <w:spacing w:after="60" w:line="264"/>
      </w:pPr>
      <w:r>
        <w:rPr>
          <w:sz w:val="21"/>
          <w:szCs w:val="21"/>
        </w:rPr>
        <w:t xml:space="preserve">Provide a complete address, nearest landmark and a working phone number. Delivery to a farm site should include directions or a pinned location.</w:t>
      </w:r>
    </w:p>
    <w:p>
      <w:pPr>
        <w:pStyle w:val="ListParagraph"/>
        <w:numPr>
          <w:ilvl w:val="0"/>
          <w:numId w:val="2"/>
        </w:numPr>
        <w:spacing w:after="60" w:line="264"/>
      </w:pPr>
      <w:r>
        <w:rPr>
          <w:sz w:val="21"/>
          <w:szCs w:val="21"/>
        </w:rPr>
        <w:t xml:space="preserve">Make sure someone aged 18 or above is present to receive and sign for the goods.</w:t>
      </w:r>
    </w:p>
    <w:p>
      <w:pPr>
        <w:pStyle w:val="ListParagraph"/>
        <w:numPr>
          <w:ilvl w:val="0"/>
          <w:numId w:val="2"/>
        </w:numPr>
        <w:spacing w:after="60" w:line="264"/>
      </w:pPr>
      <w:r>
        <w:rPr>
          <w:sz w:val="21"/>
          <w:szCs w:val="21"/>
        </w:rPr>
        <w:t xml:space="preserve">Provide unloading help where needed. Drivers deliver to the nearest vehicle-accessible point; unloading beyond the vehicle is the customer's responsibility unless agreed in advance.</w:t>
      </w:r>
    </w:p>
    <w:p>
      <w:pPr>
        <w:pStyle w:val="ListParagraph"/>
        <w:numPr>
          <w:ilvl w:val="0"/>
          <w:numId w:val="2"/>
        </w:numPr>
        <w:spacing w:after="60" w:line="264"/>
      </w:pPr>
      <w:r>
        <w:rPr>
          <w:sz w:val="21"/>
          <w:szCs w:val="21"/>
        </w:rPr>
        <w:t xml:space="preserve">Make sure the access road can take a loaded truck. AgroNexa may deliver to the nearest safe point if the road is not passable.</w:t>
      </w:r>
    </w:p>
    <w:p>
      <w:pPr>
        <w:pStyle w:val="Heading2"/>
      </w:pPr>
      <w:r>
        <w:t xml:space="preserve">Inspection and acceptance</w:t>
      </w:r>
    </w:p>
    <w:p>
      <w:pPr>
        <w:spacing w:after="120" w:line="276"/>
      </w:pPr>
      <w:r>
        <w:rPr>
          <w:sz w:val="21"/>
          <w:szCs w:val="21"/>
        </w:rPr>
        <w:t xml:space="preserve">The customer should check the number of items, the product names and the condition of the packaging before signing the delivery note. Any visible damage, shortage or wrong item should be written on the delivery note and photographed. A claim can still be made later within 48 hours of delivery, but a note on the delivery note makes the claim much easier to settle.</w:t>
      </w:r>
    </w:p>
    <w:p>
      <w:pPr>
        <w:pStyle w:val="Heading1"/>
      </w:pPr>
      <w:r>
        <w:t xml:space="preserve">7. Special Rules</w:t>
      </w:r>
    </w:p>
    <w:p>
      <w:pPr>
        <w:pStyle w:val="Heading2"/>
      </w:pPr>
      <w:r>
        <w:t xml:space="preserve">Agrochemicals</w:t>
      </w:r>
    </w:p>
    <w:p>
      <w:pPr>
        <w:pStyle w:val="ListParagraph"/>
        <w:numPr>
          <w:ilvl w:val="0"/>
          <w:numId w:val="2"/>
        </w:numPr>
        <w:spacing w:after="60" w:line="264"/>
      </w:pPr>
      <w:r>
        <w:rPr>
          <w:sz w:val="21"/>
          <w:szCs w:val="21"/>
        </w:rPr>
        <w:t xml:space="preserve">Crop protection products are delivered separately from fertilizer and seed, in vehicles or compartments that keep them apart from food and feed.</w:t>
      </w:r>
    </w:p>
    <w:p>
      <w:pPr>
        <w:pStyle w:val="ListParagraph"/>
        <w:numPr>
          <w:ilvl w:val="0"/>
          <w:numId w:val="2"/>
        </w:numPr>
        <w:spacing w:after="60" w:line="264"/>
      </w:pPr>
      <w:r>
        <w:rPr>
          <w:sz w:val="21"/>
          <w:szCs w:val="21"/>
        </w:rPr>
        <w:t xml:space="preserve">They are handed over only to an adult who can show identification and sign for the products.</w:t>
      </w:r>
    </w:p>
    <w:p>
      <w:pPr>
        <w:pStyle w:val="ListParagraph"/>
        <w:numPr>
          <w:ilvl w:val="0"/>
          <w:numId w:val="2"/>
        </w:numPr>
        <w:spacing w:after="60" w:line="264"/>
      </w:pPr>
      <w:r>
        <w:rPr>
          <w:sz w:val="21"/>
          <w:szCs w:val="21"/>
        </w:rPr>
        <w:t xml:space="preserve">Payment on delivery is not available for crop protection products.</w:t>
      </w:r>
    </w:p>
    <w:p>
      <w:pPr>
        <w:pStyle w:val="Heading2"/>
      </w:pPr>
      <w:r>
        <w:t xml:space="preserve">Failed delivery</w:t>
      </w:r>
    </w:p>
    <w:p>
      <w:pPr>
        <w:spacing w:after="120" w:line="276"/>
      </w:pPr>
      <w:r>
        <w:rPr>
          <w:sz w:val="21"/>
          <w:szCs w:val="21"/>
        </w:rPr>
        <w:t xml:space="preserve">If the driver cannot deliver because the address is wrong, the contact cannot be reached or nobody is available to receive the goods, AgroNexa will make one further attempt within 3 business days. If the second attempt also fails, the goods are returned to the nearest depot. The customer can then ask for redelivery, which is charged at the standard delivery fee, or collect the goods from the depot. If the goods are not collected or redelivery is not arranged within 14 days, the order is treated as cancelled under the Returns, Refund and Cancellation Policy (AN-RRP-005) and the delivery fees already incurred are deducted from any refund.</w:t>
      </w:r>
    </w:p>
    <w:p>
      <w:pPr>
        <w:pStyle w:val="Heading2"/>
      </w:pPr>
      <w:r>
        <w:t xml:space="preserve">Changing the delivery address</w:t>
      </w:r>
    </w:p>
    <w:p>
      <w:pPr>
        <w:spacing w:after="120" w:line="276"/>
      </w:pPr>
      <w:r>
        <w:rPr>
          <w:sz w:val="21"/>
          <w:szCs w:val="21"/>
        </w:rPr>
        <w:t xml:space="preserve">The address can be changed free of charge until the order is dispatched. After dispatch, a change is subject to the driver's agreement and may attract an additional fee if the route changes.</w:t>
      </w:r>
    </w:p>
    <w:p>
      <w:pPr>
        <w:pStyle w:val="Heading1"/>
      </w:pPr>
      <w:r>
        <w:t xml:space="preserve">8. Depot and Dealer Pick-up</w:t>
      </w:r>
    </w:p>
    <w:p>
      <w:pPr>
        <w:pStyle w:val="ListParagraph"/>
        <w:numPr>
          <w:ilvl w:val="0"/>
          <w:numId w:val="2"/>
        </w:numPr>
        <w:spacing w:after="60" w:line="264"/>
      </w:pPr>
      <w:r>
        <w:rPr>
          <w:sz w:val="21"/>
          <w:szCs w:val="21"/>
        </w:rPr>
        <w:t xml:space="preserve">Orders are ready for collection within 24 hours of confirmation (during depot opening hours) unless the customer is told otherwise.</w:t>
      </w:r>
    </w:p>
    <w:p>
      <w:pPr>
        <w:pStyle w:val="ListParagraph"/>
        <w:numPr>
          <w:ilvl w:val="0"/>
          <w:numId w:val="2"/>
        </w:numPr>
        <w:spacing w:after="60" w:line="264"/>
      </w:pPr>
      <w:r>
        <w:rPr>
          <w:sz w:val="21"/>
          <w:szCs w:val="21"/>
        </w:rPr>
        <w:t xml:space="preserve">The person collecting must bring the order number, a valid photo ID and, if collecting for someone else, a written authorisation from the customer.</w:t>
      </w:r>
    </w:p>
    <w:p>
      <w:pPr>
        <w:pStyle w:val="ListParagraph"/>
        <w:numPr>
          <w:ilvl w:val="0"/>
          <w:numId w:val="2"/>
        </w:numPr>
        <w:spacing w:after="60" w:line="264"/>
      </w:pPr>
      <w:r>
        <w:rPr>
          <w:sz w:val="21"/>
          <w:szCs w:val="21"/>
        </w:rPr>
        <w:t xml:space="preserve">Orders not collected within 14 days are treated as cancelled under AN-RRP-005.</w:t>
      </w:r>
    </w:p>
    <w:p>
      <w:pPr>
        <w:pStyle w:val="ListParagraph"/>
        <w:numPr>
          <w:ilvl w:val="0"/>
          <w:numId w:val="2"/>
        </w:numPr>
        <w:spacing w:after="60" w:line="264"/>
      </w:pPr>
      <w:r>
        <w:rPr>
          <w:sz w:val="21"/>
          <w:szCs w:val="21"/>
        </w:rPr>
        <w:t xml:space="preserve">Loading assistance is provided at depots. Customers bringing their own vehicles are responsible for securing the load.</w:t>
      </w:r>
    </w:p>
    <w:p>
      <w:pPr>
        <w:pStyle w:val="Heading1"/>
      </w:pPr>
      <w:r>
        <w:t xml:space="preserve">9. Delays</w:t>
      </w:r>
    </w:p>
    <w:p>
      <w:pPr>
        <w:spacing w:after="120" w:line="276"/>
      </w:pPr>
      <w:r>
        <w:rPr>
          <w:sz w:val="21"/>
          <w:szCs w:val="21"/>
        </w:rPr>
        <w:t xml:space="preserve">Delivery times may be extended by events outside AgroNexa's control, including heavy rain and flooding, bad roads, fuel shortages, strikes, road closures, security incidents and public holidays. During the peak season (March to July) volumes are higher and deliveries to Zones 3 and 4 may take longer than the standard time. AgroNexa will keep the customer informed of significant delays and will not charge extra fees because of them.</w:t>
      </w:r>
    </w:p>
    <w:p>
      <w:pPr>
        <w:spacing w:after="120" w:line="276"/>
      </w:pPr>
      <w:r>
        <w:rPr>
          <w:sz w:val="21"/>
          <w:szCs w:val="21"/>
        </w:rPr>
        <w:t xml:space="preserve">If an order is delayed by more than 5 business days beyond the stated maximum delivery time and the delay is not caused by an event outside AgroNexa's control, the customer may cancel the undelivered part of the order for a full refund.</w:t>
      </w:r>
    </w:p>
    <w:p>
      <w:pPr>
        <w:pStyle w:val="Heading1"/>
      </w:pPr>
      <w:r>
        <w:t xml:space="preserve">10. Damaged, Short or Wrong Deliveries</w:t>
      </w:r>
    </w:p>
    <w:p>
      <w:pPr>
        <w:spacing w:after="120" w:line="276"/>
      </w:pPr>
      <w:r>
        <w:rPr>
          <w:sz w:val="21"/>
          <w:szCs w:val="21"/>
        </w:rPr>
        <w:t xml:space="preserve">Customers should report damaged, short or incorrect deliveries within 48 hours of delivery, with the order number, photographs of the goods and packaging, and the delivery note. Logistics and Dispatch will investigate within 2 business days. Where the fault is AgroNexa's or its transport partner's, the customer is offered a replacement, a part-refund or a full refund. Risk and title in the goods pass to the customer on delivery (see AN-TNC-008).</w:t>
      </w:r>
    </w:p>
    <w:sectPr>
      <w:headerReference w:type="default" r:id="rId7"/>
      <w:footerReference w:type="default" r:id="rId8"/>
      <w:pgSz w:w="11906" w:h="16838" w:orient="portrait"/>
      <w:pgMar w:top="1300" w:right="1247" w:bottom="120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Controlled document. Printed copies may be out of date.   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AgroNexa Agri-Inputs Limited  |  AN-DLV-004  |  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Calibri" w:cs="Calibri" w:eastAsia="Calibri" w:hAnsi="Calibri"/>
      <w:b/>
      <w:bCs/>
      <w:color w:val="1F5E3B"/>
      <w:sz w:val="28"/>
      <w:szCs w:val="28"/>
    </w:rPr>
  </w:style>
  <w:style w:type="paragraph" w:styleId="Heading2">
    <w:name w:val="Heading 2"/>
    <w:basedOn w:val="Normal"/>
    <w:next w:val="Normal"/>
    <w:qFormat/>
    <w:pPr>
      <w:keepNext/>
      <w:spacing w:after="80" w:before="220"/>
      <w:outlineLvl w:val="1"/>
    </w:pPr>
    <w:rPr>
      <w:rFonts w:ascii="Calibri" w:cs="Calibri" w:eastAsia="Calibri" w:hAnsi="Calibri"/>
      <w:b/>
      <w:bCs/>
      <w:color w:val="2E2E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 Policy</dc:title>
  <dc:creator>AgroNexa Agri-Inputs Limited</dc:creator>
  <cp:lastModifiedBy>Un-named</cp:lastModifiedBy>
  <cp:revision>1</cp:revision>
  <dcterms:created xsi:type="dcterms:W3CDTF">2026-10-02T20:49:08.918Z</dcterms:created>
  <dcterms:modified xsi:type="dcterms:W3CDTF">2026-10-02T20:49:08.919Z</dcterms:modified>
</cp:coreProperties>
</file>

<file path=docProps/custom.xml><?xml version="1.0" encoding="utf-8"?>
<Properties xmlns="http://schemas.openxmlformats.org/officeDocument/2006/custom-properties" xmlns:vt="http://schemas.openxmlformats.org/officeDocument/2006/docPropsVTypes"/>
</file>