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5E3B"/>
          <w:spacing w:val="40"/>
          <w:sz w:val="20"/>
          <w:szCs w:val="20"/>
        </w:rPr>
        <w:t xml:space="preserve">AGRONEXA AGRI-INPUTS LIMITED</w:t>
      </w:r>
    </w:p>
    <w:p>
      <w:pPr>
        <w:pBdr>
          <w:bottom w:val="single" w:color="1F5E3B" w:sz="12" w:space="6"/>
        </w:pBdr>
        <w:spacing w:after="80"/>
      </w:pPr>
      <w:r>
        <w:rPr>
          <w:b/>
          <w:bCs/>
          <w:color w:val="14301F"/>
          <w:sz w:val="44"/>
          <w:szCs w:val="44"/>
        </w:rPr>
        <w:t xml:space="preserve">Customer Support Procedures</w:t>
      </w:r>
    </w:p>
    <w:p>
      <w:pPr>
        <w:spacing w:after="200" w:before="120"/>
      </w:pPr>
      <w:r>
        <w:rPr>
          <w:i/>
          <w:iCs/>
          <w:color w:val="555555"/>
          <w:sz w:val="22"/>
          <w:szCs w:val="22"/>
        </w:rPr>
        <w:t xml:space="preserve">Channels, service levels, escalation, complaints and safety reporting.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Document control</w:t>
            </w:r>
          </w:p>
        </w:tc>
        <w:tc>
          <w:tcPr>
            <w:tcW w:type="dxa" w:w="72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Document ID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AN-CSP-006</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title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Customer Support Procedures</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Version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3.2</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Effective date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 January 2026</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Last reviewed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15 September 2026</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owner</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Customer Support</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Classification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Official – shared with approved partners</w:t>
            </w:r>
          </w:p>
        </w:tc>
      </w:tr>
    </w:tbl>
    <w:p>
      <w:pPr>
        <w:spacing w:after="120"/>
      </w:pPr>
    </w:p>
    <w:p>
      <w:pPr>
        <w:pStyle w:val="Heading1"/>
      </w:pPr>
      <w:r>
        <w:t xml:space="preserve">1. Purpose and Scope</w:t>
      </w:r>
    </w:p>
    <w:p>
      <w:pPr>
        <w:spacing w:after="120" w:line="276"/>
      </w:pPr>
      <w:r>
        <w:rPr>
          <w:sz w:val="21"/>
          <w:szCs w:val="21"/>
        </w:rPr>
        <w:t xml:space="preserve">This document describes how AgroNexa Customer Support is organised, how enquiries and complaints are handled, the service levels customers can expect, and how issues move to other departments.</w:t>
      </w:r>
    </w:p>
    <w:p>
      <w:pPr>
        <w:pStyle w:val="Heading1"/>
      </w:pPr>
      <w:r>
        <w:t xml:space="preserve">2. Support Channels and Hours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700"/>
        <w:gridCol w:w="2612"/>
      </w:tblGrid>
      <w:tr>
        <w:trPr>
          <w:cantSplit/>
          <w:tblHeader/>
        </w:trPr>
        <w:tc>
          <w:tcPr>
            <w:tcW w:type="dxa" w:w="18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Channel</w:t>
            </w:r>
          </w:p>
        </w:tc>
        <w:tc>
          <w:tcPr>
            <w:tcW w:type="dxa" w:w="23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Contact</w:t>
            </w:r>
          </w:p>
        </w:tc>
        <w:tc>
          <w:tcPr>
            <w:tcW w:type="dxa" w:w="27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Hours (West Africa Time)</w:t>
            </w:r>
          </w:p>
        </w:tc>
        <w:tc>
          <w:tcPr>
            <w:tcW w:type="dxa" w:w="26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Best for</w:t>
            </w:r>
          </w:p>
        </w:tc>
      </w:tr>
      <w:tr>
        <w:trPr>
          <w:cantSplit/>
        </w:trPr>
        <w:tc>
          <w:tcPr>
            <w:tcW w:type="dxa" w:w="18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Phone</w:t>
            </w:r>
          </w:p>
        </w:tc>
        <w:tc>
          <w:tcPr>
            <w:tcW w:type="dxa" w:w="23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0700 000 0000</w:t>
            </w:r>
          </w:p>
        </w:tc>
        <w:tc>
          <w:tcPr>
            <w:tcW w:type="dxa" w:w="2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Mon–Fri 08:00–18:00; Sat 09:00–14:00</w:t>
            </w:r>
          </w:p>
        </w:tc>
        <w:tc>
          <w:tcPr>
            <w:tcW w:type="dxa" w:w="26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Urgent matters, delivery coordination</w:t>
            </w:r>
          </w:p>
        </w:tc>
      </w:tr>
      <w:tr>
        <w:trPr>
          <w:cantSplit/>
        </w:trPr>
        <w:tc>
          <w:tcPr>
            <w:tcW w:type="dxa" w:w="18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WhatsApp</w:t>
            </w:r>
          </w:p>
        </w:tc>
        <w:tc>
          <w:tcPr>
            <w:tcW w:type="dxa" w:w="23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+234 800 000 0000</w:t>
            </w:r>
          </w:p>
        </w:tc>
        <w:tc>
          <w:tcPr>
            <w:tcW w:type="dxa" w:w="27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Mon–Fri 08:00–18:00; Sat 09:00–14:00</w:t>
            </w:r>
          </w:p>
        </w:tc>
        <w:tc>
          <w:tcPr>
            <w:tcW w:type="dxa" w:w="26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Order status, product questions, photos of damaged goods</w:t>
            </w:r>
          </w:p>
        </w:tc>
      </w:tr>
      <w:tr>
        <w:trPr>
          <w:cantSplit/>
        </w:trPr>
        <w:tc>
          <w:tcPr>
            <w:tcW w:type="dxa" w:w="18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Email</w:t>
            </w:r>
          </w:p>
        </w:tc>
        <w:tc>
          <w:tcPr>
            <w:tcW w:type="dxa" w:w="23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support@agronexa.example</w:t>
            </w:r>
          </w:p>
        </w:tc>
        <w:tc>
          <w:tcPr>
            <w:tcW w:type="dxa" w:w="2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Monitored during business hours; replies within SLA</w:t>
            </w:r>
          </w:p>
        </w:tc>
        <w:tc>
          <w:tcPr>
            <w:tcW w:type="dxa" w:w="26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Claims with documents, invoices, formal complaints</w:t>
            </w:r>
          </w:p>
        </w:tc>
      </w:tr>
      <w:tr>
        <w:trPr>
          <w:cantSplit/>
        </w:trPr>
        <w:tc>
          <w:tcPr>
            <w:tcW w:type="dxa" w:w="18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Website chat and contact form</w:t>
            </w:r>
          </w:p>
        </w:tc>
        <w:tc>
          <w:tcPr>
            <w:tcW w:type="dxa" w:w="23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www.agronexa.example</w:t>
            </w:r>
          </w:p>
        </w:tc>
        <w:tc>
          <w:tcPr>
            <w:tcW w:type="dxa" w:w="27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Same as WhatsApp</w:t>
            </w:r>
          </w:p>
        </w:tc>
        <w:tc>
          <w:tcPr>
            <w:tcW w:type="dxa" w:w="26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General enquiries and order tracking</w:t>
            </w:r>
          </w:p>
        </w:tc>
      </w:tr>
      <w:tr>
        <w:trPr>
          <w:cantSplit/>
        </w:trPr>
        <w:tc>
          <w:tcPr>
            <w:tcW w:type="dxa" w:w="18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Depot walk-in</w:t>
            </w:r>
          </w:p>
        </w:tc>
        <w:tc>
          <w:tcPr>
            <w:tcW w:type="dxa" w:w="23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See Company Profile (AN-COR-001)</w:t>
            </w:r>
          </w:p>
        </w:tc>
        <w:tc>
          <w:tcPr>
            <w:tcW w:type="dxa" w:w="2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Depot opening hours</w:t>
            </w:r>
          </w:p>
        </w:tc>
        <w:tc>
          <w:tcPr>
            <w:tcW w:type="dxa" w:w="26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Collections, returns and sample drop-offs</w:t>
            </w:r>
          </w:p>
        </w:tc>
      </w:tr>
    </w:tbl>
    <w:p>
      <w:pPr>
        <w:spacing w:after="120"/>
      </w:pPr>
    </w:p>
    <w:p>
      <w:pPr>
        <w:spacing w:after="120" w:line="276"/>
      </w:pPr>
      <w:r>
        <w:rPr>
          <w:sz w:val="21"/>
          <w:szCs w:val="21"/>
        </w:rPr>
        <w:t xml:space="preserve">Messages sent outside hours are answered on the next business day. Support is closed on Sundays and public holidays. Emergencies involving injury, poisoning or fire should go to emergency services first (see section 7).</w:t>
      </w:r>
    </w:p>
    <w:p>
      <w:pPr>
        <w:pStyle w:val="Heading1"/>
      </w:pPr>
      <w:r>
        <w:t xml:space="preserve">3. What Customer Support Can Help With</w:t>
      </w:r>
    </w:p>
    <w:p>
      <w:pPr>
        <w:pStyle w:val="ListParagraph"/>
        <w:numPr>
          <w:ilvl w:val="0"/>
          <w:numId w:val="2"/>
        </w:numPr>
        <w:spacing w:after="60" w:line="264"/>
      </w:pPr>
      <w:r>
        <w:rPr>
          <w:sz w:val="21"/>
          <w:szCs w:val="21"/>
        </w:rPr>
        <w:t xml:space="preserve">Product information, availability and suitability for a crop (within the information in the Product Catalogue).</w:t>
      </w:r>
    </w:p>
    <w:p>
      <w:pPr>
        <w:pStyle w:val="ListParagraph"/>
        <w:numPr>
          <w:ilvl w:val="0"/>
          <w:numId w:val="2"/>
        </w:numPr>
        <w:spacing w:after="60" w:line="264"/>
      </w:pPr>
      <w:r>
        <w:rPr>
          <w:sz w:val="21"/>
          <w:szCs w:val="21"/>
        </w:rPr>
        <w:t xml:space="preserve">Placing, changing and tracking orders.</w:t>
      </w:r>
    </w:p>
    <w:p>
      <w:pPr>
        <w:pStyle w:val="ListParagraph"/>
        <w:numPr>
          <w:ilvl w:val="0"/>
          <w:numId w:val="2"/>
        </w:numPr>
        <w:spacing w:after="60" w:line="264"/>
      </w:pPr>
      <w:r>
        <w:rPr>
          <w:sz w:val="21"/>
          <w:szCs w:val="21"/>
        </w:rPr>
        <w:t xml:space="preserve">Prices, quotations, invoices and payment confirmation.</w:t>
      </w:r>
    </w:p>
    <w:p>
      <w:pPr>
        <w:pStyle w:val="ListParagraph"/>
        <w:numPr>
          <w:ilvl w:val="0"/>
          <w:numId w:val="2"/>
        </w:numPr>
        <w:spacing w:after="60" w:line="264"/>
      </w:pPr>
      <w:r>
        <w:rPr>
          <w:sz w:val="21"/>
          <w:szCs w:val="21"/>
        </w:rPr>
        <w:t xml:space="preserve">Delivery scheduling, address changes and delivery problems.</w:t>
      </w:r>
    </w:p>
    <w:p>
      <w:pPr>
        <w:pStyle w:val="ListParagraph"/>
        <w:numPr>
          <w:ilvl w:val="0"/>
          <w:numId w:val="2"/>
        </w:numPr>
        <w:spacing w:after="60" w:line="264"/>
      </w:pPr>
      <w:r>
        <w:rPr>
          <w:sz w:val="21"/>
          <w:szCs w:val="21"/>
        </w:rPr>
        <w:t xml:space="preserve">Returns, replacements and refunds.</w:t>
      </w:r>
    </w:p>
    <w:p>
      <w:pPr>
        <w:pStyle w:val="ListParagraph"/>
        <w:numPr>
          <w:ilvl w:val="0"/>
          <w:numId w:val="2"/>
        </w:numPr>
        <w:spacing w:after="60" w:line="264"/>
      </w:pPr>
      <w:r>
        <w:rPr>
          <w:sz w:val="21"/>
          <w:szCs w:val="21"/>
        </w:rPr>
        <w:t xml:space="preserve">Soil-test bookings and results queries.</w:t>
      </w:r>
    </w:p>
    <w:p>
      <w:pPr>
        <w:pStyle w:val="ListParagraph"/>
        <w:numPr>
          <w:ilvl w:val="0"/>
          <w:numId w:val="2"/>
        </w:numPr>
        <w:spacing w:after="60" w:line="264"/>
      </w:pPr>
      <w:r>
        <w:rPr>
          <w:sz w:val="21"/>
          <w:szCs w:val="21"/>
        </w:rPr>
        <w:t xml:space="preserve">Complaints and feedback.</w:t>
      </w:r>
    </w:p>
    <w:p>
      <w:pPr>
        <w:pStyle w:val="Heading1"/>
      </w:pPr>
      <w:r>
        <w:t xml:space="preserve">4. Verifying the Customer</w:t>
      </w:r>
    </w:p>
    <w:p>
      <w:pPr>
        <w:spacing w:after="120" w:line="276"/>
      </w:pPr>
      <w:r>
        <w:rPr>
          <w:sz w:val="21"/>
          <w:szCs w:val="21"/>
        </w:rPr>
        <w:t xml:space="preserve">To protect customer accounts, Customer Support confirms the identity of the person it is speaking to before sharing order details or changing an order. The customer should provide the order number plus any one of the following: the phone number or email used on the order, or the name and delivery address on the order.</w:t>
      </w:r>
    </w:p>
    <w:p>
      <w:pPr>
        <w:pStyle w:val="ListParagraph"/>
        <w:numPr>
          <w:ilvl w:val="0"/>
          <w:numId w:val="2"/>
        </w:numPr>
        <w:spacing w:after="60" w:line="264"/>
      </w:pPr>
      <w:r>
        <w:rPr>
          <w:sz w:val="21"/>
          <w:szCs w:val="21"/>
        </w:rPr>
        <w:t xml:space="preserve">Refunds are paid only to the original payer.</w:t>
      </w:r>
    </w:p>
    <w:p>
      <w:pPr>
        <w:pStyle w:val="ListParagraph"/>
        <w:numPr>
          <w:ilvl w:val="0"/>
          <w:numId w:val="2"/>
        </w:numPr>
        <w:spacing w:after="60" w:line="264"/>
      </w:pPr>
      <w:r>
        <w:rPr>
          <w:sz w:val="21"/>
          <w:szCs w:val="21"/>
        </w:rPr>
        <w:t xml:space="preserve">Payment details, bank account changes and card numbers are never requested over WhatsApp or phone. Staff will never ask a customer to send a card PIN or one-time password.</w:t>
      </w:r>
    </w:p>
    <w:p>
      <w:pPr>
        <w:pStyle w:val="ListParagraph"/>
        <w:numPr>
          <w:ilvl w:val="0"/>
          <w:numId w:val="2"/>
        </w:numPr>
        <w:spacing w:after="60" w:line="264"/>
      </w:pPr>
      <w:r>
        <w:rPr>
          <w:sz w:val="21"/>
          <w:szCs w:val="21"/>
        </w:rPr>
        <w:t xml:space="preserve">Where someone other than the account holder is asking, written authorisation from the account holder is required.</w:t>
      </w:r>
    </w:p>
    <w:p>
      <w:pPr>
        <w:pStyle w:val="Heading1"/>
      </w:pPr>
      <w:r>
        <w:t xml:space="preserve">5. Enquiry Categories, Priorities and Response Targets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000"/>
        <w:gridCol w:w="2312"/>
      </w:tblGrid>
      <w:tr>
        <w:trPr>
          <w:cantSplit/>
          <w:tblHeader/>
        </w:trPr>
        <w:tc>
          <w:tcPr>
            <w:tcW w:type="dxa" w:w="15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Priority</w:t>
            </w:r>
          </w:p>
        </w:tc>
        <w:tc>
          <w:tcPr>
            <w:tcW w:type="dxa" w:w="36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Examples</w:t>
            </w:r>
          </w:p>
        </w:tc>
        <w:tc>
          <w:tcPr>
            <w:tcW w:type="dxa" w:w="2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First response</w:t>
            </w:r>
          </w:p>
        </w:tc>
        <w:tc>
          <w:tcPr>
            <w:tcW w:type="dxa" w:w="23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Target resolution</w:t>
            </w:r>
          </w:p>
        </w:tc>
      </w:tr>
      <w:tr>
        <w:trPr>
          <w:cantSplit/>
        </w:trPr>
        <w:tc>
          <w:tcPr>
            <w:tcW w:type="dxa" w:w="15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P1 – Critical</w:t>
            </w:r>
          </w:p>
        </w:tc>
        <w:tc>
          <w:tcPr>
            <w:tcW w:type="dxa" w:w="36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Injury or poisoning linked to a product, chemical spill, suspected counterfeit product, payment taken twice</w:t>
            </w:r>
          </w:p>
        </w:tc>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Within 1 hour (working hours)</w:t>
            </w:r>
          </w:p>
        </w:tc>
        <w:tc>
          <w:tcPr>
            <w:tcW w:type="dxa" w:w="23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Same business day for first action; investigation as needed</w:t>
            </w:r>
          </w:p>
        </w:tc>
      </w:tr>
      <w:tr>
        <w:trPr>
          <w:cantSplit/>
        </w:trPr>
        <w:tc>
          <w:tcPr>
            <w:tcW w:type="dxa" w:w="15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P2 – High</w:t>
            </w:r>
          </w:p>
        </w:tc>
        <w:tc>
          <w:tcPr>
            <w:tcW w:type="dxa" w:w="36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Damaged or wrong delivery, missing order after payment, delivery delayed beyond stated time, seed or product quality complaint</w:t>
            </w:r>
          </w:p>
        </w:tc>
        <w:tc>
          <w:tcPr>
            <w:tcW w:type="dxa" w:w="2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Within 4 working hours</w:t>
            </w:r>
          </w:p>
        </w:tc>
        <w:tc>
          <w:tcPr>
            <w:tcW w:type="dxa" w:w="23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3 business days (quality inspections up to 7 business days)</w:t>
            </w:r>
          </w:p>
        </w:tc>
      </w:tr>
      <w:tr>
        <w:trPr>
          <w:cantSplit/>
        </w:trPr>
        <w:tc>
          <w:tcPr>
            <w:tcW w:type="dxa" w:w="15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P3 – Standard</w:t>
            </w:r>
          </w:p>
        </w:tc>
        <w:tc>
          <w:tcPr>
            <w:tcW w:type="dxa" w:w="36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Order changes, invoice requests, refund status, returns requests</w:t>
            </w:r>
          </w:p>
        </w:tc>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Within 1 business day</w:t>
            </w:r>
          </w:p>
        </w:tc>
        <w:tc>
          <w:tcPr>
            <w:tcW w:type="dxa" w:w="23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3–5 business days</w:t>
            </w:r>
          </w:p>
        </w:tc>
      </w:tr>
      <w:tr>
        <w:trPr>
          <w:cantSplit/>
        </w:trPr>
        <w:tc>
          <w:tcPr>
            <w:tcW w:type="dxa" w:w="15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P4 – General</w:t>
            </w:r>
          </w:p>
        </w:tc>
        <w:tc>
          <w:tcPr>
            <w:tcW w:type="dxa" w:w="36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Product questions, price queries, depot hours, feedback</w:t>
            </w:r>
          </w:p>
        </w:tc>
        <w:tc>
          <w:tcPr>
            <w:tcW w:type="dxa" w:w="2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Within 1 business day</w:t>
            </w:r>
          </w:p>
        </w:tc>
        <w:tc>
          <w:tcPr>
            <w:tcW w:type="dxa" w:w="23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First reply usually resolves the matter</w:t>
            </w:r>
          </w:p>
        </w:tc>
      </w:tr>
    </w:tbl>
    <w:p>
      <w:pPr>
        <w:spacing w:after="120"/>
      </w:pPr>
    </w:p>
    <w:p>
      <w:pPr>
        <w:pStyle w:val="Heading1"/>
      </w:pPr>
      <w:r>
        <w:t xml:space="preserve">6. Escalation Matrix</w:t>
      </w:r>
    </w:p>
    <w:p>
      <w:pPr>
        <w:spacing w:after="120" w:line="276"/>
      </w:pPr>
      <w:r>
        <w:rPr>
          <w:sz w:val="21"/>
          <w:szCs w:val="21"/>
        </w:rPr>
        <w:t xml:space="preserve">Customer Support resolves most enquiries at first contact. The following matters are passed to the named teams, and the customer is told who is dealing with the case and when to expect an update.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712"/>
      </w:tblGrid>
      <w:tr>
        <w:trPr>
          <w:cantSplit/>
          <w:tblHeader/>
        </w:trPr>
        <w:tc>
          <w:tcPr>
            <w:tcW w:type="dxa" w:w="4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Type of matter</w:t>
            </w:r>
          </w:p>
        </w:tc>
        <w:tc>
          <w:tcPr>
            <w:tcW w:type="dxa" w:w="27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Passed to</w:t>
            </w:r>
          </w:p>
        </w:tc>
        <w:tc>
          <w:tcPr>
            <w:tcW w:type="dxa" w:w="27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Customer is updated</w:t>
            </w:r>
          </w:p>
        </w:tc>
      </w:tr>
      <w:tr>
        <w:trPr>
          <w:cantSplit/>
        </w:trPr>
        <w:tc>
          <w:tcPr>
            <w:tcW w:type="dxa" w:w="4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Payment not matched, refund status, credit notes, billing disputes</w:t>
            </w:r>
          </w:p>
        </w:tc>
        <w:tc>
          <w:tcPr>
            <w:tcW w:type="dxa" w:w="2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Finance and Billing</w:t>
            </w:r>
          </w:p>
        </w:tc>
        <w:tc>
          <w:tcPr>
            <w:tcW w:type="dxa" w:w="27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Within 2 business days</w:t>
            </w:r>
          </w:p>
        </w:tc>
      </w:tr>
      <w:tr>
        <w:trPr>
          <w:cantSplit/>
        </w:trPr>
        <w:tc>
          <w:tcPr>
            <w:tcW w:type="dxa" w:w="4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Delivery incidents, damaged or short deliveries, vehicle or driver issues</w:t>
            </w:r>
          </w:p>
        </w:tc>
        <w:tc>
          <w:tcPr>
            <w:tcW w:type="dxa" w:w="27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Logistics and Dispatch</w:t>
            </w:r>
          </w:p>
        </w:tc>
        <w:tc>
          <w:tcPr>
            <w:tcW w:type="dxa" w:w="27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Within 1 business day</w:t>
            </w:r>
          </w:p>
        </w:tc>
      </w:tr>
      <w:tr>
        <w:trPr>
          <w:cantSplit/>
        </w:trPr>
        <w:tc>
          <w:tcPr>
            <w:tcW w:type="dxa" w:w="4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Seed germination, fertilizer or chemical quality complaints, agronomy questions beyond the catalogue</w:t>
            </w:r>
          </w:p>
        </w:tc>
        <w:tc>
          <w:tcPr>
            <w:tcW w:type="dxa" w:w="2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Quality and Technical Services</w:t>
            </w:r>
          </w:p>
        </w:tc>
        <w:tc>
          <w:tcPr>
            <w:tcW w:type="dxa" w:w="27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Within 2 business days; inspection findings within 7 business days</w:t>
            </w:r>
          </w:p>
        </w:tc>
      </w:tr>
      <w:tr>
        <w:trPr>
          <w:cantSplit/>
        </w:trPr>
        <w:tc>
          <w:tcPr>
            <w:tcW w:type="dxa" w:w="4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Bulk quotations, custom blends, cooperative accounts, discounts beyond published rates</w:t>
            </w:r>
          </w:p>
        </w:tc>
        <w:tc>
          <w:tcPr>
            <w:tcW w:type="dxa" w:w="27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Sales and Key Accounts</w:t>
            </w:r>
          </w:p>
        </w:tc>
        <w:tc>
          <w:tcPr>
            <w:tcW w:type="dxa" w:w="27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Within 1 business day</w:t>
            </w:r>
          </w:p>
        </w:tc>
      </w:tr>
      <w:tr>
        <w:trPr>
          <w:cantSplit/>
        </w:trPr>
        <w:tc>
          <w:tcPr>
            <w:tcW w:type="dxa" w:w="4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Dealer-related complaints (pricing, conduct, stock)</w:t>
            </w:r>
          </w:p>
        </w:tc>
        <w:tc>
          <w:tcPr>
            <w:tcW w:type="dxa" w:w="2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Dealer Network</w:t>
            </w:r>
          </w:p>
        </w:tc>
        <w:tc>
          <w:tcPr>
            <w:tcW w:type="dxa" w:w="27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Within 2 business days</w:t>
            </w:r>
          </w:p>
        </w:tc>
      </w:tr>
      <w:tr>
        <w:trPr>
          <w:cantSplit/>
        </w:trPr>
        <w:tc>
          <w:tcPr>
            <w:tcW w:type="dxa" w:w="4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Product safety incidents, regulatory queries, data protection requests</w:t>
            </w:r>
          </w:p>
        </w:tc>
        <w:tc>
          <w:tcPr>
            <w:tcW w:type="dxa" w:w="27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Health, Safety and Compliance</w:t>
            </w:r>
          </w:p>
        </w:tc>
        <w:tc>
          <w:tcPr>
            <w:tcW w:type="dxa" w:w="27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Within 1 business day for safety; within 30 days for data requests</w:t>
            </w:r>
          </w:p>
        </w:tc>
      </w:tr>
      <w:tr>
        <w:trPr>
          <w:cantSplit/>
        </w:trPr>
        <w:tc>
          <w:tcPr>
            <w:tcW w:type="dxa" w:w="4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Unresolved complaints and requests for review</w:t>
            </w:r>
          </w:p>
        </w:tc>
        <w:tc>
          <w:tcPr>
            <w:tcW w:type="dxa" w:w="2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Customer Support Manager</w:t>
            </w:r>
          </w:p>
        </w:tc>
        <w:tc>
          <w:tcPr>
            <w:tcW w:type="dxa" w:w="27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Within 3 business days</w:t>
            </w:r>
          </w:p>
        </w:tc>
      </w:tr>
    </w:tbl>
    <w:p>
      <w:pPr>
        <w:spacing w:after="120"/>
      </w:pPr>
    </w:p>
    <w:p>
      <w:pPr>
        <w:pStyle w:val="Heading1"/>
      </w:pPr>
      <w:r>
        <w:t xml:space="preserve">7. Product Safety and Emergency Situations</w:t>
      </w:r>
    </w:p>
    <w:p>
      <w:pPr>
        <w:pStyle w:val="ListParagraph"/>
        <w:numPr>
          <w:ilvl w:val="0"/>
          <w:numId w:val="2"/>
        </w:numPr>
        <w:spacing w:after="60" w:line="264"/>
      </w:pPr>
      <w:r>
        <w:rPr>
          <w:sz w:val="21"/>
          <w:szCs w:val="21"/>
        </w:rPr>
        <w:t xml:space="preserve">If anyone has swallowed an agrochemical, inhaled fumes, or has a chemical in their eyes or on their skin, they should get medical help immediately by going to the nearest clinic or hospital, with the product container or label if possible. Customer Support is not a medical service.</w:t>
      </w:r>
    </w:p>
    <w:p>
      <w:pPr>
        <w:pStyle w:val="ListParagraph"/>
        <w:numPr>
          <w:ilvl w:val="0"/>
          <w:numId w:val="2"/>
        </w:numPr>
        <w:spacing w:after="60" w:line="264"/>
      </w:pPr>
      <w:r>
        <w:rPr>
          <w:sz w:val="21"/>
          <w:szCs w:val="21"/>
        </w:rPr>
        <w:t xml:space="preserve">For chemical spills or fire at a customer site, the customer should keep people away and call local emergency services.</w:t>
      </w:r>
    </w:p>
    <w:p>
      <w:pPr>
        <w:pStyle w:val="ListParagraph"/>
        <w:numPr>
          <w:ilvl w:val="0"/>
          <w:numId w:val="2"/>
        </w:numPr>
        <w:spacing w:after="60" w:line="264"/>
      </w:pPr>
      <w:r>
        <w:rPr>
          <w:sz w:val="21"/>
          <w:szCs w:val="21"/>
        </w:rPr>
        <w:t xml:space="preserve">Any such report is logged as P1 and passed to Health, Safety and Compliance the same day. The product batch is traced and, where necessary, withdrawn from sale.</w:t>
      </w:r>
    </w:p>
    <w:p>
      <w:pPr>
        <w:pStyle w:val="Heading1"/>
      </w:pPr>
      <w:r>
        <w:t xml:space="preserve">8. Agronomy and Product Advice</w:t>
      </w:r>
    </w:p>
    <w:p>
      <w:pPr>
        <w:spacing w:after="120" w:line="276"/>
      </w:pPr>
      <w:r>
        <w:rPr>
          <w:sz w:val="21"/>
          <w:szCs w:val="21"/>
        </w:rPr>
        <w:t xml:space="preserve">Customer Support can share the information in the Product Catalogue. Detailed advice about crop nutrition, pests, dosages or farm-specific plans comes from Quality and Technical Services. Customers can obtain this through a soil test, an advisory visit, or a call-back from an agronomist on request.</w:t>
      </w:r>
    </w:p>
    <w:p>
      <w:pPr>
        <w:pStyle w:val="Heading1"/>
      </w:pPr>
      <w:r>
        <w:t xml:space="preserve">9. Complaints Procedure</w:t>
      </w:r>
    </w:p>
    <w:p>
      <w:pPr>
        <w:pStyle w:val="ListParagraph"/>
        <w:numPr>
          <w:ilvl w:val="0"/>
          <w:numId w:val="3"/>
        </w:numPr>
        <w:spacing w:after="60" w:line="264"/>
      </w:pPr>
      <w:r>
        <w:rPr>
          <w:b/>
          <w:bCs/>
          <w:sz w:val="21"/>
          <w:szCs w:val="21"/>
        </w:rPr>
        <w:t xml:space="preserve">Receive.</w:t>
      </w:r>
      <w:r>
        <w:rPr>
          <w:sz w:val="21"/>
          <w:szCs w:val="21"/>
        </w:rPr>
        <w:t xml:space="preserve"> A complaint can be made through any channel. Customer Support logs it with a reference number and acknowledges it within 1 business day.</w:t>
      </w:r>
    </w:p>
    <w:p>
      <w:pPr>
        <w:pStyle w:val="ListParagraph"/>
        <w:numPr>
          <w:ilvl w:val="0"/>
          <w:numId w:val="3"/>
        </w:numPr>
        <w:spacing w:after="60" w:line="264"/>
      </w:pPr>
      <w:r>
        <w:rPr>
          <w:b/>
          <w:bCs/>
          <w:sz w:val="21"/>
          <w:szCs w:val="21"/>
        </w:rPr>
        <w:t xml:space="preserve">Investigate.</w:t>
      </w:r>
      <w:r>
        <w:rPr>
          <w:sz w:val="21"/>
          <w:szCs w:val="21"/>
        </w:rPr>
        <w:t xml:space="preserve"> The relevant department reviews the facts, records and evidence. The customer may be asked for photographs, batch numbers or documents.</w:t>
      </w:r>
    </w:p>
    <w:p>
      <w:pPr>
        <w:pStyle w:val="ListParagraph"/>
        <w:numPr>
          <w:ilvl w:val="0"/>
          <w:numId w:val="3"/>
        </w:numPr>
        <w:spacing w:after="60" w:line="264"/>
      </w:pPr>
      <w:r>
        <w:rPr>
          <w:b/>
          <w:bCs/>
          <w:sz w:val="21"/>
          <w:szCs w:val="21"/>
        </w:rPr>
        <w:t xml:space="preserve">Respond.</w:t>
      </w:r>
      <w:r>
        <w:rPr>
          <w:sz w:val="21"/>
          <w:szCs w:val="21"/>
        </w:rPr>
        <w:t xml:space="preserve"> The customer receives a written response with the findings and the proposed remedy within 10 business days of the complaint, or an explanation of the delay and a new date.</w:t>
      </w:r>
    </w:p>
    <w:p>
      <w:pPr>
        <w:pStyle w:val="ListParagraph"/>
        <w:numPr>
          <w:ilvl w:val="0"/>
          <w:numId w:val="3"/>
        </w:numPr>
        <w:spacing w:after="60" w:line="264"/>
      </w:pPr>
      <w:r>
        <w:rPr>
          <w:b/>
          <w:bCs/>
          <w:sz w:val="21"/>
          <w:szCs w:val="21"/>
        </w:rPr>
        <w:t xml:space="preserve">Review.</w:t>
      </w:r>
      <w:r>
        <w:rPr>
          <w:sz w:val="21"/>
          <w:szCs w:val="21"/>
        </w:rPr>
        <w:t xml:space="preserve"> If the customer does not accept the response, they can write to complaints@agronexa.example within 14 days. The Customer Support Manager reviews the case and replies within 10 business days.</w:t>
      </w:r>
    </w:p>
    <w:p>
      <w:pPr>
        <w:pStyle w:val="ListParagraph"/>
        <w:numPr>
          <w:ilvl w:val="0"/>
          <w:numId w:val="3"/>
        </w:numPr>
        <w:spacing w:after="60" w:line="264"/>
      </w:pPr>
      <w:r>
        <w:rPr>
          <w:b/>
          <w:bCs/>
          <w:sz w:val="21"/>
          <w:szCs w:val="21"/>
        </w:rPr>
        <w:t xml:space="preserve">Close.</w:t>
      </w:r>
      <w:r>
        <w:rPr>
          <w:sz w:val="21"/>
          <w:szCs w:val="21"/>
        </w:rPr>
        <w:t xml:space="preserve"> The case is closed when the customer accepts the remedy or after the review decision. A satisfaction message is sent to the customer.</w:t>
      </w:r>
    </w:p>
    <w:p>
      <w:pPr>
        <w:spacing w:after="120" w:line="276"/>
      </w:pPr>
      <w:r>
        <w:rPr>
          <w:sz w:val="21"/>
          <w:szCs w:val="21"/>
        </w:rPr>
        <w:t xml:space="preserve">Customers who remain dissatisfied after the review may pursue the dispute resolution options in the Terms and Conditions of Sale (AN-TNC-008).</w:t>
      </w:r>
    </w:p>
    <w:p>
      <w:pPr>
        <w:pStyle w:val="Heading1"/>
      </w:pPr>
      <w:r>
        <w:t xml:space="preserve">10. Fraud Awareness</w:t>
      </w:r>
    </w:p>
    <w:p>
      <w:pPr>
        <w:spacing w:after="120" w:line="276"/>
      </w:pPr>
      <w:r>
        <w:rPr>
          <w:sz w:val="21"/>
          <w:szCs w:val="21"/>
        </w:rPr>
        <w:t xml:space="preserve">Customers have reported fake accounts and impersonators using the AgroNexa name. AgroNexa advises customers as follows.</w:t>
      </w:r>
    </w:p>
    <w:p>
      <w:pPr>
        <w:pStyle w:val="ListParagraph"/>
        <w:numPr>
          <w:ilvl w:val="0"/>
          <w:numId w:val="2"/>
        </w:numPr>
        <w:spacing w:after="60" w:line="264"/>
      </w:pPr>
      <w:r>
        <w:rPr>
          <w:sz w:val="21"/>
          <w:szCs w:val="21"/>
        </w:rPr>
        <w:t xml:space="preserve">Pay only to the account shown on an official invoice, quotation or the website payment page.</w:t>
      </w:r>
    </w:p>
    <w:p>
      <w:pPr>
        <w:pStyle w:val="ListParagraph"/>
        <w:numPr>
          <w:ilvl w:val="0"/>
          <w:numId w:val="2"/>
        </w:numPr>
        <w:spacing w:after="60" w:line="264"/>
      </w:pPr>
      <w:r>
        <w:rPr>
          <w:sz w:val="21"/>
          <w:szCs w:val="21"/>
        </w:rPr>
        <w:t xml:space="preserve">AgroNexa does not run payment promotions through personal accounts, social media inbox messages or unofficial WhatsApp numbers.</w:t>
      </w:r>
    </w:p>
    <w:p>
      <w:pPr>
        <w:pStyle w:val="ListParagraph"/>
        <w:numPr>
          <w:ilvl w:val="0"/>
          <w:numId w:val="2"/>
        </w:numPr>
        <w:spacing w:after="60" w:line="264"/>
      </w:pPr>
      <w:r>
        <w:rPr>
          <w:sz w:val="21"/>
          <w:szCs w:val="21"/>
        </w:rPr>
        <w:t xml:space="preserve">Suspected impersonation can be reported to compliance@agronexa.example with screenshots and the phone number or page involved.</w:t>
      </w:r>
    </w:p>
    <w:p>
      <w:pPr>
        <w:pStyle w:val="Heading1"/>
      </w:pPr>
      <w:r>
        <w:t xml:space="preserve">11. Privacy and Records</w:t>
      </w:r>
    </w:p>
    <w:p>
      <w:pPr>
        <w:pStyle w:val="ListParagraph"/>
        <w:numPr>
          <w:ilvl w:val="0"/>
          <w:numId w:val="2"/>
        </w:numPr>
        <w:spacing w:after="60" w:line="264"/>
      </w:pPr>
      <w:r>
        <w:rPr>
          <w:sz w:val="21"/>
          <w:szCs w:val="21"/>
        </w:rPr>
        <w:t xml:space="preserve">Customer Support records the customer's name, contact details, order information and the content of the enquiry so that the case can be handled and followed up.</w:t>
      </w:r>
    </w:p>
    <w:p>
      <w:pPr>
        <w:pStyle w:val="ListParagraph"/>
        <w:numPr>
          <w:ilvl w:val="0"/>
          <w:numId w:val="2"/>
        </w:numPr>
        <w:spacing w:after="60" w:line="264"/>
      </w:pPr>
      <w:r>
        <w:rPr>
          <w:sz w:val="21"/>
          <w:szCs w:val="21"/>
        </w:rPr>
        <w:t xml:space="preserve">Records are used only to serve the customer, meet legal and accounting requirements, and improve service, in line with the privacy notice.</w:t>
      </w:r>
    </w:p>
    <w:p>
      <w:pPr>
        <w:pStyle w:val="ListParagraph"/>
        <w:numPr>
          <w:ilvl w:val="0"/>
          <w:numId w:val="2"/>
        </w:numPr>
        <w:spacing w:after="60" w:line="264"/>
      </w:pPr>
      <w:r>
        <w:rPr>
          <w:sz w:val="21"/>
          <w:szCs w:val="21"/>
        </w:rPr>
        <w:t xml:space="preserve">Customers may ask to see, correct or delete their personal data by writing to compliance@agronexa.example. Requests are answered within 30 days.</w:t>
      </w:r>
    </w:p>
    <w:p>
      <w:pPr>
        <w:pStyle w:val="Heading1"/>
      </w:pPr>
      <w:r>
        <w:t xml:space="preserve">12. Feedback and Service Standards</w:t>
      </w:r>
    </w:p>
    <w:p>
      <w:pPr>
        <w:spacing w:after="120" w:line="276"/>
      </w:pPr>
      <w:r>
        <w:rPr>
          <w:sz w:val="21"/>
          <w:szCs w:val="21"/>
        </w:rPr>
        <w:t xml:space="preserve">After a case is closed, customers may receive a short satisfaction message. Support aims for at least 90% of enquiries to receive a first response within the target times in section 5. Performance is reviewed monthly by the Customer Support Manager.</w:t>
      </w:r>
    </w:p>
    <w:sectPr>
      <w:headerReference w:type="default" r:id="rId7"/>
      <w:footerReference w:type="default" r:id="rId8"/>
      <w:pgSz w:w="11906" w:h="16838" w:orient="portrait"/>
      <w:pgMar w:top="1300" w:right="1247" w:bottom="12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Controlled document. Printed copies may be out of date.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AgroNexa Agri-Inputs Limited  |  AN-CSP-006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5E3B"/>
      <w:sz w:val="28"/>
      <w:szCs w:val="28"/>
    </w:rPr>
  </w:style>
  <w:style w:type="paragraph" w:styleId="Heading2">
    <w:name w:val="Heading 2"/>
    <w:basedOn w:val="Normal"/>
    <w:next w:val="Normal"/>
    <w:qFormat/>
    <w:pPr>
      <w:keepNext/>
      <w:spacing w:after="80" w:before="220"/>
      <w:outlineLvl w:val="1"/>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Procedures</dc:title>
  <dc:creator>AgroNexa Agri-Inputs Limited</dc:creator>
  <cp:lastModifiedBy>Un-named</cp:lastModifiedBy>
  <cp:revision>1</cp:revision>
  <dcterms:created xsi:type="dcterms:W3CDTF">2026-10-02T20:49:09.078Z</dcterms:created>
  <dcterms:modified xsi:type="dcterms:W3CDTF">2026-10-02T20:49:09.078Z</dcterms:modified>
</cp:coreProperties>
</file>

<file path=docProps/custom.xml><?xml version="1.0" encoding="utf-8"?>
<Properties xmlns="http://schemas.openxmlformats.org/officeDocument/2006/custom-properties" xmlns:vt="http://schemas.openxmlformats.org/officeDocument/2006/docPropsVTypes"/>
</file>